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568C" w14:textId="1283B2EA" w:rsidR="00097D52" w:rsidRDefault="60361B57" w:rsidP="00097D52">
      <w:pPr>
        <w:pStyle w:val="Heading1"/>
        <w:rPr>
          <w:rFonts w:eastAsia="Times New Roman"/>
          <w:lang w:val="en-CA"/>
        </w:rPr>
      </w:pPr>
      <w:r w:rsidRPr="4BE45B52">
        <w:rPr>
          <w:rFonts w:eastAsia="Times New Roman"/>
          <w:lang w:val="en-CA"/>
        </w:rPr>
        <w:t xml:space="preserve">2.5 </w:t>
      </w:r>
      <w:r w:rsidR="00097D52" w:rsidRPr="4BE45B52">
        <w:rPr>
          <w:rFonts w:eastAsia="Times New Roman"/>
          <w:lang w:val="en-CA"/>
        </w:rPr>
        <w:t>N</w:t>
      </w:r>
      <w:r w:rsidR="00A45F7D" w:rsidRPr="4BE45B52">
        <w:rPr>
          <w:rFonts w:eastAsia="Times New Roman"/>
          <w:lang w:val="en-CA"/>
        </w:rPr>
        <w:t>AC Guidelines for RBC and Platelet Transfusions</w:t>
      </w:r>
      <w:r w:rsidR="00997DBB" w:rsidRPr="4BE45B52">
        <w:rPr>
          <w:rFonts w:eastAsia="Times New Roman"/>
          <w:lang w:val="en-CA"/>
        </w:rPr>
        <w:t xml:space="preserve"> During Shortages</w:t>
      </w:r>
    </w:p>
    <w:p w14:paraId="03275281" w14:textId="462E4418" w:rsidR="00792753" w:rsidRPr="00792753" w:rsidRDefault="00792753" w:rsidP="0ECFC49A">
      <w:pPr>
        <w:pStyle w:val="Style1"/>
        <w:rPr>
          <w:vertAlign w:val="superscript"/>
        </w:rPr>
      </w:pPr>
      <w:r>
        <w:t>Guideline for the Use of Red Blood Cell (RBC) Transfusions in Children and Adults in Shortage Situations</w:t>
      </w:r>
    </w:p>
    <w:p w14:paraId="514CF4D1" w14:textId="071C9291" w:rsidR="1B18587C" w:rsidRDefault="1B18587C" w:rsidP="0ECFC49A">
      <w:pPr>
        <w:spacing w:line="276" w:lineRule="auto"/>
      </w:pPr>
      <w:r w:rsidRPr="0ECFC49A">
        <w:rPr>
          <w:rFonts w:eastAsia="Calibri" w:cs="Calibri"/>
          <w:lang w:val="en-CA"/>
        </w:rPr>
        <w:t>(Appendix B in the Ontario Contingency Plan for the Management of Blood Shortages, Table 6 in the National Plan for Management of Shortages of Labile Blood Components)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597"/>
        <w:gridCol w:w="3595"/>
      </w:tblGrid>
      <w:tr w:rsidR="00792753" w:rsidRPr="00792753" w14:paraId="3349EA74" w14:textId="77777777" w:rsidTr="0ECFC49A">
        <w:trPr>
          <w:trHeight w:hRule="exact" w:val="340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D94F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iCs/>
                <w:kern w:val="0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iCs/>
                <w:color w:val="008000"/>
                <w:kern w:val="0"/>
                <w14:ligatures w14:val="none"/>
              </w:rPr>
              <w:t>Green Phase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7940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iCs/>
                <w:kern w:val="0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iCs/>
                <w:color w:val="A66500"/>
                <w:kern w:val="0"/>
                <w14:ligatures w14:val="none"/>
              </w:rPr>
              <w:t>Amber Phase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57D05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iCs/>
                <w:kern w:val="0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iCs/>
                <w:color w:val="C00000"/>
                <w:kern w:val="0"/>
                <w14:ligatures w14:val="none"/>
              </w:rPr>
              <w:t>Red Phase</w:t>
            </w:r>
          </w:p>
        </w:tc>
      </w:tr>
      <w:tr w:rsidR="00792753" w:rsidRPr="00792753" w14:paraId="52E255AB" w14:textId="77777777" w:rsidTr="0ECFC49A">
        <w:trPr>
          <w:trHeight w:hRule="exact" w:val="340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B4427A" w14:textId="77777777" w:rsidR="00792753" w:rsidRPr="003857F2" w:rsidRDefault="00792753" w:rsidP="006831D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7F2">
              <w:rPr>
                <w:b/>
                <w:bCs/>
                <w:sz w:val="22"/>
                <w:szCs w:val="22"/>
              </w:rPr>
              <w:t>Major Hemorrhage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671018" w14:textId="77777777" w:rsidR="00792753" w:rsidRPr="003857F2" w:rsidRDefault="00792753" w:rsidP="006831D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7F2">
              <w:rPr>
                <w:b/>
                <w:bCs/>
                <w:sz w:val="22"/>
                <w:szCs w:val="22"/>
              </w:rPr>
              <w:t>Major Hemorrhage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E15764" w14:textId="77777777" w:rsidR="00792753" w:rsidRPr="003857F2" w:rsidRDefault="00792753" w:rsidP="006831D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7F2">
              <w:rPr>
                <w:b/>
                <w:bCs/>
                <w:sz w:val="22"/>
                <w:szCs w:val="22"/>
              </w:rPr>
              <w:t>Major Hemorrhage</w:t>
            </w:r>
          </w:p>
        </w:tc>
      </w:tr>
      <w:tr w:rsidR="00792753" w:rsidRPr="00792753" w14:paraId="6FBA6326" w14:textId="77777777" w:rsidTr="0ECFC49A">
        <w:trPr>
          <w:trHeight w:hRule="exact" w:val="964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D5FC1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Follow your hospital guidelines.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F58C3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Follow your hospital guidelines.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D0F06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Follow your hospital guidelines.</w:t>
            </w:r>
          </w:p>
          <w:p w14:paraId="29063F62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Follow triage/emergency framework if instructed by </w:t>
            </w: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NEBMC.</w:t>
            </w:r>
            <w:r w:rsidRPr="003857F2">
              <w:rPr>
                <w:rFonts w:eastAsia="PMingLiU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proofErr w:type="spellEnd"/>
          </w:p>
        </w:tc>
      </w:tr>
      <w:tr w:rsidR="00792753" w:rsidRPr="00792753" w14:paraId="5E6CCFFA" w14:textId="77777777" w:rsidTr="0ECFC49A">
        <w:trPr>
          <w:trHeight w:hRule="exact" w:val="356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7A8CC2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>Surgery/Obstetrics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476D44D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>Surgery/Obstetrics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BB8868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>Surgery/Obstetrics</w:t>
            </w:r>
          </w:p>
        </w:tc>
      </w:tr>
      <w:tr w:rsidR="00792753" w:rsidRPr="00792753" w14:paraId="0DA9084C" w14:textId="77777777" w:rsidTr="0ECFC49A">
        <w:trPr>
          <w:trHeight w:hRule="exact" w:val="2431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38DA1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Follow your hospital guidelines.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D0ADD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Urgent</w:t>
            </w:r>
            <w:r w:rsidRPr="003857F2">
              <w:rPr>
                <w:rFonts w:eastAsia="PMingLiU" w:cs="Arial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emergency</w:t>
            </w:r>
            <w:r w:rsidRPr="003857F2">
              <w:rPr>
                <w:rFonts w:eastAsia="PMingLiU" w:cs="Arial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  <w:proofErr w:type="spellEnd"/>
            <w:r w:rsidRPr="003857F2">
              <w:rPr>
                <w:rFonts w:eastAsia="PMingLiU" w:cs="Arial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surgery in consultation with HEBMC.</w:t>
            </w:r>
          </w:p>
          <w:p w14:paraId="1266B507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Peri/post-partum hemorrhage: consider use of alternatives to minimize RBC requirements.</w:t>
            </w:r>
          </w:p>
          <w:p w14:paraId="093B80DF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For all situations, the minimal number of units to stabilize patients should be used. 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BAEBF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Emergency situations in consultation with HEBMC. Follow triage/emergency framework if instructed by </w:t>
            </w: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NEBMC.</w:t>
            </w:r>
            <w:r w:rsidRPr="003857F2">
              <w:rPr>
                <w:rFonts w:eastAsia="PMingLiU" w:cs="Arial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proofErr w:type="spellEnd"/>
          </w:p>
          <w:p w14:paraId="02FBB706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92753" w:rsidRPr="00792753" w14:paraId="7073F067" w14:textId="77777777" w:rsidTr="0ECFC49A">
        <w:trPr>
          <w:trHeight w:hRule="exact" w:val="649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8AFF80C" w14:textId="6E8203F9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>Non-Surgical Anemias/Medical Procedures</w:t>
            </w:r>
            <w:r w:rsidR="00625B84"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:vertAlign w:val="superscript"/>
                <w14:ligatures w14:val="none"/>
              </w:rPr>
              <w:t>d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1CBA3D4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Non-Surgical Anemias/Medical </w:t>
            </w:r>
            <w:proofErr w:type="spellStart"/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>Procedures</w:t>
            </w: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:vertAlign w:val="superscript"/>
                <w14:ligatures w14:val="none"/>
              </w:rPr>
              <w:t>d</w:t>
            </w:r>
            <w:proofErr w:type="spellEnd"/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C58A9B8" w14:textId="77777777" w:rsidR="00792753" w:rsidRPr="003857F2" w:rsidRDefault="00792753" w:rsidP="00792753">
            <w:pPr>
              <w:spacing w:after="200" w:line="276" w:lineRule="auto"/>
              <w:jc w:val="center"/>
              <w:rPr>
                <w:rFonts w:eastAsia="PMingLiU" w:cs="Arial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Non-Surgical Anemias/Medical </w:t>
            </w:r>
            <w:proofErr w:type="spellStart"/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14:ligatures w14:val="none"/>
              </w:rPr>
              <w:t>Procedures</w:t>
            </w:r>
            <w:r w:rsidRPr="003857F2">
              <w:rPr>
                <w:rFonts w:eastAsia="PMingLiU" w:cs="Arial"/>
                <w:b/>
                <w:bCs/>
                <w:kern w:val="0"/>
                <w:sz w:val="22"/>
                <w:szCs w:val="22"/>
                <w:vertAlign w:val="superscript"/>
                <w14:ligatures w14:val="none"/>
              </w:rPr>
              <w:t>d</w:t>
            </w:r>
            <w:proofErr w:type="spellEnd"/>
          </w:p>
        </w:tc>
      </w:tr>
      <w:tr w:rsidR="00792753" w:rsidRPr="00792753" w14:paraId="086D5AE7" w14:textId="77777777" w:rsidTr="0ECFC49A">
        <w:trPr>
          <w:trHeight w:val="3015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A9A3A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Follow your hospital guidelines.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B71D3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All requests for RBC transfusion in patients with </w:t>
            </w:r>
            <w:proofErr w:type="gram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a Hb</w:t>
            </w:r>
            <w:proofErr w:type="gramEnd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 level &gt;60 g/L must be reviewed by designated medical personnel.</w:t>
            </w:r>
          </w:p>
          <w:p w14:paraId="122A5B76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For patients with </w:t>
            </w: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hypoproliferative</w:t>
            </w:r>
            <w:proofErr w:type="spellEnd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 anemias or other chronic transfusion needs, single unit transfusion should be provided if alternatives to red cells are unsuccessful and significant symptoms associated with anemia are present. </w:t>
            </w:r>
          </w:p>
          <w:p w14:paraId="7E036CFE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Reassessment of severity of symptoms after each unit is required. 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95624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All requests for RBC transfusion in patients with a Hb level &gt; 50 g/L must be reviewed by designated medical personnel.</w:t>
            </w:r>
          </w:p>
          <w:p w14:paraId="1DEA8550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For patients with </w:t>
            </w: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>hypoproliferative</w:t>
            </w:r>
            <w:proofErr w:type="spellEnd"/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 anemias or other chronic transfusion needs, single unit transfusion should be provided if alternatives to red cells are unsuccessful and significant symptoms associated with anemia are present. </w:t>
            </w:r>
          </w:p>
          <w:p w14:paraId="4909068F" w14:textId="77777777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14:ligatures w14:val="none"/>
              </w:rPr>
              <w:t xml:space="preserve">Reassessment of severity of symptoms after each unit is required. </w:t>
            </w:r>
          </w:p>
          <w:p w14:paraId="7A4D7423" w14:textId="6C8410C0" w:rsidR="00792753" w:rsidRPr="003857F2" w:rsidRDefault="00792753" w:rsidP="00792753">
            <w:pPr>
              <w:spacing w:after="120" w:line="240" w:lineRule="auto"/>
              <w:ind w:left="72"/>
              <w:rPr>
                <w:rFonts w:eastAsia="PMingLiU" w:cs="Arial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PMingLiU" w:cs="Arial"/>
                <w:kern w:val="0"/>
                <w:sz w:val="20"/>
                <w:szCs w:val="20"/>
                <w:lang w:val="en-CA"/>
                <w14:ligatures w14:val="none"/>
              </w:rPr>
              <w:t xml:space="preserve">Follow the guidance found in the </w:t>
            </w:r>
            <w:proofErr w:type="spellStart"/>
            <w:r w:rsidRPr="003857F2">
              <w:rPr>
                <w:rFonts w:eastAsia="PMingLiU" w:cs="Arial"/>
                <w:kern w:val="0"/>
                <w:sz w:val="20"/>
                <w:szCs w:val="20"/>
                <w:lang w:val="en-CA"/>
                <w14:ligatures w14:val="none"/>
              </w:rPr>
              <w:t>CanHaem</w:t>
            </w:r>
            <w:proofErr w:type="spellEnd"/>
            <w:r w:rsidRPr="003857F2">
              <w:rPr>
                <w:rFonts w:eastAsia="PMingLiU" w:cs="Arial"/>
                <w:kern w:val="0"/>
                <w:sz w:val="20"/>
                <w:szCs w:val="20"/>
                <w:lang w:val="en-CA"/>
                <w14:ligatures w14:val="none"/>
              </w:rPr>
              <w:t xml:space="preserve"> </w:t>
            </w:r>
            <w:hyperlink r:id="rId11" w:history="1">
              <w:r w:rsidRPr="003857F2">
                <w:rPr>
                  <w:rFonts w:eastAsia="PMingLiU" w:cs="Arial"/>
                  <w:color w:val="0070C0"/>
                  <w:kern w:val="0"/>
                  <w:sz w:val="20"/>
                  <w:szCs w:val="20"/>
                  <w:u w:val="single"/>
                  <w:lang w:val="en-CA"/>
                  <w14:ligatures w14:val="none"/>
                </w:rPr>
                <w:t>Blood conservation for hemoglobinopathy patients during pandemic blood shortage</w:t>
              </w:r>
            </w:hyperlink>
            <w:r w:rsidRPr="003857F2">
              <w:rPr>
                <w:rFonts w:eastAsia="PMingLiU" w:cs="Arial"/>
                <w:kern w:val="0"/>
                <w:sz w:val="20"/>
                <w:szCs w:val="20"/>
                <w:lang w:val="en-CA"/>
                <w14:ligatures w14:val="none"/>
              </w:rPr>
              <w:t>.</w:t>
            </w:r>
          </w:p>
        </w:tc>
      </w:tr>
    </w:tbl>
    <w:p w14:paraId="3E866732" w14:textId="77777777" w:rsidR="008372C0" w:rsidRPr="008372C0" w:rsidRDefault="008372C0" w:rsidP="005C30E9">
      <w:pPr>
        <w:pStyle w:val="ListParagraph"/>
        <w:numPr>
          <w:ilvl w:val="0"/>
          <w:numId w:val="2"/>
        </w:numPr>
        <w:rPr>
          <w:rFonts w:cs="Calibri"/>
          <w:sz w:val="18"/>
          <w:szCs w:val="18"/>
        </w:rPr>
      </w:pPr>
      <w:r w:rsidRPr="008372C0">
        <w:rPr>
          <w:rFonts w:cs="Calibri"/>
          <w:sz w:val="18"/>
          <w:szCs w:val="18"/>
        </w:rPr>
        <w:t xml:space="preserve">These guidelines are available on NAC website: </w:t>
      </w:r>
      <w:hyperlink r:id="rId12" w:history="1">
        <w:r w:rsidRPr="008372C0">
          <w:rPr>
            <w:rStyle w:val="Hyperlink"/>
            <w:rFonts w:cs="Calibri"/>
            <w:color w:val="0070C0"/>
            <w:sz w:val="18"/>
            <w:szCs w:val="18"/>
          </w:rPr>
          <w:t>Emergency framework for rationing of blood for massively bleeding patients during a red phase blood shortage</w:t>
        </w:r>
      </w:hyperlink>
    </w:p>
    <w:p w14:paraId="124C868B" w14:textId="10F91424" w:rsidR="005C30E9" w:rsidRPr="005C30E9" w:rsidRDefault="005C30E9" w:rsidP="005C30E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C30E9">
        <w:rPr>
          <w:sz w:val="18"/>
          <w:szCs w:val="18"/>
          <w:lang w:val="en-CA"/>
        </w:rPr>
        <w:t>Urgent surgery: patient likely to have major morbidity if surgery not performed within the next 1 to 28 days.</w:t>
      </w:r>
    </w:p>
    <w:p w14:paraId="1CD2312E" w14:textId="77777777" w:rsidR="005C30E9" w:rsidRPr="003857F2" w:rsidRDefault="005C30E9" w:rsidP="005C30E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C30E9">
        <w:rPr>
          <w:sz w:val="18"/>
          <w:szCs w:val="18"/>
          <w:lang w:val="en-CA"/>
        </w:rPr>
        <w:t>Emergency surgery: patient likely to die or have major morbidity within 24 hours without surgery.</w:t>
      </w:r>
    </w:p>
    <w:p w14:paraId="20CA673E" w14:textId="0F9FC2A9" w:rsidR="003857F2" w:rsidRPr="003857F2" w:rsidRDefault="003857F2" w:rsidP="003857F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="Calibri"/>
          <w:sz w:val="18"/>
          <w:szCs w:val="18"/>
        </w:rPr>
      </w:pPr>
      <w:r w:rsidRPr="003857F2">
        <w:rPr>
          <w:rFonts w:cs="Calibri"/>
          <w:sz w:val="18"/>
          <w:szCs w:val="18"/>
        </w:rPr>
        <w:t>Non-surgical anemias include anemia associated with bone marrow failure, post traumatic injury, extracorporeal membrane oxygenation (ECMO), post-operative states and associated with obstetrics. Medical procedures include but are not limited to simple transfusion, exchange transfusion, high-dose chemotherapy and stem cell transplant.</w:t>
      </w:r>
    </w:p>
    <w:p w14:paraId="20633C7F" w14:textId="079F9E70" w:rsidR="00792753" w:rsidRPr="00792753" w:rsidRDefault="00792753" w:rsidP="0ECFC49A">
      <w:pPr>
        <w:pStyle w:val="Style1"/>
        <w:rPr>
          <w:rFonts w:eastAsia="Arial"/>
          <w:vertAlign w:val="superscript"/>
        </w:rPr>
      </w:pPr>
      <w:r w:rsidRPr="0ECFC49A">
        <w:rPr>
          <w:rFonts w:eastAsia="Malgun Gothic"/>
        </w:rPr>
        <w:lastRenderedPageBreak/>
        <w:t>Guideline for the Use of Platelet Transfusions in Children and Adults in Shortage Situations</w:t>
      </w:r>
    </w:p>
    <w:p w14:paraId="10C8C4EF" w14:textId="72C5A1C1" w:rsidR="6B9CC7AC" w:rsidRDefault="6B9CC7AC" w:rsidP="0ECFC49A">
      <w:pPr>
        <w:spacing w:line="276" w:lineRule="auto"/>
      </w:pPr>
      <w:r w:rsidRPr="0ECFC49A">
        <w:rPr>
          <w:rFonts w:eastAsia="Calibri" w:cs="Calibri"/>
          <w:lang w:val="en-CA"/>
        </w:rPr>
        <w:t>(Appendix C in the Ontario Contingency Plan for the Management of Blood Shortages, Table 6 in the National Plan for Management of Shortages of Labile Blood Components)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597"/>
        <w:gridCol w:w="3595"/>
      </w:tblGrid>
      <w:tr w:rsidR="00792753" w:rsidRPr="00792753" w14:paraId="43D38558" w14:textId="77777777" w:rsidTr="005C30E9">
        <w:trPr>
          <w:trHeight w:hRule="exact" w:val="397"/>
          <w:tblHeader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9913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iCs/>
                <w:kern w:val="0"/>
                <w14:ligatures w14:val="none"/>
              </w:rPr>
            </w:pPr>
            <w:r w:rsidRPr="003857F2">
              <w:rPr>
                <w:rFonts w:eastAsia="Calibri" w:cs="Times New Roman"/>
                <w:b/>
                <w:bCs/>
                <w:iCs/>
                <w:color w:val="008000"/>
                <w:kern w:val="0"/>
                <w14:ligatures w14:val="none"/>
              </w:rPr>
              <w:t>Green Phase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13C94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iCs/>
                <w:kern w:val="0"/>
                <w14:ligatures w14:val="none"/>
              </w:rPr>
            </w:pPr>
            <w:r w:rsidRPr="003857F2">
              <w:rPr>
                <w:rFonts w:eastAsia="Calibri" w:cs="Times New Roman"/>
                <w:b/>
                <w:bCs/>
                <w:iCs/>
                <w:color w:val="A66500"/>
                <w:kern w:val="0"/>
                <w14:ligatures w14:val="none"/>
              </w:rPr>
              <w:t>Amber Phase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C8F8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iCs/>
                <w:kern w:val="0"/>
                <w14:ligatures w14:val="none"/>
              </w:rPr>
            </w:pPr>
            <w:r w:rsidRPr="003857F2">
              <w:rPr>
                <w:rFonts w:eastAsia="Calibri" w:cs="Times New Roman"/>
                <w:b/>
                <w:bCs/>
                <w:iCs/>
                <w:color w:val="C00000"/>
                <w:kern w:val="0"/>
                <w14:ligatures w14:val="none"/>
              </w:rPr>
              <w:t>Red Phase</w:t>
            </w:r>
          </w:p>
        </w:tc>
      </w:tr>
      <w:tr w:rsidR="00792753" w:rsidRPr="00792753" w14:paraId="321F92DD" w14:textId="77777777" w:rsidTr="005C30E9">
        <w:trPr>
          <w:trHeight w:hRule="exact" w:val="34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AF641A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Major Hemorrhage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9FF8D5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Major Hemorrhage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19F6D8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Major Hemorrhage</w:t>
            </w:r>
          </w:p>
        </w:tc>
      </w:tr>
      <w:tr w:rsidR="00792753" w:rsidRPr="00792753" w14:paraId="6F1B613E" w14:textId="77777777" w:rsidTr="003857F2">
        <w:trPr>
          <w:trHeight w:hRule="exact" w:val="226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C53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Immune thrombocytopenia and life- or limb-threatening bleeding maintain PC &gt;10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61E3DCEE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head trauma or CNS bleeding maintain a PC &gt;100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7D9F79D0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Other significant bleeding, or acute promyelocytic leukemia at acute presentation, maintain a PC &gt;50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/L.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299B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head trauma or CNS bleeding maintain a PC &gt; 80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2F7601B1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Withhold routine platelet issue in massive hemorrhage packs in the absence of a confirmed indication for platelet transfusion (e.g. platelet dysfunction,  PC &lt; 50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/L).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BA9BB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Same as Amber phase.</w:t>
            </w:r>
          </w:p>
        </w:tc>
      </w:tr>
      <w:tr w:rsidR="00792753" w:rsidRPr="00792753" w14:paraId="0D4FA259" w14:textId="77777777" w:rsidTr="003857F2">
        <w:trPr>
          <w:trHeight w:hRule="exact" w:val="361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6E8076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Invasive Procedures/Surgery/ECMO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42E8F1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Invasive Procedures/Surgery/ECMO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EF1043" w14:textId="77777777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Invasive Procedures/Surgery</w:t>
            </w:r>
          </w:p>
        </w:tc>
      </w:tr>
      <w:tr w:rsidR="00792753" w:rsidRPr="00792753" w14:paraId="1D5F75F7" w14:textId="77777777" w:rsidTr="003857F2">
        <w:trPr>
          <w:trHeight w:hRule="exact" w:val="3511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92A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non-surgical invasive procedures maintain a PC &gt; 20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 (central venous catheter insertion, paracentesis, thoracentesis).</w:t>
            </w:r>
          </w:p>
          <w:p w14:paraId="704A8903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lumbar puncture maintain a PC &gt; 20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7677203D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CNS surgery maintain a PC &gt; 100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531CB095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ECMO maintain a PC &gt;50-80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</w:t>
            </w:r>
          </w:p>
          <w:p w14:paraId="0EAF17AD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FA0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Urgent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proofErr w:type="spellEnd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emergency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  <w:proofErr w:type="spellEnd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 surgery in consultation with HEBMC.</w:t>
            </w:r>
          </w:p>
          <w:p w14:paraId="2B606DC7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In presence of active bleeding or surgical procedure maintain a PC &gt; 30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 or if CNS trauma/surgery a PC &gt; 80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2D60407D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non-surgical invasive procedures (other than bone marrow aspiration or biopsy) maintain a PC &gt;10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 with image guidance.</w:t>
            </w:r>
          </w:p>
          <w:p w14:paraId="6096C30A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lumbar puncture, maintain a PC &gt;20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/L.</w:t>
            </w:r>
          </w:p>
          <w:p w14:paraId="12C5495A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ECMO maintain a PC &gt;50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8B2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Emergency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surgery in consultation with HEBMC.</w:t>
            </w:r>
          </w:p>
          <w:p w14:paraId="32094494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All requests for platelet transfusion must be reviewed by designated medical personnel.</w:t>
            </w:r>
          </w:p>
          <w:p w14:paraId="2898B949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</w:p>
          <w:p w14:paraId="0608DEFE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92753" w:rsidRPr="00792753" w14:paraId="4F2F0598" w14:textId="77777777" w:rsidTr="005C30E9">
        <w:trPr>
          <w:trHeight w:hRule="exact" w:val="1171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3D4757" w14:textId="424373A2" w:rsidR="00792753" w:rsidRPr="003857F2" w:rsidRDefault="00792753" w:rsidP="00FE6716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Bone Marrow Failure/ Hematopoietic Stem Cell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T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ransplantation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/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Chemotherapy/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Chronic transfusion recipients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E6C0CE" w14:textId="1A09BC6F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Bone Marrow Failure/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Hematopoietic Stem Cell Transplantation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/ Chemotherapy/ Chronic transfusion recipients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7F5D67" w14:textId="045CD5EF" w:rsidR="00792753" w:rsidRPr="003857F2" w:rsidRDefault="00792753" w:rsidP="00792753">
            <w:pPr>
              <w:widowControl w:val="0"/>
              <w:spacing w:after="0" w:line="240" w:lineRule="auto"/>
              <w:jc w:val="center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Bone Marrow Failure/  Hematopoietic Stem Cell Transplantation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/</w:t>
            </w:r>
            <w:r w:rsidR="00FE6716"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857F2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>Chemotherapy/ Chronic Transfusion recipients</w:t>
            </w:r>
          </w:p>
        </w:tc>
      </w:tr>
      <w:tr w:rsidR="00792753" w:rsidRPr="00792753" w14:paraId="21F1A5FE" w14:textId="77777777" w:rsidTr="003857F2">
        <w:trPr>
          <w:trHeight w:val="3581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7581" w14:textId="77777777" w:rsidR="00792753" w:rsidRPr="003857F2" w:rsidRDefault="00792753" w:rsidP="002D5916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Adhere to a maximum threshold PC of 10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 for prophylactic platelet transfusions.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B52C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Adhere to a maximum threshold PC of 10 X10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 for outpatient prophylactic platelet transfusions; consider lowering this threshold to 5 x 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/L for inpatient prophylactic transfusions.</w:t>
            </w:r>
          </w:p>
          <w:p w14:paraId="1F6134A0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Transfuse autologous stem cell transplant patients only if symptoms of bleeding.</w:t>
            </w:r>
          </w:p>
          <w:p w14:paraId="6F2C9738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All requests for a platelet transfusion in non-</w:t>
            </w:r>
            <w:proofErr w:type="gramStart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bleeding</w:t>
            </w:r>
            <w:proofErr w:type="gramEnd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patients with a PC &gt;10 x10</w:t>
            </w:r>
            <w:r w:rsidRPr="003857F2">
              <w:rPr>
                <w:rFonts w:eastAsia="Calibri" w:cs="Calibri"/>
                <w:kern w:val="0"/>
                <w:sz w:val="20"/>
                <w:szCs w:val="20"/>
                <w:vertAlign w:val="superscript"/>
                <w14:ligatures w14:val="none"/>
              </w:rPr>
              <w:t>9</w:t>
            </w: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/L must be reviewed by designated medical personnel. </w:t>
            </w:r>
          </w:p>
          <w:p w14:paraId="1CB228EC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Split PC doses and use of half doses in non-bleeding patients if necessary.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96A9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Cease all prophylactic transfusions.</w:t>
            </w:r>
          </w:p>
          <w:p w14:paraId="0518C2B1" w14:textId="77777777" w:rsidR="00792753" w:rsidRPr="003857F2" w:rsidRDefault="00792753" w:rsidP="00792753">
            <w:pPr>
              <w:widowControl w:val="0"/>
              <w:spacing w:after="120" w:line="240" w:lineRule="auto"/>
              <w:ind w:left="72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All requests for platelet transfusions in non-</w:t>
            </w:r>
            <w:proofErr w:type="gramStart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bleeding</w:t>
            </w:r>
            <w:proofErr w:type="gramEnd"/>
            <w:r w:rsidRPr="003857F2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patients must be reviewed by designated medical personnel.</w:t>
            </w:r>
          </w:p>
        </w:tc>
      </w:tr>
    </w:tbl>
    <w:p w14:paraId="3F1357FB" w14:textId="77777777" w:rsidR="005C30E9" w:rsidRPr="005C30E9" w:rsidRDefault="005C30E9" w:rsidP="003857F2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C30E9">
        <w:rPr>
          <w:sz w:val="18"/>
          <w:szCs w:val="18"/>
          <w:lang w:val="en-CA"/>
        </w:rPr>
        <w:t>Urgent surgery: patient likely to have major morbidity if surgery not performed within the next 1 to 28 days.</w:t>
      </w:r>
    </w:p>
    <w:p w14:paraId="1AAECDA1" w14:textId="59C7F499" w:rsidR="005C30E9" w:rsidRPr="003857F2" w:rsidRDefault="005C30E9" w:rsidP="003857F2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C30E9">
        <w:rPr>
          <w:sz w:val="18"/>
          <w:szCs w:val="18"/>
          <w:lang w:val="en-CA"/>
        </w:rPr>
        <w:t>Emergency surgery: patient likely to die or have major morbidity within 24 hours without surgery.</w:t>
      </w:r>
    </w:p>
    <w:sectPr w:rsidR="005C30E9" w:rsidRPr="003857F2" w:rsidSect="00ED76A6">
      <w:headerReference w:type="default" r:id="rId13"/>
      <w:footerReference w:type="default" r:id="rId14"/>
      <w:pgSz w:w="12240" w:h="15840"/>
      <w:pgMar w:top="720" w:right="720" w:bottom="720" w:left="720" w:header="144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4726" w14:textId="77777777" w:rsidR="003E52D1" w:rsidRDefault="003E52D1" w:rsidP="0073293F">
      <w:pPr>
        <w:spacing w:after="0" w:line="240" w:lineRule="auto"/>
      </w:pPr>
      <w:r>
        <w:separator/>
      </w:r>
    </w:p>
  </w:endnote>
  <w:endnote w:type="continuationSeparator" w:id="0">
    <w:p w14:paraId="33FF684E" w14:textId="77777777" w:rsidR="003E52D1" w:rsidRDefault="003E52D1" w:rsidP="007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B37A" w14:textId="69607758" w:rsidR="00A51F9D" w:rsidRDefault="00F628B2" w:rsidP="00A51F9D">
    <w:pPr>
      <w:pStyle w:val="Footer"/>
      <w:ind w:right="-288"/>
      <w:jc w:val="right"/>
    </w:pPr>
    <w:r w:rsidRPr="004E2B61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CF5777" wp14:editId="6B58F53B">
              <wp:simplePos x="0" y="0"/>
              <wp:positionH relativeFrom="column">
                <wp:posOffset>-314325</wp:posOffset>
              </wp:positionH>
              <wp:positionV relativeFrom="paragraph">
                <wp:posOffset>19050</wp:posOffset>
              </wp:positionV>
              <wp:extent cx="3505200" cy="234315"/>
              <wp:effectExtent l="0" t="0" r="0" b="0"/>
              <wp:wrapNone/>
              <wp:docPr id="17080800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234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3B14F" w14:textId="34BA6F34" w:rsidR="00F628B2" w:rsidRPr="00B16815" w:rsidRDefault="00F628B2" w:rsidP="00F628B2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Ontario Hospital Toolkit for 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Emergency Blood Management,</w:t>
                          </w:r>
                          <w:r w:rsidR="00333A4A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V4.0,</w:t>
                          </w:r>
                          <w:r w:rsidRPr="00B16815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F5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75pt;margin-top:1.5pt;width:276pt;height:18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" filled="f" stroked="f" strokeweight=".5pt">
              <v:textbox>
                <w:txbxContent>
                  <w:p w14:paraId="4E93B14F" w14:textId="34BA6F34" w:rsidR="00F628B2" w:rsidRPr="00B16815" w:rsidRDefault="00F628B2" w:rsidP="00F628B2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Ontario Hospital Toolkit for 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Emergency Blood Management,</w:t>
                    </w:r>
                    <w:r w:rsidR="00333A4A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V4.0,</w:t>
                    </w:r>
                    <w:r w:rsidRPr="00B16815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Date: 2026</w:t>
                    </w:r>
                  </w:p>
                </w:txbxContent>
              </v:textbox>
            </v:shape>
          </w:pict>
        </mc:Fallback>
      </mc:AlternateContent>
    </w:r>
    <w:sdt>
      <w:sdtPr>
        <w:id w:val="-5575467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020D">
          <w:rPr>
            <w:noProof/>
            <w:lang w:val="en-CA" w:eastAsia="en-CA"/>
          </w:rPr>
          <w:drawing>
            <wp:anchor distT="0" distB="0" distL="114300" distR="114300" simplePos="0" relativeHeight="251658240" behindDoc="0" locked="0" layoutInCell="1" allowOverlap="1" wp14:anchorId="6EC2217C" wp14:editId="590FF0F7">
              <wp:simplePos x="0" y="0"/>
              <wp:positionH relativeFrom="column">
                <wp:posOffset>-317500</wp:posOffset>
              </wp:positionH>
              <wp:positionV relativeFrom="paragraph">
                <wp:posOffset>-76200</wp:posOffset>
              </wp:positionV>
              <wp:extent cx="7035800" cy="440055"/>
              <wp:effectExtent l="0" t="0" r="0" b="0"/>
              <wp:wrapNone/>
              <wp:docPr id="1930353666" name="Picture 19303536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5800" cy="440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1F9D">
          <w:fldChar w:fldCharType="begin"/>
        </w:r>
        <w:r w:rsidR="00A51F9D">
          <w:instrText xml:space="preserve"> PAGE   \* MERGEFORMAT </w:instrText>
        </w:r>
        <w:r w:rsidR="00A51F9D">
          <w:fldChar w:fldCharType="separate"/>
        </w:r>
        <w:r w:rsidR="00A51F9D">
          <w:rPr>
            <w:noProof/>
          </w:rPr>
          <w:t>2</w:t>
        </w:r>
        <w:r w:rsidR="00A51F9D">
          <w:rPr>
            <w:noProof/>
          </w:rPr>
          <w:fldChar w:fldCharType="end"/>
        </w:r>
      </w:sdtContent>
    </w:sdt>
  </w:p>
  <w:p w14:paraId="66754B16" w14:textId="77777777" w:rsidR="00A51F9D" w:rsidRDefault="00A51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696E" w14:textId="77777777" w:rsidR="003E52D1" w:rsidRDefault="003E52D1" w:rsidP="0073293F">
      <w:pPr>
        <w:spacing w:after="0" w:line="240" w:lineRule="auto"/>
      </w:pPr>
      <w:r>
        <w:separator/>
      </w:r>
    </w:p>
  </w:footnote>
  <w:footnote w:type="continuationSeparator" w:id="0">
    <w:p w14:paraId="58C547E9" w14:textId="77777777" w:rsidR="003E52D1" w:rsidRDefault="003E52D1" w:rsidP="007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DC22" w14:textId="3686D19B" w:rsidR="0073293F" w:rsidRDefault="000933AB" w:rsidP="000933AB">
    <w:pPr>
      <w:pStyle w:val="Header"/>
      <w:spacing w:after="160"/>
    </w:pPr>
    <w:r>
      <w:rPr>
        <w:sz w:val="28"/>
        <w:szCs w:val="28"/>
      </w:rPr>
      <w:t xml:space="preserve">2. Developing a Corporate Hospital Emergency Blood Management Plan (HEBMP)         </w:t>
    </w:r>
    <w:r w:rsidR="0073293F">
      <w:rPr>
        <w:noProof/>
      </w:rPr>
      <w:drawing>
        <wp:inline distT="0" distB="0" distL="0" distR="0" wp14:anchorId="2BAD9AAC" wp14:editId="4624E390">
          <wp:extent cx="609600" cy="609600"/>
          <wp:effectExtent l="0" t="0" r="0" b="0"/>
          <wp:docPr id="1632629317" name="Graphic 1" descr="Documen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29317" name="Graphic 1632629317" descr="Document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6F43"/>
    <w:multiLevelType w:val="hybridMultilevel"/>
    <w:tmpl w:val="54E8B7D6"/>
    <w:lvl w:ilvl="0" w:tplc="1BD8A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-120"/>
        <w:sz w:val="20"/>
      </w:rPr>
    </w:lvl>
    <w:lvl w:ilvl="1" w:tplc="5E8EF9C8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98C07516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sz w:val="24"/>
      </w:rPr>
    </w:lvl>
    <w:lvl w:ilvl="3" w:tplc="45A06578">
      <w:start w:val="1"/>
      <w:numFmt w:val="lowerRoman"/>
      <w:lvlText w:val="%4."/>
      <w:lvlJc w:val="left"/>
      <w:pPr>
        <w:ind w:left="2250" w:hanging="360"/>
      </w:pPr>
      <w:rPr>
        <w:rFonts w:ascii="Arial Narrow" w:eastAsia="Times" w:hAnsi="Arial Narrow" w:cstheme="minorHAnsi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14D2E"/>
    <w:multiLevelType w:val="hybridMultilevel"/>
    <w:tmpl w:val="A5B6C8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A1540"/>
    <w:multiLevelType w:val="hybridMultilevel"/>
    <w:tmpl w:val="BD482730"/>
    <w:lvl w:ilvl="0" w:tplc="178A4D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965"/>
    <w:multiLevelType w:val="hybridMultilevel"/>
    <w:tmpl w:val="A5B6C83C"/>
    <w:lvl w:ilvl="0" w:tplc="5E8EF9C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2705">
    <w:abstractNumId w:val="0"/>
  </w:num>
  <w:num w:numId="2" w16cid:durableId="2081556576">
    <w:abstractNumId w:val="3"/>
  </w:num>
  <w:num w:numId="3" w16cid:durableId="962728913">
    <w:abstractNumId w:val="2"/>
  </w:num>
  <w:num w:numId="4" w16cid:durableId="33076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3"/>
    <w:rsid w:val="00091DDB"/>
    <w:rsid w:val="000933AB"/>
    <w:rsid w:val="00097D52"/>
    <w:rsid w:val="000E7FC0"/>
    <w:rsid w:val="00180CF7"/>
    <w:rsid w:val="00206AF3"/>
    <w:rsid w:val="002315E8"/>
    <w:rsid w:val="002743BD"/>
    <w:rsid w:val="00294EEE"/>
    <w:rsid w:val="002D5916"/>
    <w:rsid w:val="00333A4A"/>
    <w:rsid w:val="00362FF9"/>
    <w:rsid w:val="003857F2"/>
    <w:rsid w:val="003E4B70"/>
    <w:rsid w:val="003E52D1"/>
    <w:rsid w:val="005131A0"/>
    <w:rsid w:val="0056584B"/>
    <w:rsid w:val="0057279E"/>
    <w:rsid w:val="00575030"/>
    <w:rsid w:val="00590FD6"/>
    <w:rsid w:val="005B0DF9"/>
    <w:rsid w:val="005C30E9"/>
    <w:rsid w:val="00625B84"/>
    <w:rsid w:val="006831DB"/>
    <w:rsid w:val="0073293F"/>
    <w:rsid w:val="00792753"/>
    <w:rsid w:val="007D2B25"/>
    <w:rsid w:val="008372C0"/>
    <w:rsid w:val="00902CF7"/>
    <w:rsid w:val="009363A3"/>
    <w:rsid w:val="00962082"/>
    <w:rsid w:val="00997DBB"/>
    <w:rsid w:val="00A2790E"/>
    <w:rsid w:val="00A45F7D"/>
    <w:rsid w:val="00A51F9D"/>
    <w:rsid w:val="00AA3103"/>
    <w:rsid w:val="00AE3BCD"/>
    <w:rsid w:val="00B80A7D"/>
    <w:rsid w:val="00B84376"/>
    <w:rsid w:val="00C969D3"/>
    <w:rsid w:val="00CC54D4"/>
    <w:rsid w:val="00CD3828"/>
    <w:rsid w:val="00D6020D"/>
    <w:rsid w:val="00E26F3A"/>
    <w:rsid w:val="00ED76A6"/>
    <w:rsid w:val="00EE2500"/>
    <w:rsid w:val="00EF699A"/>
    <w:rsid w:val="00F608E3"/>
    <w:rsid w:val="00F628B2"/>
    <w:rsid w:val="00FA2968"/>
    <w:rsid w:val="00FE6716"/>
    <w:rsid w:val="0ECFC49A"/>
    <w:rsid w:val="1B18587C"/>
    <w:rsid w:val="27626E8F"/>
    <w:rsid w:val="363636C2"/>
    <w:rsid w:val="4BE45B52"/>
    <w:rsid w:val="60361B57"/>
    <w:rsid w:val="6B9CC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E914E"/>
  <w15:chartTrackingRefBased/>
  <w15:docId w15:val="{B07C15EF-2302-460F-82E2-E9C784DF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D52"/>
    <w:pPr>
      <w:keepNext/>
      <w:keepLines/>
      <w:outlineLvl w:val="0"/>
    </w:pPr>
    <w:rPr>
      <w:rFonts w:eastAsiaTheme="majorEastAsia" w:cstheme="majorBidi"/>
      <w:b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D52"/>
    <w:rPr>
      <w:rFonts w:ascii="Calibri" w:eastAsiaTheme="majorEastAsia" w:hAnsi="Calibri" w:cstheme="majorBidi"/>
      <w:b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7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792753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nhideWhenUsed/>
    <w:rsid w:val="00792753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rsid w:val="00792753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792753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92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68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29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3F"/>
  </w:style>
  <w:style w:type="paragraph" w:styleId="Footer">
    <w:name w:val="footer"/>
    <w:basedOn w:val="Normal"/>
    <w:link w:val="FooterChar"/>
    <w:uiPriority w:val="99"/>
    <w:unhideWhenUsed/>
    <w:rsid w:val="0073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93F"/>
  </w:style>
  <w:style w:type="paragraph" w:customStyle="1" w:styleId="Style1">
    <w:name w:val="Style 1"/>
    <w:basedOn w:val="Heading3"/>
    <w:next w:val="Heading3"/>
    <w:qFormat/>
    <w:rsid w:val="002D5916"/>
    <w:pPr>
      <w:shd w:val="clear" w:color="auto" w:fill="FFFFFF"/>
      <w:spacing w:before="0" w:after="160" w:line="276" w:lineRule="auto"/>
      <w:outlineLvl w:val="0"/>
    </w:pPr>
    <w:rPr>
      <w:rFonts w:eastAsia="Times New Roman" w:cs="Open Sans"/>
      <w:b/>
      <w:color w:val="auto"/>
      <w:kern w:val="0"/>
      <w:sz w:val="24"/>
      <w:szCs w:val="32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8372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cblood.ca/en/blood-shorta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haem.org/wp-content/uploads/2025/03/Blood-conserva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35DEC08627146B85D6AED17EC0A4B" ma:contentTypeVersion="6" ma:contentTypeDescription="Create a new document." ma:contentTypeScope="" ma:versionID="bef8245ae06db73a01235536d3c3f329">
  <xsd:schema xmlns:xsd="http://www.w3.org/2001/XMLSchema" xmlns:xs="http://www.w3.org/2001/XMLSchema" xmlns:p="http://schemas.microsoft.com/office/2006/metadata/properties" xmlns:ns2="0d278cff-1142-440f-9735-affb0e0e90a2" targetNamespace="http://schemas.microsoft.com/office/2006/metadata/properties" ma:root="true" ma:fieldsID="1094d5b438753745aac3002027a4ffa4" ns2:_="">
    <xsd:import namespace="0d278cff-1142-440f-9735-affb0e0e9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8cff-1142-440f-9735-affb0e0e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81C1F-7CDF-4632-ABC2-4520B1FCC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4BD7A-81CB-43CB-9BC0-7770690D6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BD0B1-D924-4DC4-83DC-3799656D8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BFBF5D-8272-4FC9-BA07-E4F47CAB8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8cff-1142-440f-9735-affb0e0e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Aseltine</dc:creator>
  <cp:keywords/>
  <dc:description/>
  <cp:lastModifiedBy>Laura Aseltine</cp:lastModifiedBy>
  <cp:revision>31</cp:revision>
  <dcterms:created xsi:type="dcterms:W3CDTF">2025-09-23T00:07:00Z</dcterms:created>
  <dcterms:modified xsi:type="dcterms:W3CDTF">2026-04-30T19:15:00Z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0x01010062E35DEC08627146B85D6AED17EC0A4B</vt:lpwstr>
  </property>
</Properties>
</file>