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444" w:rsidRPr="001A18FF" w:rsidRDefault="00E25444">
      <w:pPr>
        <w:numPr>
          <w:ilvl w:val="0"/>
          <w:numId w:val="1"/>
        </w:numPr>
        <w:rPr>
          <w:rFonts w:ascii="Arial" w:hAnsi="Arial"/>
          <w:b/>
          <w:sz w:val="28"/>
          <w:lang w:val="fr-CA"/>
        </w:rPr>
      </w:pPr>
      <w:bookmarkStart w:id="0" w:name="_GoBack"/>
      <w:bookmarkEnd w:id="0"/>
      <w:r w:rsidRPr="001A18FF">
        <w:rPr>
          <w:rFonts w:ascii="Arial" w:hAnsi="Arial"/>
          <w:b/>
          <w:sz w:val="28"/>
          <w:lang w:val="fr-CA"/>
        </w:rPr>
        <w:t>Princip</w:t>
      </w:r>
      <w:r w:rsidR="00DE3E9C" w:rsidRPr="001A18FF">
        <w:rPr>
          <w:rFonts w:ascii="Arial" w:hAnsi="Arial"/>
          <w:b/>
          <w:sz w:val="28"/>
          <w:lang w:val="fr-CA"/>
        </w:rPr>
        <w:t>e</w:t>
      </w:r>
    </w:p>
    <w:p w:rsidR="00E25444" w:rsidRPr="0024331E" w:rsidRDefault="00E25444">
      <w:pPr>
        <w:rPr>
          <w:rFonts w:ascii="Arial" w:hAnsi="Arial"/>
          <w:b/>
          <w:sz w:val="24"/>
          <w:lang w:val="fr-CA"/>
        </w:rPr>
      </w:pPr>
    </w:p>
    <w:p w:rsidR="00E25444" w:rsidRPr="00544FB5" w:rsidRDefault="00DE3E9C" w:rsidP="00023BF4">
      <w:pPr>
        <w:pStyle w:val="BodyTextIndent"/>
        <w:rPr>
          <w:b/>
          <w:lang w:val="fr-CA"/>
        </w:rPr>
      </w:pPr>
      <w:r w:rsidRPr="00544FB5">
        <w:rPr>
          <w:lang w:val="fr-CA"/>
        </w:rPr>
        <w:t>L'épreuve d'identification des anticorps sert à repérer des anticorps immuns A ou B</w:t>
      </w:r>
      <w:r w:rsidR="00E25444" w:rsidRPr="00544FB5">
        <w:rPr>
          <w:lang w:val="fr-CA"/>
        </w:rPr>
        <w:t>.</w:t>
      </w:r>
      <w:r w:rsidR="00904C17" w:rsidRPr="00544FB5">
        <w:rPr>
          <w:lang w:val="fr-CA"/>
        </w:rPr>
        <w:t xml:space="preserve"> </w:t>
      </w:r>
      <w:r w:rsidR="001A18FF" w:rsidRPr="00544FB5">
        <w:rPr>
          <w:lang w:val="fr-CA"/>
        </w:rPr>
        <w:t xml:space="preserve">Dans cette épreuve, des globules rouges A et B commerciaux mis en solution saline hypotonique tamponnée </w:t>
      </w:r>
      <w:r w:rsidR="00023F8A">
        <w:rPr>
          <w:lang w:val="fr-CA"/>
        </w:rPr>
        <w:t xml:space="preserve">sont combinés </w:t>
      </w:r>
      <w:r w:rsidR="00825B77">
        <w:rPr>
          <w:lang w:val="fr-CA"/>
        </w:rPr>
        <w:t>au</w:t>
      </w:r>
      <w:r w:rsidR="001A18FF" w:rsidRPr="00544FB5">
        <w:rPr>
          <w:lang w:val="fr-CA"/>
        </w:rPr>
        <w:t xml:space="preserve"> sérum ou </w:t>
      </w:r>
      <w:r w:rsidR="00825B77">
        <w:rPr>
          <w:lang w:val="fr-CA"/>
        </w:rPr>
        <w:t xml:space="preserve">au </w:t>
      </w:r>
      <w:r w:rsidR="001A18FF" w:rsidRPr="00544FB5">
        <w:rPr>
          <w:lang w:val="fr-CA"/>
        </w:rPr>
        <w:t>plasma du patient pour entraîner une réaction antigène</w:t>
      </w:r>
      <w:r w:rsidR="00056AA1">
        <w:rPr>
          <w:lang w:val="fr-CA"/>
        </w:rPr>
        <w:t>-</w:t>
      </w:r>
      <w:r w:rsidR="001A18FF" w:rsidRPr="00544FB5">
        <w:rPr>
          <w:lang w:val="fr-CA"/>
        </w:rPr>
        <w:t>anticorps dans la chambre supérieure du microtube.</w:t>
      </w:r>
      <w:r w:rsidR="00904C17" w:rsidRPr="00544FB5">
        <w:rPr>
          <w:lang w:val="fr-CA"/>
        </w:rPr>
        <w:t xml:space="preserve"> </w:t>
      </w:r>
      <w:r w:rsidR="00023BF4" w:rsidRPr="00EB40E8">
        <w:rPr>
          <w:spacing w:val="-2"/>
          <w:lang w:val="fr-CA"/>
        </w:rPr>
        <w:t xml:space="preserve">Les cartes sont ensuite incubées pour stimuler l’interaction antigène/anticorps; si les globules rouges sont sensibilisés, ils réagiront avec l’anti-IgG intégré au gel du microtube pendant la centrifugation. </w:t>
      </w:r>
      <w:r w:rsidR="00023BF4" w:rsidRPr="00EB40E8">
        <w:rPr>
          <w:rFonts w:cs="Arial"/>
          <w:color w:val="000000"/>
          <w:lang w:val="fr-CA"/>
        </w:rPr>
        <w:t>L’agglutination indique la présence d’une réaction antigène-anticorps. L’absence d’agglutination indique l’absence de réaction antigène-anticorps. L’absence d’agglutination indique que le phénotype pour l’antigène testé est négatif, alors que l’agglutination indique que le phénotype est positif.</w:t>
      </w:r>
      <w:r w:rsidR="00023BF4">
        <w:rPr>
          <w:rFonts w:cs="Arial"/>
          <w:color w:val="000000"/>
          <w:lang w:val="fr-CA"/>
        </w:rPr>
        <w:t xml:space="preserve"> </w:t>
      </w:r>
      <w:r w:rsidR="00361CEF" w:rsidRPr="00544FB5">
        <w:rPr>
          <w:lang w:val="fr-CA"/>
        </w:rPr>
        <w:t>L’inclusion d’un auto</w:t>
      </w:r>
      <w:r w:rsidR="00056AA1">
        <w:rPr>
          <w:lang w:val="fr-CA"/>
        </w:rPr>
        <w:t>témoin</w:t>
      </w:r>
      <w:r w:rsidR="00361CEF" w:rsidRPr="00544FB5">
        <w:rPr>
          <w:lang w:val="fr-CA"/>
        </w:rPr>
        <w:t xml:space="preserve"> facilite la reconnaissance de la présence d’autoanticorps dans l’échantillon de plasma à l’épreuve.</w:t>
      </w:r>
    </w:p>
    <w:p w:rsidR="00E25444" w:rsidRPr="00544FB5" w:rsidRDefault="00E25444">
      <w:pPr>
        <w:rPr>
          <w:rFonts w:ascii="Arial" w:hAnsi="Arial"/>
          <w:b/>
          <w:sz w:val="24"/>
          <w:lang w:val="fr-CA"/>
        </w:rPr>
      </w:pPr>
    </w:p>
    <w:p w:rsidR="00E25444" w:rsidRPr="00544FB5" w:rsidRDefault="00361CEF">
      <w:pPr>
        <w:numPr>
          <w:ilvl w:val="0"/>
          <w:numId w:val="1"/>
        </w:numPr>
        <w:spacing w:line="228" w:lineRule="auto"/>
        <w:rPr>
          <w:rFonts w:ascii="Arial" w:hAnsi="Arial"/>
          <w:b/>
          <w:sz w:val="28"/>
          <w:lang w:val="fr-CA"/>
        </w:rPr>
      </w:pPr>
      <w:r w:rsidRPr="00544FB5">
        <w:rPr>
          <w:rFonts w:ascii="Arial" w:hAnsi="Arial"/>
          <w:b/>
          <w:sz w:val="28"/>
          <w:lang w:val="fr-CA"/>
        </w:rPr>
        <w:t>Portée et politiques connexes</w:t>
      </w:r>
    </w:p>
    <w:p w:rsidR="00E25444" w:rsidRPr="001A18FF" w:rsidRDefault="00E25444">
      <w:pPr>
        <w:spacing w:line="228" w:lineRule="auto"/>
        <w:rPr>
          <w:rFonts w:ascii="Arial" w:hAnsi="Arial"/>
          <w:sz w:val="24"/>
          <w:lang w:val="fr-CA"/>
        </w:rPr>
      </w:pPr>
    </w:p>
    <w:p w:rsidR="00E25444" w:rsidRPr="00544FB5" w:rsidRDefault="00544FB5">
      <w:pPr>
        <w:numPr>
          <w:ilvl w:val="1"/>
          <w:numId w:val="1"/>
        </w:numPr>
        <w:spacing w:line="228" w:lineRule="auto"/>
        <w:rPr>
          <w:rFonts w:ascii="Arial" w:hAnsi="Arial"/>
          <w:sz w:val="24"/>
          <w:lang w:val="fr-CA"/>
        </w:rPr>
      </w:pPr>
      <w:r w:rsidRPr="00544FB5">
        <w:rPr>
          <w:rFonts w:ascii="Arial" w:hAnsi="Arial"/>
          <w:sz w:val="24"/>
          <w:lang w:val="fr-CA"/>
        </w:rPr>
        <w:t xml:space="preserve">Un pourcentage élevé de mères </w:t>
      </w:r>
      <w:r w:rsidR="00E25444" w:rsidRPr="00544FB5">
        <w:rPr>
          <w:rFonts w:ascii="Arial" w:hAnsi="Arial"/>
          <w:sz w:val="24"/>
          <w:lang w:val="fr-CA"/>
        </w:rPr>
        <w:t xml:space="preserve">O </w:t>
      </w:r>
      <w:r w:rsidRPr="00544FB5">
        <w:rPr>
          <w:rFonts w:ascii="Arial" w:hAnsi="Arial"/>
          <w:sz w:val="24"/>
          <w:lang w:val="fr-CA"/>
        </w:rPr>
        <w:t>positi</w:t>
      </w:r>
      <w:r w:rsidR="00056AA1">
        <w:rPr>
          <w:rFonts w:ascii="Arial" w:hAnsi="Arial"/>
          <w:sz w:val="24"/>
          <w:lang w:val="fr-CA"/>
        </w:rPr>
        <w:t>f</w:t>
      </w:r>
      <w:r w:rsidRPr="00544FB5">
        <w:rPr>
          <w:rFonts w:ascii="Arial" w:hAnsi="Arial"/>
          <w:sz w:val="24"/>
          <w:lang w:val="fr-CA"/>
        </w:rPr>
        <w:t xml:space="preserve"> ont une forme </w:t>
      </w:r>
      <w:r w:rsidR="00023F8A">
        <w:rPr>
          <w:rFonts w:ascii="Arial" w:hAnsi="Arial"/>
          <w:sz w:val="24"/>
          <w:lang w:val="fr-CA"/>
        </w:rPr>
        <w:t>d’IgG immun anti-A et/ou anti-B</w:t>
      </w:r>
      <w:r w:rsidR="00E25444" w:rsidRPr="00544FB5">
        <w:rPr>
          <w:rFonts w:ascii="Arial" w:hAnsi="Arial"/>
          <w:sz w:val="24"/>
          <w:lang w:val="fr-CA"/>
        </w:rPr>
        <w:t xml:space="preserve">. </w:t>
      </w:r>
      <w:r w:rsidRPr="00544FB5">
        <w:rPr>
          <w:rFonts w:ascii="Arial" w:hAnsi="Arial"/>
          <w:sz w:val="24"/>
          <w:lang w:val="fr-CA"/>
        </w:rPr>
        <w:t>Si leur bébé est du groupe A ou du groupe B, il y a un risque d’hé</w:t>
      </w:r>
      <w:r w:rsidR="00E25444" w:rsidRPr="00544FB5">
        <w:rPr>
          <w:rFonts w:ascii="Arial" w:hAnsi="Arial"/>
          <w:sz w:val="24"/>
          <w:lang w:val="fr-CA"/>
        </w:rPr>
        <w:t>molys</w:t>
      </w:r>
      <w:r w:rsidRPr="00544FB5">
        <w:rPr>
          <w:rFonts w:ascii="Arial" w:hAnsi="Arial"/>
          <w:sz w:val="24"/>
          <w:lang w:val="fr-CA"/>
        </w:rPr>
        <w:t xml:space="preserve">e en raison de ces anticorps qui sont capables de traverser le placenta. Lorsqu’une incompatibilité </w:t>
      </w:r>
      <w:r w:rsidR="00023F8A">
        <w:rPr>
          <w:rFonts w:ascii="Arial" w:hAnsi="Arial"/>
          <w:sz w:val="24"/>
          <w:lang w:val="fr-CA"/>
        </w:rPr>
        <w:t>ABO</w:t>
      </w:r>
      <w:r w:rsidRPr="00544FB5">
        <w:rPr>
          <w:rFonts w:ascii="Arial" w:hAnsi="Arial"/>
          <w:sz w:val="24"/>
          <w:lang w:val="fr-CA"/>
        </w:rPr>
        <w:t xml:space="preserve"> est constatée entre </w:t>
      </w:r>
      <w:r w:rsidR="0097773D">
        <w:rPr>
          <w:rFonts w:ascii="Arial" w:hAnsi="Arial"/>
          <w:sz w:val="24"/>
          <w:lang w:val="fr-CA"/>
        </w:rPr>
        <w:t>une</w:t>
      </w:r>
      <w:r w:rsidRPr="00544FB5">
        <w:rPr>
          <w:rFonts w:ascii="Arial" w:hAnsi="Arial"/>
          <w:sz w:val="24"/>
          <w:lang w:val="fr-CA"/>
        </w:rPr>
        <w:t xml:space="preserve"> mère de groupe O et son bébé, une épreuve de routine doit être faite pour dépister l’anti-A ou l’anti-B maternel. </w:t>
      </w:r>
      <w:r w:rsidR="00E25444" w:rsidRPr="00544FB5">
        <w:rPr>
          <w:rFonts w:ascii="Arial" w:hAnsi="Arial"/>
          <w:sz w:val="24"/>
          <w:lang w:val="fr-CA"/>
        </w:rPr>
        <w:t xml:space="preserve"> </w:t>
      </w:r>
    </w:p>
    <w:p w:rsidR="00E25444" w:rsidRPr="001A18FF" w:rsidRDefault="00E25444">
      <w:pPr>
        <w:spacing w:line="228" w:lineRule="auto"/>
        <w:ind w:left="720"/>
        <w:rPr>
          <w:rFonts w:ascii="Arial" w:hAnsi="Arial"/>
          <w:sz w:val="24"/>
          <w:lang w:val="fr-CA"/>
        </w:rPr>
      </w:pPr>
    </w:p>
    <w:p w:rsidR="00E25444" w:rsidRPr="00544FB5" w:rsidRDefault="00544FB5">
      <w:pPr>
        <w:numPr>
          <w:ilvl w:val="1"/>
          <w:numId w:val="1"/>
        </w:numPr>
        <w:spacing w:line="228" w:lineRule="auto"/>
        <w:rPr>
          <w:rFonts w:ascii="Arial" w:hAnsi="Arial"/>
          <w:sz w:val="24"/>
          <w:lang w:val="fr-CA"/>
        </w:rPr>
      </w:pPr>
      <w:r>
        <w:rPr>
          <w:rFonts w:ascii="Arial" w:hAnsi="Arial"/>
          <w:sz w:val="24"/>
          <w:lang w:val="fr-CA"/>
        </w:rPr>
        <w:t xml:space="preserve">Des cellules </w:t>
      </w:r>
      <w:r w:rsidRPr="00286123">
        <w:rPr>
          <w:rFonts w:ascii="Arial" w:hAnsi="Arial"/>
          <w:sz w:val="24"/>
          <w:lang w:val="fr-CA"/>
        </w:rPr>
        <w:t>d’adultes connues</w:t>
      </w:r>
      <w:r>
        <w:rPr>
          <w:rFonts w:ascii="Arial" w:hAnsi="Arial"/>
          <w:sz w:val="24"/>
          <w:lang w:val="fr-CA"/>
        </w:rPr>
        <w:t xml:space="preserve"> de groupe </w:t>
      </w:r>
      <w:r w:rsidR="00E25444" w:rsidRPr="001A18FF">
        <w:rPr>
          <w:rFonts w:ascii="Arial" w:hAnsi="Arial"/>
          <w:sz w:val="24"/>
          <w:lang w:val="fr-CA"/>
        </w:rPr>
        <w:t>A</w:t>
      </w:r>
      <w:r w:rsidR="00E25444" w:rsidRPr="001A18FF">
        <w:rPr>
          <w:rFonts w:ascii="Arial" w:hAnsi="Arial"/>
          <w:sz w:val="24"/>
          <w:vertAlign w:val="subscript"/>
          <w:lang w:val="fr-CA"/>
        </w:rPr>
        <w:t>1,</w:t>
      </w:r>
      <w:r w:rsidR="00E25444" w:rsidRPr="001A18FF">
        <w:rPr>
          <w:rFonts w:ascii="Arial" w:hAnsi="Arial"/>
          <w:sz w:val="24"/>
          <w:lang w:val="fr-CA"/>
        </w:rPr>
        <w:t xml:space="preserve"> </w:t>
      </w:r>
      <w:r w:rsidR="00E25444" w:rsidRPr="00544FB5">
        <w:rPr>
          <w:rFonts w:ascii="Arial" w:hAnsi="Arial"/>
          <w:sz w:val="24"/>
          <w:lang w:val="fr-CA"/>
        </w:rPr>
        <w:t xml:space="preserve">B </w:t>
      </w:r>
      <w:r w:rsidRPr="00544FB5">
        <w:rPr>
          <w:rFonts w:ascii="Arial" w:hAnsi="Arial"/>
          <w:sz w:val="24"/>
          <w:lang w:val="fr-CA"/>
        </w:rPr>
        <w:t xml:space="preserve">et </w:t>
      </w:r>
      <w:r w:rsidR="00E25444" w:rsidRPr="00544FB5">
        <w:rPr>
          <w:rFonts w:ascii="Arial" w:hAnsi="Arial"/>
          <w:sz w:val="24"/>
          <w:lang w:val="fr-CA"/>
        </w:rPr>
        <w:t xml:space="preserve">O </w:t>
      </w:r>
      <w:r w:rsidR="001459DB" w:rsidRPr="00544FB5">
        <w:rPr>
          <w:rFonts w:ascii="Arial" w:hAnsi="Arial"/>
          <w:sz w:val="24"/>
          <w:lang w:val="fr-CA"/>
        </w:rPr>
        <w:t>sont testées pour exclure la présence d</w:t>
      </w:r>
      <w:r>
        <w:rPr>
          <w:rFonts w:ascii="Arial" w:hAnsi="Arial"/>
          <w:sz w:val="24"/>
          <w:lang w:val="fr-CA"/>
        </w:rPr>
        <w:t>’</w:t>
      </w:r>
      <w:r w:rsidR="00E25444" w:rsidRPr="00544FB5">
        <w:rPr>
          <w:rFonts w:ascii="Arial" w:hAnsi="Arial"/>
          <w:sz w:val="24"/>
          <w:lang w:val="fr-CA"/>
        </w:rPr>
        <w:t>A/B</w:t>
      </w:r>
      <w:r w:rsidRPr="00544FB5">
        <w:rPr>
          <w:rFonts w:ascii="Arial" w:hAnsi="Arial"/>
          <w:sz w:val="24"/>
          <w:lang w:val="fr-CA"/>
        </w:rPr>
        <w:t xml:space="preserve"> immuns</w:t>
      </w:r>
      <w:r w:rsidR="00E25444" w:rsidRPr="00544FB5">
        <w:rPr>
          <w:rFonts w:ascii="Arial" w:hAnsi="Arial"/>
          <w:sz w:val="24"/>
          <w:lang w:val="fr-CA"/>
        </w:rPr>
        <w:t>.</w:t>
      </w:r>
    </w:p>
    <w:p w:rsidR="00E25444" w:rsidRPr="001A18FF" w:rsidRDefault="00E25444">
      <w:pPr>
        <w:spacing w:line="228" w:lineRule="auto"/>
        <w:rPr>
          <w:rFonts w:ascii="Arial" w:hAnsi="Arial"/>
          <w:sz w:val="24"/>
          <w:lang w:val="fr-CA"/>
        </w:rPr>
      </w:pPr>
    </w:p>
    <w:p w:rsidR="00E25444" w:rsidRPr="00544FB5" w:rsidRDefault="00544FB5">
      <w:pPr>
        <w:numPr>
          <w:ilvl w:val="1"/>
          <w:numId w:val="1"/>
        </w:numPr>
        <w:spacing w:line="228" w:lineRule="auto"/>
        <w:rPr>
          <w:rFonts w:ascii="Arial" w:hAnsi="Arial"/>
          <w:sz w:val="24"/>
          <w:lang w:val="fr-CA"/>
        </w:rPr>
      </w:pPr>
      <w:r w:rsidRPr="00544FB5">
        <w:rPr>
          <w:rFonts w:ascii="Arial" w:hAnsi="Arial"/>
          <w:sz w:val="24"/>
          <w:lang w:val="fr-CA"/>
        </w:rPr>
        <w:t>Les cellules suivantes serviront à déterminer la présence d’</w:t>
      </w:r>
      <w:r w:rsidR="00E25444" w:rsidRPr="00544FB5">
        <w:rPr>
          <w:rFonts w:ascii="Arial" w:hAnsi="Arial"/>
          <w:sz w:val="24"/>
          <w:lang w:val="fr-CA"/>
        </w:rPr>
        <w:t xml:space="preserve">A/B </w:t>
      </w:r>
      <w:r w:rsidRPr="00544FB5">
        <w:rPr>
          <w:rFonts w:ascii="Arial" w:hAnsi="Arial"/>
          <w:sz w:val="24"/>
          <w:lang w:val="fr-CA"/>
        </w:rPr>
        <w:t xml:space="preserve">immuns, selon la catégorie de patientes </w:t>
      </w:r>
      <w:r w:rsidR="00E25444" w:rsidRPr="00544FB5">
        <w:rPr>
          <w:rFonts w:ascii="Arial" w:hAnsi="Arial"/>
          <w:sz w:val="24"/>
          <w:lang w:val="fr-CA"/>
        </w:rPr>
        <w:t>:</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tblGrid>
      <w:tr w:rsidR="00E25444" w:rsidRPr="00544FB5">
        <w:tc>
          <w:tcPr>
            <w:tcW w:w="1440" w:type="dxa"/>
          </w:tcPr>
          <w:p w:rsidR="00E25444" w:rsidRPr="00544FB5" w:rsidRDefault="00023F8A" w:rsidP="00056AA1">
            <w:pPr>
              <w:rPr>
                <w:rFonts w:ascii="Arial" w:hAnsi="Arial"/>
                <w:sz w:val="24"/>
                <w:lang w:val="fr-CA"/>
              </w:rPr>
            </w:pPr>
            <w:r>
              <w:rPr>
                <w:rFonts w:ascii="Arial" w:hAnsi="Arial"/>
                <w:sz w:val="24"/>
                <w:lang w:val="fr-CA"/>
              </w:rPr>
              <w:t>Patiente</w:t>
            </w:r>
          </w:p>
        </w:tc>
        <w:tc>
          <w:tcPr>
            <w:tcW w:w="1440" w:type="dxa"/>
          </w:tcPr>
          <w:p w:rsidR="00E25444" w:rsidRPr="00544FB5" w:rsidRDefault="00E25444">
            <w:pPr>
              <w:rPr>
                <w:rFonts w:ascii="Arial" w:hAnsi="Arial"/>
                <w:sz w:val="24"/>
                <w:lang w:val="fr-CA"/>
              </w:rPr>
            </w:pPr>
            <w:r w:rsidRPr="00544FB5">
              <w:rPr>
                <w:rFonts w:ascii="Arial" w:hAnsi="Arial"/>
                <w:sz w:val="24"/>
                <w:lang w:val="fr-CA"/>
              </w:rPr>
              <w:t>Cell</w:t>
            </w:r>
            <w:r w:rsidR="00544FB5" w:rsidRPr="00544FB5">
              <w:rPr>
                <w:rFonts w:ascii="Arial" w:hAnsi="Arial"/>
                <w:sz w:val="24"/>
                <w:lang w:val="fr-CA"/>
              </w:rPr>
              <w:t>ule</w:t>
            </w:r>
            <w:r w:rsidRPr="00544FB5">
              <w:rPr>
                <w:rFonts w:ascii="Arial" w:hAnsi="Arial"/>
                <w:sz w:val="24"/>
                <w:lang w:val="fr-CA"/>
              </w:rPr>
              <w:t>s</w:t>
            </w:r>
          </w:p>
        </w:tc>
      </w:tr>
      <w:tr w:rsidR="00E25444" w:rsidRPr="00544FB5">
        <w:tc>
          <w:tcPr>
            <w:tcW w:w="1440" w:type="dxa"/>
          </w:tcPr>
          <w:p w:rsidR="00E25444" w:rsidRPr="00544FB5" w:rsidRDefault="00E25444">
            <w:pPr>
              <w:rPr>
                <w:rFonts w:ascii="Arial" w:hAnsi="Arial"/>
                <w:sz w:val="24"/>
                <w:lang w:val="fr-CA"/>
              </w:rPr>
            </w:pPr>
            <w:r w:rsidRPr="00544FB5">
              <w:rPr>
                <w:rFonts w:ascii="Arial" w:hAnsi="Arial"/>
                <w:sz w:val="24"/>
                <w:lang w:val="fr-CA"/>
              </w:rPr>
              <w:t>Group</w:t>
            </w:r>
            <w:r w:rsidR="0024331E" w:rsidRPr="00544FB5">
              <w:rPr>
                <w:rFonts w:ascii="Arial" w:hAnsi="Arial"/>
                <w:sz w:val="24"/>
                <w:lang w:val="fr-CA"/>
              </w:rPr>
              <w:t>e</w:t>
            </w:r>
            <w:r w:rsidRPr="00544FB5">
              <w:rPr>
                <w:rFonts w:ascii="Arial" w:hAnsi="Arial"/>
                <w:sz w:val="24"/>
                <w:lang w:val="fr-CA"/>
              </w:rPr>
              <w:t xml:space="preserve"> O</w:t>
            </w:r>
          </w:p>
        </w:tc>
        <w:tc>
          <w:tcPr>
            <w:tcW w:w="1440" w:type="dxa"/>
          </w:tcPr>
          <w:p w:rsidR="00E25444" w:rsidRPr="00544FB5" w:rsidRDefault="00E25444">
            <w:pPr>
              <w:rPr>
                <w:rFonts w:ascii="Arial" w:hAnsi="Arial"/>
                <w:sz w:val="24"/>
                <w:lang w:val="fr-CA"/>
              </w:rPr>
            </w:pPr>
            <w:r w:rsidRPr="00544FB5">
              <w:rPr>
                <w:rFonts w:ascii="Arial" w:hAnsi="Arial"/>
                <w:sz w:val="24"/>
                <w:lang w:val="fr-CA"/>
              </w:rPr>
              <w:t>A, B, O</w:t>
            </w:r>
          </w:p>
        </w:tc>
      </w:tr>
      <w:tr w:rsidR="00E25444" w:rsidRPr="00544FB5">
        <w:tc>
          <w:tcPr>
            <w:tcW w:w="1440" w:type="dxa"/>
          </w:tcPr>
          <w:p w:rsidR="00E25444" w:rsidRPr="00544FB5" w:rsidRDefault="00E25444">
            <w:pPr>
              <w:rPr>
                <w:rFonts w:ascii="Arial" w:hAnsi="Arial"/>
                <w:sz w:val="24"/>
                <w:lang w:val="fr-CA"/>
              </w:rPr>
            </w:pPr>
            <w:r w:rsidRPr="00544FB5">
              <w:rPr>
                <w:rFonts w:ascii="Arial" w:hAnsi="Arial"/>
                <w:sz w:val="24"/>
                <w:lang w:val="fr-CA"/>
              </w:rPr>
              <w:t>Group</w:t>
            </w:r>
            <w:r w:rsidR="00544FB5" w:rsidRPr="00544FB5">
              <w:rPr>
                <w:rFonts w:ascii="Arial" w:hAnsi="Arial"/>
                <w:sz w:val="24"/>
                <w:lang w:val="fr-CA"/>
              </w:rPr>
              <w:t>e</w:t>
            </w:r>
            <w:r w:rsidRPr="00544FB5">
              <w:rPr>
                <w:rFonts w:ascii="Arial" w:hAnsi="Arial"/>
                <w:sz w:val="24"/>
                <w:lang w:val="fr-CA"/>
              </w:rPr>
              <w:t xml:space="preserve"> A</w:t>
            </w:r>
          </w:p>
        </w:tc>
        <w:tc>
          <w:tcPr>
            <w:tcW w:w="1440" w:type="dxa"/>
          </w:tcPr>
          <w:p w:rsidR="00E25444" w:rsidRPr="00544FB5" w:rsidRDefault="00E25444">
            <w:pPr>
              <w:rPr>
                <w:rFonts w:ascii="Arial" w:hAnsi="Arial"/>
                <w:sz w:val="24"/>
                <w:lang w:val="fr-CA"/>
              </w:rPr>
            </w:pPr>
            <w:r w:rsidRPr="00544FB5">
              <w:rPr>
                <w:rFonts w:ascii="Arial" w:hAnsi="Arial"/>
                <w:sz w:val="24"/>
                <w:lang w:val="fr-CA"/>
              </w:rPr>
              <w:t>B, O</w:t>
            </w:r>
          </w:p>
        </w:tc>
      </w:tr>
      <w:tr w:rsidR="00E25444" w:rsidRPr="00544FB5">
        <w:tc>
          <w:tcPr>
            <w:tcW w:w="1440" w:type="dxa"/>
          </w:tcPr>
          <w:p w:rsidR="00E25444" w:rsidRPr="00544FB5" w:rsidRDefault="00E25444">
            <w:pPr>
              <w:rPr>
                <w:rFonts w:ascii="Arial" w:hAnsi="Arial"/>
                <w:sz w:val="24"/>
                <w:lang w:val="fr-CA"/>
              </w:rPr>
            </w:pPr>
            <w:r w:rsidRPr="00544FB5">
              <w:rPr>
                <w:rFonts w:ascii="Arial" w:hAnsi="Arial"/>
                <w:sz w:val="24"/>
                <w:lang w:val="fr-CA"/>
              </w:rPr>
              <w:t>Group</w:t>
            </w:r>
            <w:r w:rsidR="00544FB5" w:rsidRPr="00544FB5">
              <w:rPr>
                <w:rFonts w:ascii="Arial" w:hAnsi="Arial"/>
                <w:sz w:val="24"/>
                <w:lang w:val="fr-CA"/>
              </w:rPr>
              <w:t>e</w:t>
            </w:r>
            <w:r w:rsidRPr="00544FB5">
              <w:rPr>
                <w:rFonts w:ascii="Arial" w:hAnsi="Arial"/>
                <w:sz w:val="24"/>
                <w:lang w:val="fr-CA"/>
              </w:rPr>
              <w:t xml:space="preserve"> B</w:t>
            </w:r>
          </w:p>
        </w:tc>
        <w:tc>
          <w:tcPr>
            <w:tcW w:w="1440" w:type="dxa"/>
          </w:tcPr>
          <w:p w:rsidR="00E25444" w:rsidRPr="00544FB5" w:rsidRDefault="00E25444">
            <w:pPr>
              <w:rPr>
                <w:rFonts w:ascii="Arial" w:hAnsi="Arial"/>
                <w:sz w:val="24"/>
                <w:lang w:val="fr-CA"/>
              </w:rPr>
            </w:pPr>
            <w:r w:rsidRPr="00544FB5">
              <w:rPr>
                <w:rFonts w:ascii="Arial" w:hAnsi="Arial"/>
                <w:sz w:val="24"/>
                <w:lang w:val="fr-CA"/>
              </w:rPr>
              <w:t>A, O</w:t>
            </w:r>
          </w:p>
        </w:tc>
      </w:tr>
    </w:tbl>
    <w:p w:rsidR="00E25444" w:rsidRPr="001A18FF" w:rsidRDefault="00544FB5">
      <w:pPr>
        <w:numPr>
          <w:ilvl w:val="0"/>
          <w:numId w:val="1"/>
        </w:numPr>
        <w:spacing w:line="228" w:lineRule="auto"/>
        <w:rPr>
          <w:rFonts w:ascii="Arial" w:hAnsi="Arial"/>
          <w:b/>
          <w:sz w:val="28"/>
          <w:lang w:val="fr-CA"/>
        </w:rPr>
      </w:pPr>
      <w:r>
        <w:rPr>
          <w:rFonts w:ascii="Arial" w:hAnsi="Arial"/>
          <w:b/>
          <w:color w:val="000000"/>
          <w:sz w:val="28"/>
          <w:lang w:val="fr-CA"/>
        </w:rPr>
        <w:lastRenderedPageBreak/>
        <w:t>É</w:t>
      </w:r>
      <w:r w:rsidR="00361CEF" w:rsidRPr="00361CEF">
        <w:rPr>
          <w:rFonts w:ascii="Arial" w:hAnsi="Arial"/>
          <w:b/>
          <w:color w:val="000000"/>
          <w:sz w:val="28"/>
          <w:lang w:val="fr-CA"/>
        </w:rPr>
        <w:t>chantillons</w:t>
      </w:r>
    </w:p>
    <w:p w:rsidR="00E25444" w:rsidRPr="001A18FF" w:rsidRDefault="00E25444">
      <w:pPr>
        <w:spacing w:line="228" w:lineRule="auto"/>
        <w:rPr>
          <w:rFonts w:ascii="Arial" w:hAnsi="Arial"/>
          <w:sz w:val="24"/>
          <w:lang w:val="fr-CA"/>
        </w:rPr>
      </w:pPr>
    </w:p>
    <w:p w:rsidR="00023BF4" w:rsidRPr="00EB40E8" w:rsidRDefault="00023BF4" w:rsidP="00023BF4">
      <w:pPr>
        <w:ind w:left="720"/>
        <w:rPr>
          <w:rFonts w:ascii="Arial" w:hAnsi="Arial"/>
          <w:sz w:val="24"/>
          <w:lang w:val="fr-CA"/>
        </w:rPr>
      </w:pPr>
      <w:r w:rsidRPr="00EB40E8">
        <w:rPr>
          <w:rFonts w:ascii="Arial" w:hAnsi="Arial"/>
          <w:sz w:val="24"/>
          <w:lang w:val="fr-CA"/>
        </w:rPr>
        <w:t>Sang total anticoagulé - tube EDTA prélevé dans les quatorze (14) jours précédant l'épreuve, de préférence, mais du sérum peut aussi servir.</w:t>
      </w:r>
    </w:p>
    <w:p w:rsidR="00E25444" w:rsidRPr="00544FB5" w:rsidRDefault="00544FB5">
      <w:pPr>
        <w:spacing w:line="228" w:lineRule="auto"/>
        <w:ind w:left="720"/>
        <w:rPr>
          <w:rFonts w:ascii="Arial" w:hAnsi="Arial"/>
          <w:sz w:val="24"/>
          <w:lang w:val="fr-CA"/>
        </w:rPr>
      </w:pPr>
      <w:r w:rsidRPr="00544FB5">
        <w:rPr>
          <w:rFonts w:ascii="Arial" w:hAnsi="Arial"/>
          <w:sz w:val="24"/>
          <w:lang w:val="fr-CA"/>
        </w:rPr>
        <w:t>Du sérum de sang de cordon peut aussi être utilisé</w:t>
      </w:r>
      <w:r w:rsidR="00E25444" w:rsidRPr="00544FB5">
        <w:rPr>
          <w:rFonts w:ascii="Arial" w:hAnsi="Arial"/>
          <w:sz w:val="24"/>
          <w:lang w:val="fr-CA"/>
        </w:rPr>
        <w:t>.</w:t>
      </w:r>
    </w:p>
    <w:p w:rsidR="00023BF4" w:rsidRDefault="00023BF4">
      <w:pPr>
        <w:pStyle w:val="BodyTextIndent"/>
        <w:rPr>
          <w:lang w:val="fr-CA"/>
        </w:rPr>
      </w:pPr>
    </w:p>
    <w:p w:rsidR="00E25444" w:rsidRPr="00544FB5" w:rsidRDefault="00361CEF">
      <w:pPr>
        <w:pStyle w:val="BodyTextIndent"/>
        <w:rPr>
          <w:lang w:val="fr-CA"/>
        </w:rPr>
      </w:pPr>
      <w:r w:rsidRPr="00544FB5">
        <w:rPr>
          <w:lang w:val="fr-CA"/>
        </w:rPr>
        <w:t>Les échantillons hémolysés et nettement ictériques peuvent compliquer l'interprétation des résultats.</w:t>
      </w:r>
      <w:r w:rsidR="00023BF4">
        <w:rPr>
          <w:lang w:val="fr-CA"/>
        </w:rPr>
        <w:t xml:space="preserve"> Voir la Remarque 8.4</w:t>
      </w:r>
    </w:p>
    <w:p w:rsidR="00E25444" w:rsidRPr="00544FB5" w:rsidRDefault="00E25444">
      <w:pPr>
        <w:ind w:left="720"/>
        <w:rPr>
          <w:rFonts w:ascii="Arial" w:hAnsi="Arial"/>
          <w:sz w:val="24"/>
          <w:lang w:val="fr-CA"/>
        </w:rPr>
      </w:pPr>
    </w:p>
    <w:p w:rsidR="00E25444" w:rsidRPr="00544FB5" w:rsidRDefault="00361CEF">
      <w:pPr>
        <w:ind w:left="720"/>
        <w:rPr>
          <w:rFonts w:ascii="Arial" w:hAnsi="Arial"/>
          <w:sz w:val="24"/>
          <w:lang w:val="fr-CA"/>
        </w:rPr>
      </w:pPr>
      <w:r w:rsidRPr="00544FB5">
        <w:rPr>
          <w:rFonts w:ascii="Arial" w:hAnsi="Arial"/>
          <w:sz w:val="24"/>
          <w:lang w:val="fr-CA"/>
        </w:rPr>
        <w:t>On peut éclaircir par centrifugation ou par filtration et ensuite tester à nouveau les échantillons nettement lipémiques contenant des particules qui obstruent le gel et dont la présence forme des taches diffuses de globules rouges.</w:t>
      </w:r>
    </w:p>
    <w:p w:rsidR="00E25444" w:rsidRPr="00544FB5" w:rsidRDefault="00E25444">
      <w:pPr>
        <w:ind w:left="1080"/>
        <w:rPr>
          <w:rFonts w:ascii="Arial" w:hAnsi="Arial"/>
          <w:sz w:val="24"/>
          <w:lang w:val="fr-CA"/>
        </w:rPr>
      </w:pPr>
    </w:p>
    <w:p w:rsidR="00E25444" w:rsidRPr="00F80837" w:rsidRDefault="00E25444">
      <w:pPr>
        <w:numPr>
          <w:ilvl w:val="0"/>
          <w:numId w:val="1"/>
        </w:numPr>
        <w:rPr>
          <w:rFonts w:ascii="Arial" w:hAnsi="Arial"/>
          <w:b/>
          <w:sz w:val="28"/>
          <w:lang w:val="fr-CA"/>
        </w:rPr>
      </w:pPr>
      <w:r w:rsidRPr="00F80837">
        <w:rPr>
          <w:rFonts w:ascii="Arial" w:hAnsi="Arial"/>
          <w:b/>
          <w:sz w:val="28"/>
          <w:lang w:val="fr-CA"/>
        </w:rPr>
        <w:t>Mat</w:t>
      </w:r>
      <w:r w:rsidR="00544FB5" w:rsidRPr="00F80837">
        <w:rPr>
          <w:rFonts w:ascii="Arial" w:hAnsi="Arial"/>
          <w:b/>
          <w:sz w:val="28"/>
          <w:lang w:val="fr-CA"/>
        </w:rPr>
        <w:t>é</w:t>
      </w:r>
      <w:r w:rsidRPr="00F80837">
        <w:rPr>
          <w:rFonts w:ascii="Arial" w:hAnsi="Arial"/>
          <w:b/>
          <w:sz w:val="28"/>
          <w:lang w:val="fr-CA"/>
        </w:rPr>
        <w:t>ri</w:t>
      </w:r>
      <w:r w:rsidR="00544FB5" w:rsidRPr="00F80837">
        <w:rPr>
          <w:rFonts w:ascii="Arial" w:hAnsi="Arial"/>
          <w:b/>
          <w:sz w:val="28"/>
          <w:lang w:val="fr-CA"/>
        </w:rPr>
        <w:t>e</w:t>
      </w:r>
      <w:r w:rsidRPr="00F80837">
        <w:rPr>
          <w:rFonts w:ascii="Arial" w:hAnsi="Arial"/>
          <w:b/>
          <w:sz w:val="28"/>
          <w:lang w:val="fr-CA"/>
        </w:rPr>
        <w:t>l</w:t>
      </w:r>
    </w:p>
    <w:p w:rsidR="00E25444" w:rsidRPr="00F80837" w:rsidRDefault="00E25444">
      <w:pPr>
        <w:rPr>
          <w:rFonts w:ascii="Arial" w:hAnsi="Arial"/>
          <w:sz w:val="24"/>
          <w:lang w:val="fr-CA"/>
        </w:rPr>
      </w:pPr>
    </w:p>
    <w:p w:rsidR="00E25444" w:rsidRPr="00F80837" w:rsidRDefault="00361CEF" w:rsidP="00F80837">
      <w:pPr>
        <w:tabs>
          <w:tab w:val="left" w:pos="2340"/>
        </w:tabs>
        <w:ind w:left="720"/>
        <w:rPr>
          <w:rFonts w:ascii="Arial" w:hAnsi="Arial"/>
          <w:sz w:val="24"/>
          <w:lang w:val="fr-CA"/>
        </w:rPr>
      </w:pPr>
      <w:r w:rsidRPr="00F80837">
        <w:rPr>
          <w:rFonts w:ascii="Arial" w:hAnsi="Arial"/>
          <w:b/>
          <w:sz w:val="24"/>
          <w:lang w:val="fr-CA"/>
        </w:rPr>
        <w:t>Équipement</w:t>
      </w:r>
      <w:r w:rsidRPr="00F80837">
        <w:rPr>
          <w:rFonts w:ascii="Arial" w:hAnsi="Arial"/>
          <w:sz w:val="24"/>
          <w:lang w:val="fr-CA"/>
        </w:rPr>
        <w:t> :</w:t>
      </w:r>
      <w:r w:rsidRPr="00F80837">
        <w:rPr>
          <w:rFonts w:ascii="Arial" w:hAnsi="Arial"/>
          <w:sz w:val="24"/>
          <w:lang w:val="fr-CA"/>
        </w:rPr>
        <w:tab/>
        <w:t>centrifugeuse</w:t>
      </w:r>
    </w:p>
    <w:p w:rsidR="00E25444" w:rsidRPr="00F80837" w:rsidRDefault="00E25444" w:rsidP="00F80837">
      <w:pPr>
        <w:tabs>
          <w:tab w:val="left" w:pos="2340"/>
        </w:tabs>
        <w:rPr>
          <w:rFonts w:ascii="Arial" w:hAnsi="Arial"/>
          <w:sz w:val="24"/>
          <w:lang w:val="fr-CA"/>
        </w:rPr>
      </w:pPr>
      <w:r w:rsidRPr="00F80837">
        <w:rPr>
          <w:rFonts w:ascii="Arial" w:hAnsi="Arial"/>
          <w:sz w:val="24"/>
          <w:lang w:val="fr-CA"/>
        </w:rPr>
        <w:tab/>
      </w:r>
      <w:r w:rsidR="00544FB5" w:rsidRPr="00F80837">
        <w:rPr>
          <w:rFonts w:ascii="Arial" w:hAnsi="Arial"/>
          <w:sz w:val="24"/>
          <w:lang w:val="fr-CA"/>
        </w:rPr>
        <w:t>i</w:t>
      </w:r>
      <w:r w:rsidRPr="00F80837">
        <w:rPr>
          <w:rFonts w:ascii="Arial" w:hAnsi="Arial"/>
          <w:sz w:val="24"/>
          <w:lang w:val="fr-CA"/>
        </w:rPr>
        <w:t>ncubat</w:t>
      </w:r>
      <w:r w:rsidR="00544FB5" w:rsidRPr="00F80837">
        <w:rPr>
          <w:rFonts w:ascii="Arial" w:hAnsi="Arial"/>
          <w:sz w:val="24"/>
          <w:lang w:val="fr-CA"/>
        </w:rPr>
        <w:t>eur</w:t>
      </w:r>
    </w:p>
    <w:p w:rsidR="00E25444" w:rsidRPr="00F80837" w:rsidRDefault="00E25444" w:rsidP="00F80837">
      <w:pPr>
        <w:tabs>
          <w:tab w:val="left" w:pos="2340"/>
        </w:tabs>
        <w:rPr>
          <w:rFonts w:ascii="Arial" w:hAnsi="Arial"/>
          <w:sz w:val="24"/>
          <w:lang w:val="fr-CA"/>
        </w:rPr>
      </w:pPr>
      <w:r w:rsidRPr="00F80837">
        <w:rPr>
          <w:rFonts w:ascii="Arial" w:hAnsi="Arial"/>
          <w:sz w:val="24"/>
          <w:lang w:val="fr-CA"/>
        </w:rPr>
        <w:tab/>
      </w:r>
      <w:r w:rsidR="00544FB5" w:rsidRPr="00F80837">
        <w:rPr>
          <w:rFonts w:ascii="Arial" w:hAnsi="Arial"/>
          <w:sz w:val="24"/>
          <w:lang w:val="fr-CA"/>
        </w:rPr>
        <w:t>pipetteur</w:t>
      </w:r>
    </w:p>
    <w:p w:rsidR="00E25444" w:rsidRPr="00F80837" w:rsidRDefault="00E25444" w:rsidP="00F80837">
      <w:pPr>
        <w:tabs>
          <w:tab w:val="left" w:pos="2340"/>
        </w:tabs>
        <w:rPr>
          <w:rFonts w:ascii="Arial" w:hAnsi="Arial"/>
          <w:sz w:val="24"/>
          <w:lang w:val="fr-CA"/>
        </w:rPr>
      </w:pPr>
      <w:r w:rsidRPr="00F80837">
        <w:rPr>
          <w:rFonts w:ascii="Arial" w:hAnsi="Arial"/>
          <w:sz w:val="24"/>
          <w:lang w:val="fr-CA"/>
        </w:rPr>
        <w:tab/>
      </w:r>
      <w:r w:rsidR="00544FB5" w:rsidRPr="00F80837">
        <w:rPr>
          <w:rFonts w:ascii="Arial" w:hAnsi="Arial"/>
          <w:sz w:val="24"/>
          <w:lang w:val="fr-CA"/>
        </w:rPr>
        <w:t>d</w:t>
      </w:r>
      <w:r w:rsidR="00361CEF" w:rsidRPr="00F80837">
        <w:rPr>
          <w:rFonts w:ascii="Arial" w:hAnsi="Arial"/>
          <w:sz w:val="24"/>
          <w:lang w:val="fr-CA"/>
        </w:rPr>
        <w:t>istributeur</w:t>
      </w:r>
    </w:p>
    <w:p w:rsidR="00E25444" w:rsidRPr="00F80837" w:rsidRDefault="00E25444" w:rsidP="00F80837">
      <w:pPr>
        <w:tabs>
          <w:tab w:val="left" w:pos="2340"/>
        </w:tabs>
        <w:rPr>
          <w:rFonts w:ascii="Arial" w:hAnsi="Arial"/>
          <w:sz w:val="24"/>
          <w:lang w:val="fr-CA"/>
        </w:rPr>
      </w:pPr>
      <w:r w:rsidRPr="00F80837">
        <w:rPr>
          <w:rFonts w:ascii="Arial" w:hAnsi="Arial"/>
          <w:sz w:val="24"/>
          <w:lang w:val="fr-CA"/>
        </w:rPr>
        <w:tab/>
      </w:r>
      <w:r w:rsidR="00544FB5" w:rsidRPr="00F80837">
        <w:rPr>
          <w:rFonts w:ascii="Arial" w:hAnsi="Arial"/>
          <w:sz w:val="24"/>
          <w:lang w:val="fr-CA"/>
        </w:rPr>
        <w:t>p</w:t>
      </w:r>
      <w:r w:rsidR="00361CEF" w:rsidRPr="00F80837">
        <w:rPr>
          <w:rFonts w:ascii="Arial" w:hAnsi="Arial"/>
          <w:sz w:val="24"/>
          <w:lang w:val="fr-CA"/>
        </w:rPr>
        <w:t>oste de préparation, facultatif</w:t>
      </w:r>
    </w:p>
    <w:p w:rsidR="00E25444" w:rsidRPr="00F80837" w:rsidRDefault="00E25444" w:rsidP="00F80837">
      <w:pPr>
        <w:tabs>
          <w:tab w:val="left" w:pos="2340"/>
        </w:tabs>
        <w:ind w:left="720"/>
        <w:rPr>
          <w:rFonts w:ascii="Arial" w:hAnsi="Arial"/>
          <w:sz w:val="24"/>
          <w:lang w:val="fr-CA"/>
        </w:rPr>
      </w:pPr>
      <w:r w:rsidRPr="00F80837">
        <w:rPr>
          <w:rFonts w:ascii="Arial" w:hAnsi="Arial"/>
          <w:sz w:val="24"/>
          <w:lang w:val="fr-CA"/>
        </w:rPr>
        <w:tab/>
      </w:r>
      <w:r w:rsidR="00F80837" w:rsidRPr="00F80837">
        <w:rPr>
          <w:rFonts w:ascii="Arial" w:hAnsi="Arial"/>
          <w:sz w:val="24"/>
          <w:lang w:val="fr-CA"/>
        </w:rPr>
        <w:t>c</w:t>
      </w:r>
      <w:r w:rsidR="00361CEF" w:rsidRPr="00F80837">
        <w:rPr>
          <w:rFonts w:ascii="Arial" w:hAnsi="Arial"/>
          <w:sz w:val="24"/>
          <w:lang w:val="fr-CA"/>
        </w:rPr>
        <w:t>entrifugeuse sérologique</w:t>
      </w:r>
    </w:p>
    <w:p w:rsidR="00E25444" w:rsidRPr="00F80837" w:rsidRDefault="00E25444" w:rsidP="00F80837">
      <w:pPr>
        <w:tabs>
          <w:tab w:val="left" w:pos="2340"/>
        </w:tabs>
        <w:ind w:left="720"/>
        <w:rPr>
          <w:rFonts w:ascii="Arial" w:hAnsi="Arial"/>
          <w:sz w:val="24"/>
          <w:lang w:val="fr-CA"/>
        </w:rPr>
      </w:pPr>
    </w:p>
    <w:p w:rsidR="00E25444" w:rsidRPr="00F80837" w:rsidRDefault="00544FB5" w:rsidP="00F80837">
      <w:pPr>
        <w:tabs>
          <w:tab w:val="left" w:pos="2340"/>
        </w:tabs>
        <w:ind w:left="720"/>
        <w:rPr>
          <w:rFonts w:ascii="Arial" w:hAnsi="Arial"/>
          <w:sz w:val="24"/>
          <w:lang w:val="fr-CA"/>
        </w:rPr>
      </w:pPr>
      <w:r w:rsidRPr="00F80837">
        <w:rPr>
          <w:rFonts w:ascii="Arial" w:hAnsi="Arial"/>
          <w:b/>
          <w:sz w:val="24"/>
          <w:lang w:val="fr-CA"/>
        </w:rPr>
        <w:t xml:space="preserve">Fournitures </w:t>
      </w:r>
      <w:r w:rsidR="00E25444" w:rsidRPr="00F80837">
        <w:rPr>
          <w:rFonts w:ascii="Arial" w:hAnsi="Arial"/>
          <w:b/>
          <w:sz w:val="24"/>
          <w:lang w:val="fr-CA"/>
        </w:rPr>
        <w:t>:</w:t>
      </w:r>
      <w:r w:rsidR="00E25444" w:rsidRPr="00F80837">
        <w:rPr>
          <w:rFonts w:ascii="Arial" w:hAnsi="Arial"/>
          <w:sz w:val="24"/>
          <w:lang w:val="fr-CA"/>
        </w:rPr>
        <w:tab/>
      </w:r>
      <w:r w:rsidR="00F80837" w:rsidRPr="00F80837">
        <w:rPr>
          <w:rFonts w:ascii="Arial" w:hAnsi="Arial"/>
          <w:sz w:val="24"/>
          <w:lang w:val="fr-CA"/>
        </w:rPr>
        <w:t>embouts de pipette</w:t>
      </w:r>
    </w:p>
    <w:p w:rsidR="00E25444" w:rsidRPr="00F80837" w:rsidRDefault="00E25444" w:rsidP="00F80837">
      <w:pPr>
        <w:tabs>
          <w:tab w:val="left" w:pos="2340"/>
        </w:tabs>
        <w:ind w:left="720"/>
        <w:rPr>
          <w:rFonts w:ascii="Arial" w:hAnsi="Arial"/>
          <w:sz w:val="24"/>
          <w:lang w:val="fr-CA"/>
        </w:rPr>
      </w:pPr>
      <w:r w:rsidRPr="00F80837">
        <w:rPr>
          <w:rFonts w:ascii="Arial" w:hAnsi="Arial"/>
          <w:sz w:val="24"/>
          <w:lang w:val="fr-CA"/>
        </w:rPr>
        <w:tab/>
      </w:r>
      <w:r w:rsidR="00F80837" w:rsidRPr="00F80837">
        <w:rPr>
          <w:rFonts w:ascii="Arial" w:hAnsi="Arial"/>
          <w:sz w:val="24"/>
          <w:lang w:val="fr-CA"/>
        </w:rPr>
        <w:t>t</w:t>
      </w:r>
      <w:r w:rsidR="00361CEF" w:rsidRPr="00F80837">
        <w:rPr>
          <w:rFonts w:ascii="Arial" w:hAnsi="Arial"/>
          <w:sz w:val="24"/>
          <w:lang w:val="fr-CA"/>
        </w:rPr>
        <w:t>ubes 10 x 75 mm</w:t>
      </w:r>
    </w:p>
    <w:p w:rsidR="00E25444" w:rsidRPr="00F80837" w:rsidRDefault="00E25444" w:rsidP="00F80837">
      <w:pPr>
        <w:tabs>
          <w:tab w:val="left" w:pos="2340"/>
        </w:tabs>
        <w:ind w:left="720"/>
        <w:rPr>
          <w:rFonts w:ascii="Arial" w:hAnsi="Arial"/>
          <w:sz w:val="24"/>
          <w:lang w:val="fr-CA"/>
        </w:rPr>
      </w:pPr>
      <w:r w:rsidRPr="00F80837">
        <w:rPr>
          <w:rFonts w:ascii="Arial" w:hAnsi="Arial"/>
          <w:sz w:val="24"/>
          <w:lang w:val="fr-CA"/>
        </w:rPr>
        <w:tab/>
      </w:r>
      <w:r w:rsidR="00361CEF" w:rsidRPr="00F80837">
        <w:rPr>
          <w:rFonts w:ascii="Arial" w:hAnsi="Arial"/>
          <w:sz w:val="24"/>
          <w:lang w:val="fr-CA"/>
        </w:rPr>
        <w:t>pipettes sérologiques</w:t>
      </w:r>
    </w:p>
    <w:p w:rsidR="00E25444" w:rsidRPr="00F80837" w:rsidRDefault="00E25444" w:rsidP="00F80837">
      <w:pPr>
        <w:tabs>
          <w:tab w:val="left" w:pos="2340"/>
        </w:tabs>
        <w:ind w:left="720"/>
        <w:rPr>
          <w:rFonts w:ascii="Arial" w:hAnsi="Arial"/>
          <w:sz w:val="24"/>
          <w:lang w:val="fr-CA"/>
        </w:rPr>
      </w:pPr>
      <w:r w:rsidRPr="00F80837">
        <w:rPr>
          <w:rFonts w:ascii="Arial" w:hAnsi="Arial"/>
          <w:sz w:val="24"/>
          <w:lang w:val="fr-CA"/>
        </w:rPr>
        <w:tab/>
      </w:r>
      <w:r w:rsidR="00F80837" w:rsidRPr="00F80837">
        <w:rPr>
          <w:rFonts w:ascii="Arial" w:hAnsi="Arial"/>
          <w:sz w:val="24"/>
          <w:lang w:val="fr-CA"/>
        </w:rPr>
        <w:t>d</w:t>
      </w:r>
      <w:r w:rsidR="00361CEF" w:rsidRPr="00F80837">
        <w:rPr>
          <w:rFonts w:ascii="Arial" w:hAnsi="Arial"/>
          <w:sz w:val="24"/>
          <w:lang w:val="fr-CA"/>
        </w:rPr>
        <w:t>épliant du fournisseur</w:t>
      </w:r>
    </w:p>
    <w:p w:rsidR="00E25444" w:rsidRPr="00F80837" w:rsidRDefault="00E25444" w:rsidP="00F80837">
      <w:pPr>
        <w:tabs>
          <w:tab w:val="left" w:pos="2340"/>
        </w:tabs>
        <w:ind w:left="720"/>
        <w:rPr>
          <w:rFonts w:ascii="Arial" w:hAnsi="Arial"/>
          <w:sz w:val="24"/>
          <w:lang w:val="fr-CA"/>
        </w:rPr>
      </w:pPr>
    </w:p>
    <w:p w:rsidR="00E25444" w:rsidRPr="00F80837" w:rsidRDefault="00E25444" w:rsidP="00F80837">
      <w:pPr>
        <w:tabs>
          <w:tab w:val="left" w:pos="-720"/>
          <w:tab w:val="left" w:pos="0"/>
          <w:tab w:val="left" w:pos="2340"/>
        </w:tabs>
        <w:suppressAutoHyphens/>
        <w:ind w:left="720" w:hanging="720"/>
        <w:rPr>
          <w:rFonts w:ascii="Arial" w:hAnsi="Arial"/>
          <w:spacing w:val="-2"/>
          <w:sz w:val="24"/>
          <w:lang w:val="fr-CA"/>
        </w:rPr>
      </w:pPr>
      <w:r w:rsidRPr="00F80837">
        <w:rPr>
          <w:rFonts w:ascii="Arial" w:hAnsi="Arial"/>
          <w:b/>
          <w:sz w:val="24"/>
          <w:lang w:val="fr-CA"/>
        </w:rPr>
        <w:tab/>
      </w:r>
      <w:r w:rsidR="00361CEF" w:rsidRPr="00F80837">
        <w:rPr>
          <w:rFonts w:ascii="Arial" w:hAnsi="Arial"/>
          <w:b/>
          <w:sz w:val="24"/>
          <w:lang w:val="fr-CA"/>
        </w:rPr>
        <w:t>Réactifs</w:t>
      </w:r>
      <w:r w:rsidR="00361CEF" w:rsidRPr="00F80837">
        <w:rPr>
          <w:rFonts w:ascii="Arial" w:hAnsi="Arial"/>
          <w:sz w:val="24"/>
          <w:lang w:val="fr-CA"/>
        </w:rPr>
        <w:t xml:space="preserve"> :</w:t>
      </w:r>
      <w:r w:rsidR="00361CEF" w:rsidRPr="00F80837">
        <w:rPr>
          <w:rFonts w:ascii="Arial" w:hAnsi="Arial"/>
          <w:sz w:val="24"/>
          <w:lang w:val="fr-CA"/>
        </w:rPr>
        <w:tab/>
        <w:t xml:space="preserve">carte </w:t>
      </w:r>
      <w:r w:rsidR="00F80837" w:rsidRPr="00F80837">
        <w:rPr>
          <w:rFonts w:ascii="Arial" w:hAnsi="Arial"/>
          <w:sz w:val="24"/>
          <w:lang w:val="fr-CA"/>
        </w:rPr>
        <w:t>MTS</w:t>
      </w:r>
      <w:r w:rsidR="00361CEF" w:rsidRPr="00F80837">
        <w:rPr>
          <w:rFonts w:ascii="Arial" w:hAnsi="Arial"/>
          <w:sz w:val="24"/>
          <w:lang w:val="fr-CA"/>
        </w:rPr>
        <w:t xml:space="preserve"> anti-</w:t>
      </w:r>
      <w:r w:rsidR="00F80837" w:rsidRPr="00F80837">
        <w:rPr>
          <w:rFonts w:ascii="Arial" w:hAnsi="Arial"/>
          <w:sz w:val="24"/>
          <w:lang w:val="fr-CA"/>
        </w:rPr>
        <w:t>I</w:t>
      </w:r>
      <w:r w:rsidR="00361CEF" w:rsidRPr="00F80837">
        <w:rPr>
          <w:rFonts w:ascii="Arial" w:hAnsi="Arial"/>
          <w:sz w:val="24"/>
          <w:lang w:val="fr-CA"/>
        </w:rPr>
        <w:t>g</w:t>
      </w:r>
      <w:r w:rsidR="00F80837" w:rsidRPr="00F80837">
        <w:rPr>
          <w:rFonts w:ascii="Arial" w:hAnsi="Arial"/>
          <w:sz w:val="24"/>
          <w:lang w:val="fr-CA"/>
        </w:rPr>
        <w:t>G</w:t>
      </w:r>
      <w:r w:rsidR="00361CEF" w:rsidRPr="00F80837">
        <w:rPr>
          <w:rFonts w:ascii="Arial" w:hAnsi="Arial"/>
          <w:sz w:val="24"/>
          <w:lang w:val="fr-CA"/>
        </w:rPr>
        <w:t>, anti-</w:t>
      </w:r>
      <w:r w:rsidR="00F80837" w:rsidRPr="00F80837">
        <w:rPr>
          <w:rFonts w:ascii="Arial" w:hAnsi="Arial"/>
          <w:sz w:val="24"/>
          <w:lang w:val="fr-CA"/>
        </w:rPr>
        <w:t>I</w:t>
      </w:r>
      <w:r w:rsidR="00361CEF" w:rsidRPr="00F80837">
        <w:rPr>
          <w:rFonts w:ascii="Arial" w:hAnsi="Arial"/>
          <w:sz w:val="24"/>
          <w:lang w:val="fr-CA"/>
        </w:rPr>
        <w:t>g</w:t>
      </w:r>
      <w:r w:rsidR="00F80837" w:rsidRPr="00F80837">
        <w:rPr>
          <w:rFonts w:ascii="Arial" w:hAnsi="Arial"/>
          <w:sz w:val="24"/>
          <w:lang w:val="fr-CA"/>
        </w:rPr>
        <w:t>G</w:t>
      </w:r>
      <w:r w:rsidR="00361CEF" w:rsidRPr="00F80837">
        <w:rPr>
          <w:rFonts w:ascii="Arial" w:hAnsi="Arial"/>
          <w:sz w:val="24"/>
          <w:lang w:val="fr-CA"/>
        </w:rPr>
        <w:t xml:space="preserve"> (lapin)</w:t>
      </w:r>
      <w:r w:rsidR="00056AA1">
        <w:rPr>
          <w:rFonts w:ascii="Arial" w:hAnsi="Arial"/>
          <w:sz w:val="24"/>
          <w:lang w:val="fr-CA"/>
        </w:rPr>
        <w:t xml:space="preserve">, </w:t>
      </w:r>
      <w:r w:rsidR="00361CEF" w:rsidRPr="00F80837">
        <w:rPr>
          <w:rFonts w:ascii="Arial" w:hAnsi="Arial"/>
          <w:sz w:val="24"/>
          <w:lang w:val="fr-CA"/>
        </w:rPr>
        <w:t>suspension e</w:t>
      </w:r>
      <w:r w:rsidR="00056AA1">
        <w:rPr>
          <w:rFonts w:ascii="Arial" w:hAnsi="Arial"/>
          <w:sz w:val="24"/>
          <w:lang w:val="fr-CA"/>
        </w:rPr>
        <w:t>n gel</w:t>
      </w:r>
      <w:r w:rsidR="00361CEF" w:rsidRPr="00F80837">
        <w:rPr>
          <w:rFonts w:ascii="Arial" w:hAnsi="Arial"/>
          <w:sz w:val="24"/>
          <w:lang w:val="fr-CA"/>
        </w:rPr>
        <w:t xml:space="preserve"> </w:t>
      </w:r>
      <w:r w:rsidR="00F80837" w:rsidRPr="00F80837">
        <w:rPr>
          <w:rFonts w:ascii="Arial" w:hAnsi="Arial"/>
          <w:sz w:val="24"/>
          <w:lang w:val="fr-CA"/>
        </w:rPr>
        <w:tab/>
      </w:r>
      <w:r w:rsidR="00361CEF" w:rsidRPr="00F80837">
        <w:rPr>
          <w:rFonts w:ascii="Arial" w:hAnsi="Arial"/>
          <w:sz w:val="24"/>
          <w:lang w:val="fr-CA"/>
        </w:rPr>
        <w:t>l</w:t>
      </w:r>
      <w:r w:rsidRPr="00F80837">
        <w:rPr>
          <w:rFonts w:ascii="Arial" w:hAnsi="Arial"/>
          <w:spacing w:val="-2"/>
          <w:sz w:val="24"/>
          <w:lang w:val="fr-CA"/>
        </w:rPr>
        <w:t xml:space="preserve"> </w:t>
      </w:r>
    </w:p>
    <w:p w:rsidR="00E25444" w:rsidRPr="00F80837" w:rsidRDefault="00F80837" w:rsidP="00F80837">
      <w:pPr>
        <w:tabs>
          <w:tab w:val="left" w:pos="-720"/>
          <w:tab w:val="left" w:pos="0"/>
          <w:tab w:val="left" w:pos="1080"/>
          <w:tab w:val="left" w:pos="2340"/>
        </w:tabs>
        <w:suppressAutoHyphens/>
        <w:ind w:left="2880" w:hanging="540"/>
        <w:rPr>
          <w:rFonts w:ascii="Arial" w:hAnsi="Arial"/>
          <w:spacing w:val="-2"/>
          <w:sz w:val="24"/>
          <w:lang w:val="fr-CA"/>
        </w:rPr>
      </w:pPr>
      <w:r>
        <w:rPr>
          <w:rFonts w:ascii="Arial" w:hAnsi="Arial"/>
          <w:spacing w:val="-2"/>
          <w:sz w:val="24"/>
          <w:lang w:val="fr-CA"/>
        </w:rPr>
        <w:t>c</w:t>
      </w:r>
      <w:r w:rsidRPr="00F80837">
        <w:rPr>
          <w:rFonts w:ascii="Arial" w:hAnsi="Arial"/>
          <w:spacing w:val="-2"/>
          <w:sz w:val="24"/>
          <w:lang w:val="fr-CA"/>
        </w:rPr>
        <w:t xml:space="preserve">ellules </w:t>
      </w:r>
      <w:r w:rsidR="00E25444" w:rsidRPr="00F80837">
        <w:rPr>
          <w:rFonts w:ascii="Arial" w:hAnsi="Arial"/>
          <w:spacing w:val="-2"/>
          <w:sz w:val="24"/>
          <w:lang w:val="fr-CA"/>
        </w:rPr>
        <w:t>A</w:t>
      </w:r>
      <w:r w:rsidR="00E25444" w:rsidRPr="00F80837">
        <w:rPr>
          <w:rFonts w:ascii="Arial" w:hAnsi="Arial"/>
          <w:spacing w:val="-2"/>
          <w:sz w:val="24"/>
          <w:vertAlign w:val="subscript"/>
          <w:lang w:val="fr-CA"/>
        </w:rPr>
        <w:t>1</w:t>
      </w:r>
      <w:r w:rsidR="00E25444" w:rsidRPr="00F80837">
        <w:rPr>
          <w:rFonts w:ascii="Arial" w:hAnsi="Arial"/>
          <w:spacing w:val="-2"/>
          <w:sz w:val="24"/>
          <w:lang w:val="fr-CA"/>
        </w:rPr>
        <w:t xml:space="preserve">, B </w:t>
      </w:r>
      <w:r w:rsidRPr="00F80837">
        <w:rPr>
          <w:rFonts w:ascii="Arial" w:hAnsi="Arial"/>
          <w:spacing w:val="-2"/>
          <w:sz w:val="24"/>
          <w:lang w:val="fr-CA"/>
        </w:rPr>
        <w:t xml:space="preserve">et </w:t>
      </w:r>
      <w:r w:rsidR="00E25444" w:rsidRPr="00F80837">
        <w:rPr>
          <w:rFonts w:ascii="Arial" w:hAnsi="Arial"/>
          <w:spacing w:val="-2"/>
          <w:sz w:val="24"/>
          <w:lang w:val="fr-CA"/>
        </w:rPr>
        <w:t xml:space="preserve">O </w:t>
      </w:r>
      <w:r w:rsidRPr="00F80837">
        <w:rPr>
          <w:rFonts w:ascii="Arial" w:hAnsi="Arial"/>
          <w:spacing w:val="-2"/>
          <w:sz w:val="24"/>
          <w:lang w:val="fr-CA"/>
        </w:rPr>
        <w:t>d’adultes</w:t>
      </w:r>
      <w:r w:rsidR="00E25444" w:rsidRPr="00F80837">
        <w:rPr>
          <w:rFonts w:ascii="Arial" w:hAnsi="Arial"/>
          <w:spacing w:val="-2"/>
          <w:sz w:val="24"/>
          <w:lang w:val="fr-CA"/>
        </w:rPr>
        <w:t xml:space="preserve">, </w:t>
      </w:r>
      <w:r w:rsidRPr="00F80837">
        <w:rPr>
          <w:rFonts w:ascii="Arial" w:hAnsi="Arial"/>
          <w:spacing w:val="-2"/>
          <w:sz w:val="24"/>
          <w:lang w:val="fr-CA"/>
        </w:rPr>
        <w:t xml:space="preserve">en suspension à </w:t>
      </w:r>
      <w:r w:rsidR="00E25444" w:rsidRPr="00F80837">
        <w:rPr>
          <w:rFonts w:ascii="Arial" w:hAnsi="Arial"/>
          <w:spacing w:val="-2"/>
          <w:sz w:val="24"/>
          <w:lang w:val="fr-CA"/>
        </w:rPr>
        <w:t>3</w:t>
      </w:r>
      <w:r w:rsidRPr="00F80837">
        <w:rPr>
          <w:rFonts w:ascii="Arial" w:hAnsi="Arial"/>
          <w:spacing w:val="-2"/>
          <w:sz w:val="24"/>
          <w:lang w:val="fr-CA"/>
        </w:rPr>
        <w:t> </w:t>
      </w:r>
      <w:r w:rsidR="00E25444" w:rsidRPr="00F80837">
        <w:rPr>
          <w:rFonts w:ascii="Arial" w:hAnsi="Arial"/>
          <w:spacing w:val="-2"/>
          <w:sz w:val="24"/>
          <w:lang w:val="fr-CA"/>
        </w:rPr>
        <w:t xml:space="preserve">%, </w:t>
      </w:r>
      <w:r w:rsidRPr="00F80837">
        <w:rPr>
          <w:rFonts w:ascii="Arial" w:hAnsi="Arial"/>
          <w:spacing w:val="-2"/>
          <w:sz w:val="24"/>
          <w:lang w:val="fr-CA"/>
        </w:rPr>
        <w:t xml:space="preserve">préparées </w:t>
      </w:r>
      <w:r>
        <w:rPr>
          <w:rFonts w:ascii="Arial" w:hAnsi="Arial"/>
          <w:spacing w:val="-2"/>
          <w:sz w:val="24"/>
          <w:lang w:val="fr-CA"/>
        </w:rPr>
        <w:t>à l’interne pour servir lors des épreuves sur cartes de gel</w:t>
      </w:r>
      <w:r w:rsidR="00E25444" w:rsidRPr="00F80837">
        <w:rPr>
          <w:rFonts w:ascii="Arial" w:hAnsi="Arial"/>
          <w:spacing w:val="-2"/>
          <w:sz w:val="24"/>
          <w:lang w:val="fr-CA"/>
        </w:rPr>
        <w:t xml:space="preserve"> MTS </w:t>
      </w:r>
      <w:r>
        <w:rPr>
          <w:rFonts w:ascii="Arial" w:hAnsi="Arial"/>
          <w:spacing w:val="-2"/>
          <w:sz w:val="24"/>
          <w:lang w:val="fr-CA"/>
        </w:rPr>
        <w:t>a</w:t>
      </w:r>
      <w:r w:rsidR="00E25444" w:rsidRPr="00F80837">
        <w:rPr>
          <w:rFonts w:ascii="Arial" w:hAnsi="Arial"/>
          <w:spacing w:val="-2"/>
          <w:sz w:val="24"/>
          <w:lang w:val="fr-CA"/>
        </w:rPr>
        <w:t>nti-IgG (</w:t>
      </w:r>
      <w:r>
        <w:rPr>
          <w:rFonts w:ascii="Arial" w:hAnsi="Arial"/>
          <w:spacing w:val="-2"/>
          <w:sz w:val="24"/>
          <w:lang w:val="fr-CA"/>
        </w:rPr>
        <w:t xml:space="preserve">on peut se servir de cellules </w:t>
      </w:r>
      <w:r w:rsidR="002E39B9">
        <w:rPr>
          <w:rFonts w:ascii="Arial" w:hAnsi="Arial"/>
          <w:spacing w:val="-2"/>
          <w:sz w:val="24"/>
          <w:lang w:val="fr-CA"/>
        </w:rPr>
        <w:t xml:space="preserve">commerciales </w:t>
      </w:r>
      <w:r>
        <w:rPr>
          <w:rFonts w:ascii="Arial" w:hAnsi="Arial"/>
          <w:spacing w:val="-2"/>
          <w:sz w:val="24"/>
          <w:lang w:val="fr-CA"/>
        </w:rPr>
        <w:t xml:space="preserve">de groupage sérique et de cellules de dépistage </w:t>
      </w:r>
      <w:r w:rsidR="002E39B9">
        <w:rPr>
          <w:rFonts w:ascii="Arial" w:hAnsi="Arial"/>
          <w:spacing w:val="-2"/>
          <w:sz w:val="24"/>
          <w:lang w:val="fr-CA"/>
        </w:rPr>
        <w:t xml:space="preserve">de </w:t>
      </w:r>
      <w:r>
        <w:rPr>
          <w:rFonts w:ascii="Arial" w:hAnsi="Arial"/>
          <w:spacing w:val="-2"/>
          <w:sz w:val="24"/>
          <w:lang w:val="fr-CA"/>
        </w:rPr>
        <w:t>groupe O</w:t>
      </w:r>
      <w:r w:rsidR="00E25444" w:rsidRPr="00F80837">
        <w:rPr>
          <w:rFonts w:ascii="Arial" w:hAnsi="Arial"/>
          <w:spacing w:val="-2"/>
          <w:sz w:val="24"/>
          <w:lang w:val="fr-CA"/>
        </w:rPr>
        <w:t>)</w:t>
      </w:r>
    </w:p>
    <w:p w:rsidR="00E25444" w:rsidRPr="00F80837" w:rsidRDefault="00361CEF" w:rsidP="00F80837">
      <w:pPr>
        <w:tabs>
          <w:tab w:val="left" w:pos="2340"/>
        </w:tabs>
        <w:ind w:left="2880" w:hanging="540"/>
        <w:rPr>
          <w:rFonts w:ascii="Arial" w:hAnsi="Arial"/>
          <w:sz w:val="24"/>
          <w:lang w:val="fr-CA"/>
        </w:rPr>
      </w:pPr>
      <w:r w:rsidRPr="00F80837">
        <w:rPr>
          <w:rFonts w:ascii="Arial" w:hAnsi="Arial"/>
          <w:spacing w:val="-2"/>
          <w:sz w:val="24"/>
          <w:lang w:val="fr-CA"/>
        </w:rPr>
        <w:t>M</w:t>
      </w:r>
      <w:r w:rsidR="00F80837" w:rsidRPr="00F80837">
        <w:rPr>
          <w:rFonts w:ascii="Arial" w:hAnsi="Arial"/>
          <w:spacing w:val="-2"/>
          <w:sz w:val="24"/>
          <w:lang w:val="fr-CA"/>
        </w:rPr>
        <w:t>TS</w:t>
      </w:r>
      <w:r w:rsidRPr="00F80837">
        <w:rPr>
          <w:rFonts w:ascii="Arial" w:hAnsi="Arial"/>
          <w:spacing w:val="-2"/>
          <w:sz w:val="24"/>
          <w:lang w:val="fr-CA"/>
        </w:rPr>
        <w:t xml:space="preserve"> </w:t>
      </w:r>
      <w:r w:rsidR="00F80837" w:rsidRPr="00F80837">
        <w:rPr>
          <w:rFonts w:ascii="Arial" w:hAnsi="Arial"/>
          <w:spacing w:val="-2"/>
          <w:sz w:val="24"/>
          <w:lang w:val="fr-CA"/>
        </w:rPr>
        <w:t>D</w:t>
      </w:r>
      <w:r w:rsidRPr="00F80837">
        <w:rPr>
          <w:rFonts w:ascii="Arial" w:hAnsi="Arial"/>
          <w:spacing w:val="-2"/>
          <w:sz w:val="24"/>
          <w:lang w:val="fr-CA"/>
        </w:rPr>
        <w:t>iluent 2, solution saline hypotonique tamponnée (pour préparation sur place seulement)</w:t>
      </w:r>
    </w:p>
    <w:p w:rsidR="00E25444" w:rsidRPr="00F80837" w:rsidRDefault="00F80837" w:rsidP="00F80837">
      <w:pPr>
        <w:tabs>
          <w:tab w:val="left" w:pos="2340"/>
        </w:tabs>
        <w:ind w:left="720"/>
        <w:rPr>
          <w:rFonts w:ascii="Arial" w:hAnsi="Arial"/>
          <w:sz w:val="24"/>
          <w:lang w:val="fr-CA"/>
        </w:rPr>
      </w:pPr>
      <w:r w:rsidRPr="00F80837">
        <w:rPr>
          <w:rFonts w:ascii="Arial" w:hAnsi="Arial"/>
          <w:sz w:val="24"/>
          <w:lang w:val="fr-CA"/>
        </w:rPr>
        <w:tab/>
        <w:t>solution saline</w:t>
      </w:r>
    </w:p>
    <w:p w:rsidR="00E25444" w:rsidRPr="00F80837" w:rsidRDefault="00E25444">
      <w:pPr>
        <w:ind w:left="720"/>
        <w:rPr>
          <w:rFonts w:ascii="Arial" w:hAnsi="Arial"/>
          <w:sz w:val="24"/>
          <w:lang w:val="fr-CA"/>
        </w:rPr>
      </w:pPr>
    </w:p>
    <w:p w:rsidR="00E25444" w:rsidRPr="00F80837" w:rsidRDefault="00361CEF" w:rsidP="00F80837">
      <w:pPr>
        <w:tabs>
          <w:tab w:val="left" w:pos="-720"/>
          <w:tab w:val="left" w:pos="0"/>
        </w:tabs>
        <w:suppressAutoHyphens/>
        <w:ind w:left="2340"/>
        <w:rPr>
          <w:rFonts w:ascii="Arial" w:hAnsi="Arial"/>
          <w:spacing w:val="-2"/>
          <w:sz w:val="24"/>
          <w:lang w:val="fr-CA"/>
        </w:rPr>
      </w:pPr>
      <w:r w:rsidRPr="00F80837">
        <w:rPr>
          <w:rFonts w:ascii="Arial" w:hAnsi="Arial"/>
          <w:spacing w:val="-2"/>
          <w:sz w:val="24"/>
          <w:lang w:val="fr-CA"/>
        </w:rPr>
        <w:t>Ne pas utiliser après la date de péremption.  Entreposer les cartes entre 2 °C et 25 °C. Entreposer les diluants et les globules rouges entre 2 °C et 8 °C. Amener les réactifs à la température ambiante (18 °C à 25 °C) avant l’utilisation.</w:t>
      </w:r>
      <w:r w:rsidR="00E25444" w:rsidRPr="00F80837">
        <w:rPr>
          <w:rFonts w:ascii="Arial" w:hAnsi="Arial"/>
          <w:spacing w:val="-2"/>
          <w:sz w:val="24"/>
          <w:lang w:val="fr-CA"/>
        </w:rPr>
        <w:t xml:space="preserve">  </w:t>
      </w:r>
    </w:p>
    <w:p w:rsidR="00E25444" w:rsidRPr="00F80837" w:rsidRDefault="00E25444">
      <w:pPr>
        <w:ind w:left="720"/>
        <w:rPr>
          <w:rFonts w:ascii="Arial" w:hAnsi="Arial"/>
          <w:sz w:val="24"/>
          <w:lang w:val="fr-CA"/>
        </w:rPr>
      </w:pPr>
    </w:p>
    <w:p w:rsidR="00E25444" w:rsidRPr="00F80837" w:rsidRDefault="00361CEF">
      <w:pPr>
        <w:numPr>
          <w:ilvl w:val="0"/>
          <w:numId w:val="1"/>
        </w:numPr>
        <w:rPr>
          <w:rFonts w:ascii="Arial" w:hAnsi="Arial"/>
          <w:b/>
          <w:sz w:val="28"/>
          <w:lang w:val="fr-CA"/>
        </w:rPr>
      </w:pPr>
      <w:r w:rsidRPr="00F80837">
        <w:rPr>
          <w:rFonts w:ascii="Arial" w:hAnsi="Arial"/>
          <w:b/>
          <w:sz w:val="28"/>
          <w:lang w:val="fr-CA"/>
        </w:rPr>
        <w:t>Contrôle de la qualité</w:t>
      </w:r>
    </w:p>
    <w:p w:rsidR="00E25444" w:rsidRPr="001A18FF" w:rsidRDefault="00E25444">
      <w:pPr>
        <w:rPr>
          <w:rFonts w:ascii="Arial" w:hAnsi="Arial"/>
          <w:sz w:val="24"/>
          <w:lang w:val="fr-CA"/>
        </w:rPr>
      </w:pPr>
    </w:p>
    <w:p w:rsidR="00E25444" w:rsidRPr="001A18FF" w:rsidRDefault="00E447D8" w:rsidP="00A1134A">
      <w:pPr>
        <w:numPr>
          <w:ilvl w:val="1"/>
          <w:numId w:val="1"/>
        </w:numPr>
        <w:ind w:hanging="721"/>
        <w:rPr>
          <w:rFonts w:ascii="Arial" w:hAnsi="Arial"/>
          <w:sz w:val="24"/>
          <w:lang w:val="fr-CA"/>
        </w:rPr>
      </w:pPr>
      <w:r w:rsidRPr="00E447D8">
        <w:rPr>
          <w:rFonts w:ascii="Arial" w:hAnsi="Arial"/>
          <w:sz w:val="24"/>
          <w:lang w:val="fr-CA"/>
        </w:rPr>
        <w:t xml:space="preserve">Pour détecter la détérioration des réactifs, il faut les soumettre à des témoins appropriés </w:t>
      </w:r>
      <w:r>
        <w:rPr>
          <w:rFonts w:ascii="Arial" w:hAnsi="Arial"/>
          <w:sz w:val="24"/>
          <w:lang w:val="fr-CA"/>
        </w:rPr>
        <w:t>le jour même où l’on veut s’en servir</w:t>
      </w:r>
      <w:r w:rsidR="00E25444" w:rsidRPr="001A18FF">
        <w:rPr>
          <w:rFonts w:ascii="Arial" w:hAnsi="Arial"/>
          <w:sz w:val="24"/>
          <w:lang w:val="fr-CA"/>
        </w:rPr>
        <w:t>.</w:t>
      </w:r>
    </w:p>
    <w:p w:rsidR="00E25444" w:rsidRPr="001A18FF" w:rsidRDefault="00E25444" w:rsidP="00A1134A">
      <w:pPr>
        <w:ind w:left="720" w:hanging="721"/>
        <w:rPr>
          <w:rFonts w:ascii="Arial" w:hAnsi="Arial"/>
          <w:sz w:val="24"/>
          <w:lang w:val="fr-CA"/>
        </w:rPr>
      </w:pPr>
    </w:p>
    <w:p w:rsidR="00E25444" w:rsidRPr="00F80837" w:rsidRDefault="00825B77" w:rsidP="00A1134A">
      <w:pPr>
        <w:ind w:left="1350" w:hanging="783"/>
        <w:rPr>
          <w:rFonts w:ascii="Arial" w:hAnsi="Arial"/>
          <w:sz w:val="22"/>
          <w:lang w:val="fr-CA"/>
        </w:rPr>
      </w:pPr>
      <w:r>
        <w:rPr>
          <w:rFonts w:ascii="Arial" w:hAnsi="Arial"/>
          <w:sz w:val="24"/>
          <w:lang w:val="fr-CA"/>
        </w:rPr>
        <w:t>5.2</w:t>
      </w:r>
      <w:r>
        <w:rPr>
          <w:rFonts w:ascii="Arial" w:hAnsi="Arial"/>
          <w:sz w:val="24"/>
          <w:lang w:val="fr-CA"/>
        </w:rPr>
        <w:tab/>
      </w:r>
      <w:r w:rsidR="00E447D8" w:rsidRPr="00E447D8">
        <w:rPr>
          <w:rFonts w:ascii="Arial" w:hAnsi="Arial"/>
          <w:sz w:val="24"/>
          <w:lang w:val="fr-CA"/>
        </w:rPr>
        <w:t>La contamination bactérienne du matériel utilisé pour les épreuves peut entraîner des faux positifs ou des faux négatifs.</w:t>
      </w:r>
      <w:r w:rsidR="00E25444" w:rsidRPr="00F80837">
        <w:rPr>
          <w:rFonts w:ascii="Arial" w:hAnsi="Arial"/>
          <w:sz w:val="24"/>
          <w:lang w:val="fr-CA"/>
        </w:rPr>
        <w:t xml:space="preserve"> </w:t>
      </w:r>
      <w:r w:rsidR="00F80837" w:rsidRPr="00F80837">
        <w:rPr>
          <w:rFonts w:ascii="Arial" w:hAnsi="Arial"/>
          <w:sz w:val="24"/>
          <w:lang w:val="fr-CA"/>
        </w:rPr>
        <w:t>I</w:t>
      </w:r>
      <w:r w:rsidR="00361CEF" w:rsidRPr="00F80837">
        <w:rPr>
          <w:rFonts w:ascii="Arial" w:hAnsi="Arial"/>
          <w:sz w:val="24"/>
          <w:lang w:val="fr-CA"/>
        </w:rPr>
        <w:t xml:space="preserve">l faut inspecter à l'œil nu le </w:t>
      </w:r>
      <w:r w:rsidR="00F80837" w:rsidRPr="00F80837">
        <w:rPr>
          <w:rFonts w:ascii="Arial" w:hAnsi="Arial"/>
          <w:sz w:val="24"/>
          <w:lang w:val="fr-CA"/>
        </w:rPr>
        <w:t>MTS</w:t>
      </w:r>
      <w:r w:rsidR="00361CEF" w:rsidRPr="00F80837">
        <w:rPr>
          <w:rFonts w:ascii="Arial" w:hAnsi="Arial"/>
          <w:sz w:val="24"/>
          <w:lang w:val="fr-CA"/>
        </w:rPr>
        <w:t xml:space="preserve"> </w:t>
      </w:r>
      <w:r w:rsidR="00F80837" w:rsidRPr="00F80837">
        <w:rPr>
          <w:rFonts w:ascii="Arial" w:hAnsi="Arial"/>
          <w:sz w:val="24"/>
          <w:lang w:val="fr-CA"/>
        </w:rPr>
        <w:t>D</w:t>
      </w:r>
      <w:r w:rsidR="00361CEF" w:rsidRPr="00F80837">
        <w:rPr>
          <w:rFonts w:ascii="Arial" w:hAnsi="Arial"/>
          <w:sz w:val="24"/>
          <w:lang w:val="fr-CA"/>
        </w:rPr>
        <w:t>iluent 2</w:t>
      </w:r>
      <w:r w:rsidR="00F80837" w:rsidRPr="00F80837">
        <w:rPr>
          <w:rFonts w:ascii="Arial" w:hAnsi="Arial"/>
          <w:sz w:val="24"/>
          <w:vertAlign w:val="superscript"/>
          <w:lang w:val="fr-CA"/>
        </w:rPr>
        <w:t>M</w:t>
      </w:r>
      <w:r w:rsidR="00023BF4">
        <w:rPr>
          <w:rFonts w:ascii="Arial" w:hAnsi="Arial"/>
          <w:sz w:val="24"/>
          <w:vertAlign w:val="superscript"/>
          <w:lang w:val="fr-CA"/>
        </w:rPr>
        <w:t>C</w:t>
      </w:r>
      <w:r w:rsidR="00361CEF" w:rsidRPr="00F80837">
        <w:rPr>
          <w:rFonts w:ascii="Arial" w:hAnsi="Arial"/>
          <w:sz w:val="24"/>
          <w:lang w:val="fr-CA"/>
        </w:rPr>
        <w:t xml:space="preserve"> pour s'assurer qu'il n'y a pas décoloration, turbidité </w:t>
      </w:r>
      <w:r w:rsidR="00056AA1">
        <w:rPr>
          <w:rFonts w:ascii="Arial" w:hAnsi="Arial"/>
          <w:sz w:val="24"/>
          <w:lang w:val="fr-CA"/>
        </w:rPr>
        <w:t>ni</w:t>
      </w:r>
      <w:r w:rsidR="00361CEF" w:rsidRPr="00F80837">
        <w:rPr>
          <w:rFonts w:ascii="Arial" w:hAnsi="Arial"/>
          <w:sz w:val="24"/>
          <w:lang w:val="fr-CA"/>
        </w:rPr>
        <w:t xml:space="preserve"> signe de contamination bactérienne.</w:t>
      </w:r>
    </w:p>
    <w:p w:rsidR="00E25444" w:rsidRPr="00F80837" w:rsidRDefault="00E25444" w:rsidP="00A1134A">
      <w:pPr>
        <w:ind w:hanging="721"/>
        <w:rPr>
          <w:rFonts w:ascii="Arial" w:hAnsi="Arial"/>
          <w:sz w:val="24"/>
          <w:lang w:val="fr-CA"/>
        </w:rPr>
      </w:pPr>
    </w:p>
    <w:p w:rsidR="00E25444" w:rsidRPr="00F80837" w:rsidRDefault="00361CEF" w:rsidP="00A1134A">
      <w:pPr>
        <w:ind w:left="1440" w:hanging="873"/>
        <w:rPr>
          <w:rFonts w:ascii="Arial" w:hAnsi="Arial"/>
          <w:sz w:val="24"/>
          <w:lang w:val="fr-CA"/>
        </w:rPr>
      </w:pPr>
      <w:r w:rsidRPr="00F80837">
        <w:rPr>
          <w:rFonts w:ascii="Arial" w:hAnsi="Arial"/>
          <w:sz w:val="24"/>
          <w:lang w:val="fr-CA"/>
        </w:rPr>
        <w:t>5.3</w:t>
      </w:r>
      <w:r w:rsidRPr="00F80837">
        <w:rPr>
          <w:rFonts w:ascii="Arial" w:hAnsi="Arial"/>
          <w:sz w:val="24"/>
          <w:lang w:val="fr-CA"/>
        </w:rPr>
        <w:tab/>
      </w:r>
      <w:r w:rsidR="00F80837" w:rsidRPr="00F80837">
        <w:rPr>
          <w:rFonts w:ascii="Arial" w:hAnsi="Arial"/>
          <w:sz w:val="24"/>
          <w:lang w:val="fr-CA"/>
        </w:rPr>
        <w:t>P</w:t>
      </w:r>
      <w:r w:rsidRPr="00F80837">
        <w:rPr>
          <w:rFonts w:ascii="Arial" w:hAnsi="Arial"/>
          <w:sz w:val="24"/>
          <w:lang w:val="fr-CA"/>
        </w:rPr>
        <w:t>our confirmer la spécificité et la réactivité des cartes anti-</w:t>
      </w:r>
      <w:r w:rsidR="00F80837" w:rsidRPr="00F80837">
        <w:rPr>
          <w:rFonts w:ascii="Arial" w:hAnsi="Arial"/>
          <w:sz w:val="24"/>
          <w:lang w:val="fr-CA"/>
        </w:rPr>
        <w:t>IgG</w:t>
      </w:r>
      <w:r w:rsidRPr="00F80837">
        <w:rPr>
          <w:rFonts w:ascii="Arial" w:hAnsi="Arial"/>
          <w:sz w:val="24"/>
          <w:lang w:val="fr-CA"/>
        </w:rPr>
        <w:t xml:space="preserve"> </w:t>
      </w:r>
      <w:r w:rsidR="00F80837" w:rsidRPr="00F80837">
        <w:rPr>
          <w:rFonts w:ascii="Arial" w:hAnsi="Arial"/>
          <w:sz w:val="24"/>
          <w:lang w:val="fr-CA"/>
        </w:rPr>
        <w:t>de MTS</w:t>
      </w:r>
      <w:r w:rsidR="00023BF4" w:rsidRPr="00F80837">
        <w:rPr>
          <w:rFonts w:ascii="Arial" w:hAnsi="Arial"/>
          <w:sz w:val="24"/>
          <w:vertAlign w:val="superscript"/>
          <w:lang w:val="fr-CA"/>
        </w:rPr>
        <w:t>M</w:t>
      </w:r>
      <w:r w:rsidR="00023BF4">
        <w:rPr>
          <w:rFonts w:ascii="Arial" w:hAnsi="Arial"/>
          <w:sz w:val="24"/>
          <w:vertAlign w:val="superscript"/>
          <w:lang w:val="fr-CA"/>
        </w:rPr>
        <w:t>C</w:t>
      </w:r>
      <w:r w:rsidRPr="00F80837">
        <w:rPr>
          <w:rFonts w:ascii="Arial" w:hAnsi="Arial"/>
          <w:sz w:val="24"/>
          <w:lang w:val="fr-CA"/>
        </w:rPr>
        <w:t>, on recommande de tester chaque lot à chaque jour d'utilisation avec des échantillons positifs et négatifs connus et les globules rouges appropriés.</w:t>
      </w:r>
      <w:r w:rsidR="00E25444" w:rsidRPr="00F80837">
        <w:rPr>
          <w:rFonts w:ascii="Arial" w:hAnsi="Arial"/>
          <w:sz w:val="24"/>
          <w:lang w:val="fr-CA"/>
        </w:rPr>
        <w:t xml:space="preserve"> </w:t>
      </w:r>
      <w:r w:rsidRPr="00F80837">
        <w:rPr>
          <w:rFonts w:ascii="Arial" w:hAnsi="Arial"/>
          <w:sz w:val="24"/>
          <w:lang w:val="fr-CA"/>
        </w:rPr>
        <w:t>Il doit y avoir réactivité uniquement avec les échantillons positifs.</w:t>
      </w:r>
      <w:r w:rsidR="00E25444" w:rsidRPr="00F80837">
        <w:rPr>
          <w:rFonts w:ascii="Arial" w:hAnsi="Arial"/>
          <w:sz w:val="24"/>
          <w:lang w:val="fr-CA"/>
        </w:rPr>
        <w:t xml:space="preserve">  </w:t>
      </w:r>
    </w:p>
    <w:p w:rsidR="00E25444" w:rsidRPr="00E447D8" w:rsidRDefault="00E25444" w:rsidP="00A1134A">
      <w:pPr>
        <w:ind w:hanging="873"/>
        <w:rPr>
          <w:rFonts w:ascii="Arial" w:hAnsi="Arial"/>
          <w:sz w:val="24"/>
          <w:lang w:val="fr-CA"/>
        </w:rPr>
      </w:pPr>
    </w:p>
    <w:p w:rsidR="00E25444" w:rsidRPr="00E447D8" w:rsidRDefault="00E25444" w:rsidP="00A1134A">
      <w:pPr>
        <w:numPr>
          <w:ilvl w:val="1"/>
          <w:numId w:val="10"/>
        </w:numPr>
        <w:tabs>
          <w:tab w:val="clear" w:pos="1080"/>
          <w:tab w:val="num" w:pos="1440"/>
        </w:tabs>
        <w:ind w:left="1440" w:hanging="873"/>
        <w:rPr>
          <w:rFonts w:ascii="Arial" w:hAnsi="Arial"/>
          <w:sz w:val="24"/>
          <w:lang w:val="fr-CA"/>
        </w:rPr>
      </w:pPr>
      <w:r w:rsidRPr="00E447D8">
        <w:rPr>
          <w:rFonts w:ascii="Arial" w:hAnsi="Arial"/>
          <w:sz w:val="24"/>
          <w:lang w:val="fr-CA"/>
        </w:rPr>
        <w:t xml:space="preserve"> </w:t>
      </w:r>
      <w:r w:rsidR="00E447D8" w:rsidRPr="00E447D8">
        <w:rPr>
          <w:rFonts w:ascii="Arial" w:hAnsi="Arial"/>
          <w:sz w:val="24"/>
          <w:lang w:val="fr-CA"/>
        </w:rPr>
        <w:t>Ne pas congeler ou exposer les cartes à une chaleur excessive.</w:t>
      </w:r>
      <w:r w:rsidRPr="00E447D8">
        <w:rPr>
          <w:rFonts w:ascii="Arial" w:hAnsi="Arial"/>
          <w:sz w:val="24"/>
          <w:lang w:val="fr-CA"/>
        </w:rPr>
        <w:t xml:space="preserve">  </w:t>
      </w:r>
      <w:r w:rsidR="00E447D8" w:rsidRPr="00E447D8">
        <w:rPr>
          <w:rFonts w:ascii="Arial" w:hAnsi="Arial"/>
          <w:sz w:val="24"/>
          <w:lang w:val="fr-CA"/>
        </w:rPr>
        <w:t>E</w:t>
      </w:r>
      <w:r w:rsidR="00361CEF" w:rsidRPr="00E447D8">
        <w:rPr>
          <w:rFonts w:ascii="Arial" w:hAnsi="Arial"/>
          <w:sz w:val="24"/>
          <w:lang w:val="fr-CA"/>
        </w:rPr>
        <w:t>ntreposer en position verticale entre 2 °</w:t>
      </w:r>
      <w:r w:rsidR="002E39B9">
        <w:rPr>
          <w:rFonts w:ascii="Arial" w:hAnsi="Arial"/>
          <w:sz w:val="24"/>
          <w:lang w:val="fr-CA"/>
        </w:rPr>
        <w:t>C</w:t>
      </w:r>
      <w:r w:rsidR="002E39B9" w:rsidRPr="00E447D8">
        <w:rPr>
          <w:rFonts w:ascii="Arial" w:hAnsi="Arial"/>
          <w:sz w:val="24"/>
          <w:lang w:val="fr-CA"/>
        </w:rPr>
        <w:t xml:space="preserve"> </w:t>
      </w:r>
      <w:r w:rsidR="00361CEF" w:rsidRPr="00E447D8">
        <w:rPr>
          <w:rFonts w:ascii="Arial" w:hAnsi="Arial"/>
          <w:sz w:val="24"/>
          <w:lang w:val="fr-CA"/>
        </w:rPr>
        <w:t>et 25 °</w:t>
      </w:r>
      <w:r w:rsidR="002E39B9">
        <w:rPr>
          <w:rFonts w:ascii="Arial" w:hAnsi="Arial"/>
          <w:sz w:val="24"/>
          <w:lang w:val="fr-CA"/>
        </w:rPr>
        <w:t>C</w:t>
      </w:r>
      <w:r w:rsidR="00361CEF" w:rsidRPr="00E447D8">
        <w:rPr>
          <w:rFonts w:ascii="Arial" w:hAnsi="Arial"/>
          <w:sz w:val="24"/>
          <w:lang w:val="fr-CA"/>
        </w:rPr>
        <w:t xml:space="preserve">. </w:t>
      </w:r>
      <w:r w:rsidR="002E39B9">
        <w:rPr>
          <w:rFonts w:ascii="Arial" w:hAnsi="Arial"/>
          <w:sz w:val="24"/>
          <w:lang w:val="fr-CA"/>
        </w:rPr>
        <w:t>S</w:t>
      </w:r>
      <w:r w:rsidR="002E39B9" w:rsidRPr="00E447D8">
        <w:rPr>
          <w:rFonts w:ascii="Arial" w:hAnsi="Arial"/>
          <w:sz w:val="24"/>
          <w:lang w:val="fr-CA"/>
        </w:rPr>
        <w:t xml:space="preserve">i </w:t>
      </w:r>
      <w:r w:rsidR="00361CEF" w:rsidRPr="00E447D8">
        <w:rPr>
          <w:rFonts w:ascii="Arial" w:hAnsi="Arial"/>
          <w:sz w:val="24"/>
          <w:lang w:val="fr-CA"/>
        </w:rPr>
        <w:t>les cartes n'ont pas été entreposées en position verticale, il faut les centrifuger avant l'utilisation.</w:t>
      </w:r>
    </w:p>
    <w:p w:rsidR="00E25444" w:rsidRPr="00E447D8" w:rsidRDefault="00E25444" w:rsidP="00A1134A">
      <w:pPr>
        <w:ind w:hanging="873"/>
        <w:rPr>
          <w:rFonts w:ascii="Arial" w:hAnsi="Arial"/>
          <w:sz w:val="24"/>
          <w:lang w:val="fr-CA"/>
        </w:rPr>
      </w:pPr>
    </w:p>
    <w:p w:rsidR="002E39B9" w:rsidRDefault="00E25444" w:rsidP="00A1134A">
      <w:pPr>
        <w:numPr>
          <w:ilvl w:val="1"/>
          <w:numId w:val="10"/>
        </w:numPr>
        <w:tabs>
          <w:tab w:val="clear" w:pos="1080"/>
          <w:tab w:val="num" w:pos="1440"/>
        </w:tabs>
        <w:ind w:left="1440" w:hanging="873"/>
        <w:rPr>
          <w:rFonts w:ascii="Arial" w:hAnsi="Arial"/>
          <w:sz w:val="24"/>
          <w:lang w:val="fr-CA"/>
        </w:rPr>
      </w:pPr>
      <w:r w:rsidRPr="00E447D8">
        <w:rPr>
          <w:rFonts w:ascii="Arial" w:hAnsi="Arial"/>
          <w:sz w:val="24"/>
          <w:lang w:val="fr-CA"/>
        </w:rPr>
        <w:t xml:space="preserve"> </w:t>
      </w:r>
      <w:r w:rsidR="00E447D8" w:rsidRPr="00E447D8">
        <w:rPr>
          <w:rFonts w:ascii="Arial" w:hAnsi="Arial"/>
          <w:sz w:val="24"/>
          <w:lang w:val="fr-CA"/>
        </w:rPr>
        <w:t>N</w:t>
      </w:r>
      <w:r w:rsidR="00361CEF" w:rsidRPr="00E447D8">
        <w:rPr>
          <w:rFonts w:ascii="Arial" w:hAnsi="Arial"/>
          <w:sz w:val="24"/>
          <w:lang w:val="fr-CA"/>
        </w:rPr>
        <w:t>e pas utiliser les cartes qui présentent des signes de dessiccation.</w:t>
      </w:r>
      <w:r w:rsidRPr="00E447D8">
        <w:rPr>
          <w:rFonts w:ascii="Arial" w:hAnsi="Arial"/>
          <w:sz w:val="24"/>
          <w:lang w:val="fr-CA"/>
        </w:rPr>
        <w:t xml:space="preserve">  </w:t>
      </w:r>
      <w:r w:rsidR="002E39B9">
        <w:rPr>
          <w:rFonts w:ascii="Arial" w:hAnsi="Arial"/>
          <w:sz w:val="24"/>
          <w:lang w:val="fr-CA"/>
        </w:rPr>
        <w:t xml:space="preserve">Il </w:t>
      </w:r>
      <w:r w:rsidR="00E447D8" w:rsidRPr="00E447D8">
        <w:rPr>
          <w:rFonts w:ascii="Arial" w:hAnsi="Arial"/>
          <w:sz w:val="24"/>
          <w:lang w:val="fr-CA"/>
        </w:rPr>
        <w:t xml:space="preserve">doit y avoir une couche liquide par-dessus le gel dans chaque microtube. </w:t>
      </w:r>
    </w:p>
    <w:p w:rsidR="002E39B9" w:rsidRDefault="002E39B9" w:rsidP="00A1134A">
      <w:pPr>
        <w:ind w:left="720" w:hanging="873"/>
        <w:rPr>
          <w:rFonts w:ascii="Arial" w:hAnsi="Arial"/>
          <w:sz w:val="24"/>
          <w:lang w:val="fr-CA"/>
        </w:rPr>
      </w:pPr>
    </w:p>
    <w:p w:rsidR="00E25444" w:rsidRDefault="00E447D8" w:rsidP="00A1134A">
      <w:pPr>
        <w:numPr>
          <w:ilvl w:val="1"/>
          <w:numId w:val="10"/>
        </w:numPr>
        <w:tabs>
          <w:tab w:val="clear" w:pos="1080"/>
          <w:tab w:val="num" w:pos="1440"/>
        </w:tabs>
        <w:ind w:left="1440" w:hanging="873"/>
        <w:rPr>
          <w:rFonts w:ascii="Arial" w:hAnsi="Arial"/>
          <w:sz w:val="24"/>
          <w:lang w:val="fr-CA"/>
        </w:rPr>
      </w:pPr>
      <w:r w:rsidRPr="00E447D8">
        <w:rPr>
          <w:rFonts w:ascii="Arial" w:hAnsi="Arial"/>
          <w:sz w:val="24"/>
          <w:lang w:val="fr-CA"/>
        </w:rPr>
        <w:t xml:space="preserve">Ne pas utiliser les cartes en cas de décoloration ou de présence de bulles ou de cristaux dans les microtubes. </w:t>
      </w:r>
    </w:p>
    <w:p w:rsidR="005328D0" w:rsidRPr="00E447D8" w:rsidRDefault="005328D0" w:rsidP="00A1134A">
      <w:pPr>
        <w:ind w:left="720" w:hanging="721"/>
        <w:rPr>
          <w:rFonts w:ascii="Arial" w:hAnsi="Arial"/>
          <w:sz w:val="24"/>
          <w:lang w:val="fr-CA"/>
        </w:rPr>
      </w:pPr>
    </w:p>
    <w:p w:rsidR="00E25444" w:rsidRPr="00E447D8" w:rsidRDefault="00E25444" w:rsidP="00A1134A">
      <w:pPr>
        <w:numPr>
          <w:ilvl w:val="1"/>
          <w:numId w:val="10"/>
        </w:numPr>
        <w:tabs>
          <w:tab w:val="clear" w:pos="1080"/>
          <w:tab w:val="num" w:pos="1440"/>
        </w:tabs>
        <w:ind w:left="1440" w:hanging="873"/>
        <w:rPr>
          <w:rFonts w:ascii="Arial" w:hAnsi="Arial"/>
          <w:sz w:val="24"/>
          <w:lang w:val="fr-CA"/>
        </w:rPr>
      </w:pPr>
      <w:r w:rsidRPr="00E447D8">
        <w:rPr>
          <w:rFonts w:ascii="Arial" w:hAnsi="Arial"/>
          <w:sz w:val="24"/>
          <w:lang w:val="fr-CA"/>
        </w:rPr>
        <w:t xml:space="preserve"> </w:t>
      </w:r>
      <w:r w:rsidR="00E447D8" w:rsidRPr="00E447D8">
        <w:rPr>
          <w:rFonts w:ascii="Arial" w:hAnsi="Arial"/>
          <w:sz w:val="24"/>
          <w:lang w:val="fr-CA"/>
        </w:rPr>
        <w:t>Ne pas utiliser les cartes de microtubes si l'opercule du microtube semble endommagé ou ouvert.</w:t>
      </w:r>
      <w:r w:rsidRPr="00E447D8">
        <w:rPr>
          <w:rFonts w:ascii="Arial" w:hAnsi="Arial"/>
          <w:sz w:val="24"/>
          <w:lang w:val="fr-CA"/>
        </w:rPr>
        <w:t xml:space="preserve">  </w:t>
      </w:r>
    </w:p>
    <w:p w:rsidR="00E25444" w:rsidRPr="00E447D8" w:rsidRDefault="00E25444" w:rsidP="00A1134A">
      <w:pPr>
        <w:tabs>
          <w:tab w:val="num" w:pos="1440"/>
        </w:tabs>
        <w:ind w:left="1440" w:hanging="721"/>
        <w:rPr>
          <w:rFonts w:ascii="Arial" w:hAnsi="Arial"/>
          <w:sz w:val="24"/>
          <w:lang w:val="fr-CA"/>
        </w:rPr>
      </w:pPr>
    </w:p>
    <w:p w:rsidR="00F80837" w:rsidRPr="00F80837" w:rsidRDefault="00361CEF" w:rsidP="00A1134A">
      <w:pPr>
        <w:ind w:left="1440" w:hanging="873"/>
        <w:rPr>
          <w:rFonts w:ascii="Arial" w:hAnsi="Arial"/>
          <w:sz w:val="24"/>
          <w:lang w:val="fr-CA"/>
        </w:rPr>
      </w:pPr>
      <w:r w:rsidRPr="00F80837">
        <w:rPr>
          <w:rFonts w:ascii="Arial" w:hAnsi="Arial"/>
          <w:sz w:val="24"/>
          <w:lang w:val="fr-CA"/>
        </w:rPr>
        <w:t xml:space="preserve">5.8 </w:t>
      </w:r>
      <w:r w:rsidRPr="00F80837">
        <w:rPr>
          <w:rFonts w:ascii="Arial" w:hAnsi="Arial"/>
          <w:sz w:val="24"/>
          <w:lang w:val="fr-CA"/>
        </w:rPr>
        <w:tab/>
      </w:r>
      <w:r w:rsidR="00E447D8" w:rsidRPr="00F80837">
        <w:rPr>
          <w:rFonts w:ascii="Arial" w:hAnsi="Arial"/>
          <w:sz w:val="24"/>
          <w:lang w:val="fr-CA"/>
        </w:rPr>
        <w:t>N</w:t>
      </w:r>
      <w:r w:rsidRPr="00F80837">
        <w:rPr>
          <w:rFonts w:ascii="Arial" w:hAnsi="Arial"/>
          <w:sz w:val="24"/>
          <w:lang w:val="fr-CA"/>
        </w:rPr>
        <w:t>e pas enlever l'opercule en aluminium des microtubes avant l'utilisation.</w:t>
      </w:r>
      <w:r w:rsidR="00E25444" w:rsidRPr="00F80837">
        <w:rPr>
          <w:rFonts w:ascii="Arial" w:hAnsi="Arial"/>
          <w:sz w:val="24"/>
          <w:lang w:val="fr-CA"/>
        </w:rPr>
        <w:t xml:space="preserve"> </w:t>
      </w:r>
      <w:r w:rsidR="00F80837" w:rsidRPr="00F80837">
        <w:rPr>
          <w:rFonts w:ascii="Arial" w:hAnsi="Arial"/>
          <w:sz w:val="24"/>
          <w:lang w:val="fr-CA"/>
        </w:rPr>
        <w:br/>
      </w:r>
    </w:p>
    <w:p w:rsidR="00E25444" w:rsidRPr="00F80837" w:rsidRDefault="00F80837" w:rsidP="00A1134A">
      <w:pPr>
        <w:ind w:left="1440" w:hanging="873"/>
        <w:rPr>
          <w:rFonts w:ascii="Arial" w:hAnsi="Arial"/>
          <w:sz w:val="24"/>
          <w:lang w:val="fr-CA"/>
        </w:rPr>
      </w:pPr>
      <w:r w:rsidRPr="00F80837">
        <w:rPr>
          <w:rFonts w:ascii="Arial" w:hAnsi="Arial"/>
          <w:sz w:val="24"/>
          <w:lang w:val="fr-CA"/>
        </w:rPr>
        <w:t>5.9</w:t>
      </w:r>
      <w:r w:rsidRPr="00F80837">
        <w:rPr>
          <w:rFonts w:ascii="Arial" w:hAnsi="Arial"/>
          <w:sz w:val="24"/>
          <w:lang w:val="fr-CA"/>
        </w:rPr>
        <w:tab/>
      </w:r>
      <w:r w:rsidR="001459DB" w:rsidRPr="00F80837">
        <w:rPr>
          <w:rFonts w:ascii="Arial" w:hAnsi="Arial"/>
          <w:sz w:val="24"/>
          <w:lang w:val="fr-CA"/>
        </w:rPr>
        <w:t>Le fabricant recommande de faire la lecture des épreuves immédiatement après la centrifugation. L</w:t>
      </w:r>
      <w:r w:rsidR="00361CEF" w:rsidRPr="00F80837">
        <w:rPr>
          <w:rFonts w:ascii="Arial" w:hAnsi="Arial"/>
          <w:sz w:val="24"/>
          <w:lang w:val="fr-CA"/>
        </w:rPr>
        <w:t xml:space="preserve">a dessiccation du gel, l'hémolyse des globules rouges </w:t>
      </w:r>
      <w:r w:rsidR="00056AA1">
        <w:rPr>
          <w:rFonts w:ascii="Arial" w:hAnsi="Arial"/>
          <w:sz w:val="24"/>
          <w:lang w:val="fr-CA"/>
        </w:rPr>
        <w:t>ou</w:t>
      </w:r>
      <w:r w:rsidR="00361CEF" w:rsidRPr="00F80837">
        <w:rPr>
          <w:rFonts w:ascii="Arial" w:hAnsi="Arial"/>
          <w:sz w:val="24"/>
          <w:lang w:val="fr-CA"/>
        </w:rPr>
        <w:t xml:space="preserve"> l'inclinaison des motifs de réactions due à un entreposage autre qu'à la verticale peut modifier les résultats.</w:t>
      </w:r>
      <w:r w:rsidR="00E25444" w:rsidRPr="00F80837">
        <w:rPr>
          <w:rFonts w:ascii="Arial" w:hAnsi="Arial"/>
          <w:sz w:val="24"/>
          <w:lang w:val="fr-CA"/>
        </w:rPr>
        <w:t xml:space="preserve"> </w:t>
      </w:r>
    </w:p>
    <w:p w:rsidR="00FC0425" w:rsidRPr="00FC0425" w:rsidRDefault="00FC0425" w:rsidP="00C864DA">
      <w:pPr>
        <w:pStyle w:val="Heading2"/>
        <w:rPr>
          <w:lang w:val="fr-CA"/>
        </w:rPr>
      </w:pPr>
    </w:p>
    <w:p w:rsidR="00E25444" w:rsidRPr="00FC0425" w:rsidRDefault="00E25444">
      <w:pPr>
        <w:ind w:left="720"/>
        <w:rPr>
          <w:rFonts w:ascii="Arial" w:hAnsi="Arial"/>
          <w:sz w:val="24"/>
          <w:lang w:val="fr-CA"/>
        </w:rPr>
      </w:pPr>
    </w:p>
    <w:p w:rsidR="00E25444" w:rsidRPr="00FC0425" w:rsidRDefault="00E25444">
      <w:pPr>
        <w:numPr>
          <w:ilvl w:val="0"/>
          <w:numId w:val="1"/>
        </w:numPr>
        <w:rPr>
          <w:rFonts w:ascii="Arial" w:hAnsi="Arial"/>
          <w:b/>
          <w:sz w:val="28"/>
          <w:lang w:val="fr-CA"/>
        </w:rPr>
      </w:pPr>
      <w:r w:rsidRPr="00FC0425">
        <w:rPr>
          <w:rFonts w:ascii="Arial" w:hAnsi="Arial"/>
          <w:b/>
          <w:sz w:val="28"/>
          <w:lang w:val="fr-CA"/>
        </w:rPr>
        <w:t>Proc</w:t>
      </w:r>
      <w:r w:rsidR="001459DB" w:rsidRPr="00FC0425">
        <w:rPr>
          <w:rFonts w:ascii="Arial" w:hAnsi="Arial"/>
          <w:b/>
          <w:sz w:val="28"/>
          <w:lang w:val="fr-CA"/>
        </w:rPr>
        <w:t>é</w:t>
      </w:r>
      <w:r w:rsidRPr="00FC0425">
        <w:rPr>
          <w:rFonts w:ascii="Arial" w:hAnsi="Arial"/>
          <w:b/>
          <w:sz w:val="28"/>
          <w:lang w:val="fr-CA"/>
        </w:rPr>
        <w:t>dures</w:t>
      </w:r>
    </w:p>
    <w:p w:rsidR="00E25444" w:rsidRPr="00FC0425" w:rsidRDefault="00E25444">
      <w:pPr>
        <w:rPr>
          <w:rFonts w:ascii="Arial" w:hAnsi="Arial"/>
          <w:b/>
          <w:sz w:val="24"/>
          <w:lang w:val="fr-CA"/>
        </w:rPr>
      </w:pPr>
    </w:p>
    <w:p w:rsidR="00E25444" w:rsidRPr="00FC0425" w:rsidRDefault="001459DB">
      <w:pPr>
        <w:numPr>
          <w:ilvl w:val="1"/>
          <w:numId w:val="1"/>
        </w:numPr>
        <w:tabs>
          <w:tab w:val="left" w:pos="-720"/>
        </w:tabs>
        <w:suppressAutoHyphens/>
        <w:rPr>
          <w:rFonts w:ascii="Arial" w:hAnsi="Arial"/>
          <w:spacing w:val="-2"/>
          <w:sz w:val="24"/>
          <w:lang w:val="fr-CA"/>
        </w:rPr>
      </w:pPr>
      <w:r w:rsidRPr="00FC0425">
        <w:rPr>
          <w:rFonts w:ascii="Arial" w:hAnsi="Arial"/>
          <w:spacing w:val="-2"/>
          <w:sz w:val="24"/>
          <w:lang w:val="fr-CA"/>
        </w:rPr>
        <w:t xml:space="preserve">Préparation </w:t>
      </w:r>
      <w:r w:rsidR="005328D0">
        <w:rPr>
          <w:rFonts w:ascii="Arial" w:hAnsi="Arial"/>
          <w:spacing w:val="-2"/>
          <w:sz w:val="24"/>
          <w:lang w:val="fr-CA"/>
        </w:rPr>
        <w:t>d</w:t>
      </w:r>
      <w:r w:rsidR="005328D0" w:rsidRPr="00FC0425">
        <w:rPr>
          <w:rFonts w:ascii="Arial" w:hAnsi="Arial"/>
          <w:spacing w:val="-2"/>
          <w:sz w:val="24"/>
          <w:lang w:val="fr-CA"/>
        </w:rPr>
        <w:t xml:space="preserve">es </w:t>
      </w:r>
      <w:r w:rsidRPr="00FC0425">
        <w:rPr>
          <w:rFonts w:ascii="Arial" w:hAnsi="Arial"/>
          <w:spacing w:val="-2"/>
          <w:sz w:val="24"/>
          <w:lang w:val="fr-CA"/>
        </w:rPr>
        <w:t>cellules</w:t>
      </w:r>
      <w:r w:rsidR="00E25444" w:rsidRPr="00FC0425">
        <w:rPr>
          <w:rFonts w:ascii="Arial" w:hAnsi="Arial"/>
          <w:spacing w:val="-2"/>
          <w:sz w:val="24"/>
          <w:lang w:val="fr-CA"/>
        </w:rPr>
        <w:t xml:space="preserve"> </w:t>
      </w:r>
    </w:p>
    <w:p w:rsidR="00E25444" w:rsidRPr="00FC0425" w:rsidRDefault="00E25444">
      <w:pPr>
        <w:pStyle w:val="BodyTextIndent2"/>
        <w:tabs>
          <w:tab w:val="clear" w:pos="720"/>
        </w:tabs>
        <w:ind w:left="0"/>
        <w:jc w:val="left"/>
        <w:rPr>
          <w:lang w:val="fr-CA"/>
        </w:rPr>
      </w:pPr>
    </w:p>
    <w:p w:rsidR="00E25444" w:rsidRPr="00FC0425" w:rsidRDefault="00FC0425">
      <w:pPr>
        <w:numPr>
          <w:ilvl w:val="2"/>
          <w:numId w:val="1"/>
        </w:numPr>
        <w:tabs>
          <w:tab w:val="left" w:pos="-720"/>
        </w:tabs>
        <w:suppressAutoHyphens/>
        <w:rPr>
          <w:rFonts w:ascii="Arial" w:hAnsi="Arial"/>
          <w:spacing w:val="-2"/>
          <w:sz w:val="24"/>
          <w:lang w:val="fr-CA"/>
        </w:rPr>
      </w:pPr>
      <w:r w:rsidRPr="00FC0425">
        <w:rPr>
          <w:rFonts w:ascii="Arial" w:hAnsi="Arial"/>
          <w:sz w:val="24"/>
          <w:lang w:val="fr-CA"/>
        </w:rPr>
        <w:t xml:space="preserve">Étiqueter les tubes pour les cellules </w:t>
      </w:r>
      <w:r w:rsidR="00E25444" w:rsidRPr="00FC0425">
        <w:rPr>
          <w:rFonts w:ascii="Arial" w:hAnsi="Arial"/>
          <w:sz w:val="24"/>
          <w:lang w:val="fr-CA"/>
        </w:rPr>
        <w:t xml:space="preserve">A, B </w:t>
      </w:r>
      <w:r w:rsidRPr="00FC0425">
        <w:rPr>
          <w:rFonts w:ascii="Arial" w:hAnsi="Arial"/>
          <w:sz w:val="24"/>
          <w:lang w:val="fr-CA"/>
        </w:rPr>
        <w:t>et</w:t>
      </w:r>
      <w:r w:rsidR="00E25444" w:rsidRPr="00FC0425">
        <w:rPr>
          <w:rFonts w:ascii="Arial" w:hAnsi="Arial"/>
          <w:sz w:val="24"/>
          <w:lang w:val="fr-CA"/>
        </w:rPr>
        <w:t xml:space="preserve"> O.</w:t>
      </w:r>
    </w:p>
    <w:p w:rsidR="00E25444" w:rsidRPr="00FC0425" w:rsidRDefault="001459DB">
      <w:pPr>
        <w:pStyle w:val="BodyTextIndent2"/>
        <w:numPr>
          <w:ilvl w:val="2"/>
          <w:numId w:val="1"/>
        </w:numPr>
        <w:tabs>
          <w:tab w:val="clear" w:pos="720"/>
        </w:tabs>
        <w:jc w:val="left"/>
        <w:rPr>
          <w:lang w:val="fr-CA"/>
        </w:rPr>
      </w:pPr>
      <w:r w:rsidRPr="00FC0425">
        <w:rPr>
          <w:lang w:val="fr-CA"/>
        </w:rPr>
        <w:t>Avec une pipette adéquate, mettre un (1) volume (minimum suggéré, 100 µL) de chaque échantillon de cellules</w:t>
      </w:r>
      <w:r w:rsidR="00FC0425" w:rsidRPr="00FC0425">
        <w:rPr>
          <w:lang w:val="fr-CA"/>
        </w:rPr>
        <w:t xml:space="preserve"> </w:t>
      </w:r>
      <w:r w:rsidRPr="00FC0425">
        <w:rPr>
          <w:lang w:val="fr-CA"/>
        </w:rPr>
        <w:t xml:space="preserve">dans le tube correspondant. </w:t>
      </w:r>
      <w:r w:rsidR="00FC0425" w:rsidRPr="00FC0425">
        <w:rPr>
          <w:lang w:val="fr-CA"/>
        </w:rPr>
        <w:t>A</w:t>
      </w:r>
      <w:r w:rsidR="00361CEF" w:rsidRPr="00FC0425">
        <w:rPr>
          <w:lang w:val="fr-CA"/>
        </w:rPr>
        <w:t xml:space="preserve">jouter un petit volume de </w:t>
      </w:r>
      <w:r w:rsidR="00FC0425" w:rsidRPr="00FC0425">
        <w:rPr>
          <w:lang w:val="fr-CA"/>
        </w:rPr>
        <w:t>MTS</w:t>
      </w:r>
      <w:r w:rsidR="00361CEF" w:rsidRPr="00FC0425">
        <w:rPr>
          <w:lang w:val="fr-CA"/>
        </w:rPr>
        <w:t xml:space="preserve"> </w:t>
      </w:r>
      <w:r w:rsidR="00FC0425" w:rsidRPr="00FC0425">
        <w:rPr>
          <w:lang w:val="fr-CA"/>
        </w:rPr>
        <w:t>Diluent 2</w:t>
      </w:r>
      <w:r w:rsidR="00FC0425" w:rsidRPr="00FC0425">
        <w:rPr>
          <w:vertAlign w:val="superscript"/>
          <w:lang w:val="fr-CA"/>
        </w:rPr>
        <w:t>M</w:t>
      </w:r>
      <w:r w:rsidR="00C864DA">
        <w:rPr>
          <w:vertAlign w:val="superscript"/>
          <w:lang w:val="fr-CA"/>
        </w:rPr>
        <w:t>C</w:t>
      </w:r>
      <w:r w:rsidR="00361CEF" w:rsidRPr="00FC0425">
        <w:rPr>
          <w:lang w:val="fr-CA"/>
        </w:rPr>
        <w:t xml:space="preserve"> à chaque tube pour avoir un volume suffisant.</w:t>
      </w:r>
    </w:p>
    <w:p w:rsidR="00E25444" w:rsidRPr="00FC0425" w:rsidRDefault="00361CEF" w:rsidP="00FC0425">
      <w:pPr>
        <w:tabs>
          <w:tab w:val="left" w:pos="-720"/>
        </w:tabs>
        <w:suppressAutoHyphens/>
        <w:ind w:left="2160" w:hanging="720"/>
        <w:rPr>
          <w:spacing w:val="-2"/>
          <w:lang w:val="fr-CA"/>
        </w:rPr>
      </w:pPr>
      <w:r w:rsidRPr="00FC0425">
        <w:rPr>
          <w:rFonts w:ascii="Arial" w:hAnsi="Arial"/>
          <w:spacing w:val="-2"/>
          <w:sz w:val="24"/>
          <w:lang w:val="fr-CA"/>
        </w:rPr>
        <w:t>6.1.3</w:t>
      </w:r>
      <w:r w:rsidRPr="00FC0425">
        <w:rPr>
          <w:rFonts w:ascii="Arial" w:hAnsi="Arial"/>
          <w:spacing w:val="-2"/>
          <w:sz w:val="24"/>
          <w:lang w:val="fr-CA"/>
        </w:rPr>
        <w:tab/>
      </w:r>
      <w:r w:rsidR="00FC0425" w:rsidRPr="00FC0425">
        <w:rPr>
          <w:rFonts w:ascii="Arial" w:hAnsi="Arial"/>
          <w:spacing w:val="-2"/>
          <w:sz w:val="24"/>
          <w:lang w:val="fr-CA"/>
        </w:rPr>
        <w:t>C</w:t>
      </w:r>
      <w:r w:rsidRPr="00FC0425">
        <w:rPr>
          <w:rFonts w:ascii="Arial" w:hAnsi="Arial"/>
          <w:spacing w:val="-2"/>
          <w:sz w:val="24"/>
          <w:lang w:val="fr-CA"/>
        </w:rPr>
        <w:t>entrifuger pendant une (1) minute pour concentrer les globules rouges.</w:t>
      </w:r>
    </w:p>
    <w:p w:rsidR="00E25444" w:rsidRPr="00FC0425" w:rsidRDefault="00FC0425">
      <w:pPr>
        <w:pStyle w:val="BodyTextIndent"/>
        <w:ind w:left="2160" w:hanging="720"/>
        <w:rPr>
          <w:spacing w:val="-2"/>
          <w:lang w:val="fr-CA"/>
        </w:rPr>
      </w:pPr>
      <w:r w:rsidRPr="00FC0425">
        <w:rPr>
          <w:spacing w:val="-2"/>
          <w:lang w:val="fr-CA"/>
        </w:rPr>
        <w:t>6.1.4</w:t>
      </w:r>
      <w:r w:rsidRPr="00FC0425">
        <w:rPr>
          <w:spacing w:val="-2"/>
          <w:lang w:val="fr-CA"/>
        </w:rPr>
        <w:tab/>
      </w:r>
      <w:r w:rsidR="001459DB" w:rsidRPr="00FC0425">
        <w:rPr>
          <w:spacing w:val="-2"/>
          <w:lang w:val="fr-CA"/>
        </w:rPr>
        <w:t>Décanter le surnageant (on recommande un culot de cellules sec) et ajouter deux (2) volumes de MTS Diluent 2</w:t>
      </w:r>
      <w:r w:rsidR="005328D0" w:rsidRPr="00FC0425">
        <w:rPr>
          <w:spacing w:val="-2"/>
          <w:vertAlign w:val="superscript"/>
          <w:lang w:val="fr-CA"/>
        </w:rPr>
        <w:t>M</w:t>
      </w:r>
      <w:r w:rsidR="00C864DA">
        <w:rPr>
          <w:spacing w:val="-2"/>
          <w:vertAlign w:val="superscript"/>
          <w:lang w:val="fr-CA"/>
        </w:rPr>
        <w:t>C</w:t>
      </w:r>
      <w:r w:rsidR="001459DB" w:rsidRPr="00FC0425">
        <w:rPr>
          <w:spacing w:val="-2"/>
          <w:lang w:val="fr-CA"/>
        </w:rPr>
        <w:t xml:space="preserve"> (200 </w:t>
      </w:r>
      <w:r w:rsidRPr="00FC0425">
        <w:rPr>
          <w:spacing w:val="-2"/>
          <w:lang w:val="fr-CA"/>
        </w:rPr>
        <w:sym w:font="Symbol" w:char="F06D"/>
      </w:r>
      <w:r w:rsidR="001459DB" w:rsidRPr="00FC0425">
        <w:rPr>
          <w:spacing w:val="-2"/>
          <w:lang w:val="fr-CA"/>
        </w:rPr>
        <w:t>L si le volume initial était de 100 </w:t>
      </w:r>
      <w:r w:rsidRPr="00FC0425">
        <w:rPr>
          <w:spacing w:val="-2"/>
          <w:lang w:val="fr-CA"/>
        </w:rPr>
        <w:sym w:font="Symbol" w:char="F06D"/>
      </w:r>
      <w:r w:rsidR="001459DB" w:rsidRPr="00FC0425">
        <w:rPr>
          <w:spacing w:val="-2"/>
          <w:lang w:val="fr-CA"/>
        </w:rPr>
        <w:t>L) à chaque tube</w:t>
      </w:r>
      <w:r w:rsidR="00E25444" w:rsidRPr="00FC0425">
        <w:rPr>
          <w:spacing w:val="-2"/>
          <w:lang w:val="fr-CA"/>
        </w:rPr>
        <w:t>.</w:t>
      </w:r>
    </w:p>
    <w:p w:rsidR="00E25444" w:rsidRPr="00FC0425" w:rsidRDefault="00361CEF">
      <w:pPr>
        <w:numPr>
          <w:ilvl w:val="2"/>
          <w:numId w:val="14"/>
        </w:numPr>
        <w:tabs>
          <w:tab w:val="left" w:pos="-720"/>
        </w:tabs>
        <w:suppressAutoHyphens/>
        <w:rPr>
          <w:rFonts w:ascii="Arial" w:hAnsi="Arial"/>
          <w:spacing w:val="-2"/>
          <w:sz w:val="24"/>
          <w:lang w:val="fr-CA"/>
        </w:rPr>
      </w:pPr>
      <w:r w:rsidRPr="00FC0425">
        <w:rPr>
          <w:rFonts w:ascii="Arial" w:hAnsi="Arial"/>
          <w:spacing w:val="-2"/>
          <w:sz w:val="24"/>
          <w:lang w:val="fr-CA"/>
        </w:rPr>
        <w:t>Mélanger doucement.</w:t>
      </w:r>
      <w:r w:rsidR="00E25444" w:rsidRPr="00FC0425">
        <w:rPr>
          <w:rFonts w:ascii="Arial" w:hAnsi="Arial"/>
          <w:spacing w:val="-2"/>
          <w:sz w:val="24"/>
          <w:lang w:val="fr-CA"/>
        </w:rPr>
        <w:t xml:space="preserve"> </w:t>
      </w:r>
      <w:r w:rsidR="001459DB" w:rsidRPr="00FC0425">
        <w:rPr>
          <w:rFonts w:ascii="Arial" w:hAnsi="Arial"/>
          <w:spacing w:val="-2"/>
          <w:sz w:val="24"/>
          <w:lang w:val="fr-CA"/>
        </w:rPr>
        <w:t>Les suspensions cellulaires finales devraient avoir une concentration d'environ 0,8 %; elles sont stables pendant 24 heures</w:t>
      </w:r>
      <w:r w:rsidR="00FC0425" w:rsidRPr="00FC0425">
        <w:rPr>
          <w:rFonts w:ascii="Arial" w:hAnsi="Arial"/>
          <w:spacing w:val="-2"/>
          <w:sz w:val="24"/>
          <w:lang w:val="fr-CA"/>
        </w:rPr>
        <w:t>.</w:t>
      </w:r>
      <w:r w:rsidR="00E25444" w:rsidRPr="00FC0425">
        <w:rPr>
          <w:rFonts w:ascii="Arial" w:hAnsi="Arial"/>
          <w:spacing w:val="-2"/>
          <w:sz w:val="24"/>
          <w:lang w:val="fr-CA"/>
        </w:rPr>
        <w:t xml:space="preserve"> </w:t>
      </w:r>
      <w:r w:rsidR="001459DB" w:rsidRPr="00FC0425">
        <w:rPr>
          <w:rFonts w:ascii="Arial" w:hAnsi="Arial"/>
          <w:spacing w:val="-2"/>
          <w:sz w:val="24"/>
          <w:lang w:val="fr-CA"/>
        </w:rPr>
        <w:t>P</w:t>
      </w:r>
      <w:r w:rsidRPr="00FC0425">
        <w:rPr>
          <w:rFonts w:ascii="Arial" w:hAnsi="Arial"/>
          <w:spacing w:val="-2"/>
          <w:sz w:val="24"/>
          <w:lang w:val="fr-CA"/>
        </w:rPr>
        <w:t>our de meilleurs résultats, la concentration des suspensions d</w:t>
      </w:r>
      <w:r w:rsidR="00056AA1">
        <w:rPr>
          <w:rFonts w:ascii="Arial" w:hAnsi="Arial"/>
          <w:spacing w:val="-2"/>
          <w:sz w:val="24"/>
          <w:lang w:val="fr-CA"/>
        </w:rPr>
        <w:t>o</w:t>
      </w:r>
      <w:r w:rsidRPr="00FC0425">
        <w:rPr>
          <w:rFonts w:ascii="Arial" w:hAnsi="Arial"/>
          <w:spacing w:val="-2"/>
          <w:sz w:val="24"/>
          <w:lang w:val="fr-CA"/>
        </w:rPr>
        <w:t>it se situer entre 0,6 % et 1,0 %.</w:t>
      </w:r>
    </w:p>
    <w:p w:rsidR="00E25444" w:rsidRPr="001459DB" w:rsidRDefault="00FC0425" w:rsidP="00C864DA">
      <w:pPr>
        <w:ind w:left="2160"/>
        <w:rPr>
          <w:rFonts w:ascii="Arial" w:hAnsi="Arial"/>
          <w:spacing w:val="-2"/>
          <w:sz w:val="24"/>
          <w:lang w:val="fr-CA"/>
        </w:rPr>
      </w:pPr>
      <w:r w:rsidRPr="00C864DA">
        <w:rPr>
          <w:rFonts w:ascii="Arial" w:hAnsi="Arial"/>
          <w:b/>
          <w:spacing w:val="-2"/>
          <w:sz w:val="24"/>
          <w:lang w:val="fr-CA"/>
        </w:rPr>
        <w:t>R</w:t>
      </w:r>
      <w:r w:rsidR="00C864DA" w:rsidRPr="00C864DA">
        <w:rPr>
          <w:rFonts w:ascii="Arial" w:hAnsi="Arial"/>
          <w:b/>
          <w:spacing w:val="-2"/>
          <w:sz w:val="24"/>
          <w:lang w:val="fr-CA"/>
        </w:rPr>
        <w:t>emarque</w:t>
      </w:r>
      <w:r w:rsidRPr="001459DB">
        <w:rPr>
          <w:rFonts w:ascii="Arial" w:hAnsi="Arial"/>
          <w:spacing w:val="-2"/>
          <w:sz w:val="24"/>
          <w:lang w:val="fr-CA"/>
        </w:rPr>
        <w:t> </w:t>
      </w:r>
      <w:r w:rsidR="00361CEF" w:rsidRPr="001459DB">
        <w:rPr>
          <w:rFonts w:ascii="Arial" w:hAnsi="Arial"/>
          <w:spacing w:val="-2"/>
          <w:sz w:val="24"/>
          <w:lang w:val="fr-CA"/>
        </w:rPr>
        <w:t xml:space="preserve">: </w:t>
      </w:r>
      <w:r>
        <w:rPr>
          <w:rFonts w:ascii="Arial" w:hAnsi="Arial"/>
          <w:spacing w:val="-2"/>
          <w:sz w:val="24"/>
          <w:lang w:val="fr-CA"/>
        </w:rPr>
        <w:t>O</w:t>
      </w:r>
      <w:r w:rsidR="00361CEF" w:rsidRPr="001459DB">
        <w:rPr>
          <w:rFonts w:ascii="Arial" w:hAnsi="Arial"/>
          <w:spacing w:val="-2"/>
          <w:sz w:val="24"/>
          <w:lang w:val="fr-CA"/>
        </w:rPr>
        <w:t>n a modifié la méthode de préparation d'un petit volume d'une suspension de globules rouges à 0,8 % pour cibler avec le plus d'exactitude possible une concentration de 0,8 %, dans un intervalle de 0,6 % à 1,0 %.</w:t>
      </w:r>
    </w:p>
    <w:p w:rsidR="00E25444" w:rsidRPr="001459DB" w:rsidRDefault="00E25444">
      <w:pPr>
        <w:tabs>
          <w:tab w:val="left" w:pos="-720"/>
        </w:tabs>
        <w:suppressAutoHyphens/>
        <w:rPr>
          <w:rFonts w:ascii="Arial" w:hAnsi="Arial"/>
          <w:spacing w:val="-2"/>
          <w:sz w:val="24"/>
          <w:lang w:val="fr-CA"/>
        </w:rPr>
      </w:pPr>
    </w:p>
    <w:p w:rsidR="00E25444" w:rsidRPr="001459DB" w:rsidRDefault="00361CEF">
      <w:pPr>
        <w:numPr>
          <w:ilvl w:val="1"/>
          <w:numId w:val="22"/>
        </w:numPr>
        <w:tabs>
          <w:tab w:val="left" w:pos="-720"/>
        </w:tabs>
        <w:suppressAutoHyphens/>
        <w:rPr>
          <w:rFonts w:ascii="Arial" w:hAnsi="Arial"/>
          <w:spacing w:val="-2"/>
          <w:sz w:val="24"/>
          <w:lang w:val="fr-CA"/>
        </w:rPr>
      </w:pPr>
      <w:r w:rsidRPr="001459DB">
        <w:rPr>
          <w:rFonts w:ascii="Arial" w:hAnsi="Arial"/>
          <w:spacing w:val="-2"/>
          <w:sz w:val="24"/>
          <w:lang w:val="fr-CA"/>
        </w:rPr>
        <w:t xml:space="preserve"> Procédure d'identification d'anticorps</w:t>
      </w:r>
    </w:p>
    <w:p w:rsidR="00E25444" w:rsidRPr="001459DB" w:rsidRDefault="00E25444">
      <w:pPr>
        <w:tabs>
          <w:tab w:val="left" w:pos="-720"/>
        </w:tabs>
        <w:suppressAutoHyphens/>
        <w:rPr>
          <w:rFonts w:ascii="Arial" w:hAnsi="Arial"/>
          <w:spacing w:val="-2"/>
          <w:sz w:val="24"/>
          <w:lang w:val="fr-CA"/>
        </w:rPr>
      </w:pPr>
    </w:p>
    <w:p w:rsidR="00E25444" w:rsidRPr="001459DB" w:rsidRDefault="00056AA1">
      <w:pPr>
        <w:numPr>
          <w:ilvl w:val="2"/>
          <w:numId w:val="22"/>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Noter sur</w:t>
      </w:r>
      <w:r w:rsidR="00361CEF" w:rsidRPr="001459DB">
        <w:rPr>
          <w:rFonts w:ascii="Arial" w:hAnsi="Arial"/>
          <w:spacing w:val="-2"/>
          <w:sz w:val="24"/>
          <w:lang w:val="fr-CA"/>
        </w:rPr>
        <w:t xml:space="preserve"> les cartes anti-</w:t>
      </w:r>
      <w:r w:rsidR="00FC0425">
        <w:rPr>
          <w:rFonts w:ascii="Arial" w:hAnsi="Arial"/>
          <w:spacing w:val="-2"/>
          <w:sz w:val="24"/>
          <w:lang w:val="fr-CA"/>
        </w:rPr>
        <w:t>IgG</w:t>
      </w:r>
      <w:r w:rsidR="00361CEF" w:rsidRPr="001459DB">
        <w:rPr>
          <w:rFonts w:ascii="Arial" w:hAnsi="Arial"/>
          <w:spacing w:val="-2"/>
          <w:sz w:val="24"/>
          <w:lang w:val="fr-CA"/>
        </w:rPr>
        <w:t xml:space="preserve"> </w:t>
      </w:r>
      <w:r w:rsidR="00FC0425">
        <w:rPr>
          <w:rFonts w:ascii="Arial" w:hAnsi="Arial"/>
          <w:spacing w:val="-2"/>
          <w:sz w:val="24"/>
          <w:lang w:val="fr-CA"/>
        </w:rPr>
        <w:t>MTS</w:t>
      </w:r>
      <w:r w:rsidR="00361CEF" w:rsidRPr="001459DB">
        <w:rPr>
          <w:rFonts w:ascii="Arial" w:hAnsi="Arial"/>
          <w:spacing w:val="-2"/>
          <w:sz w:val="24"/>
          <w:lang w:val="fr-CA"/>
        </w:rPr>
        <w:t xml:space="preserve"> les renseignements appropriés concernant l'identification du patient et l'épreuve.</w:t>
      </w:r>
    </w:p>
    <w:p w:rsidR="00E25444" w:rsidRDefault="00FC0425">
      <w:pPr>
        <w:numPr>
          <w:ilvl w:val="2"/>
          <w:numId w:val="22"/>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E</w:t>
      </w:r>
      <w:r w:rsidR="00361CEF" w:rsidRPr="001459DB">
        <w:rPr>
          <w:rFonts w:ascii="Arial" w:hAnsi="Arial"/>
          <w:spacing w:val="-2"/>
          <w:sz w:val="24"/>
          <w:lang w:val="fr-CA"/>
        </w:rPr>
        <w:t>nlever l'opercule en aluminium des microtubes à utiliser.</w:t>
      </w:r>
    </w:p>
    <w:p w:rsidR="00C864DA" w:rsidRPr="001459DB" w:rsidRDefault="00C864DA" w:rsidP="00C864DA">
      <w:pPr>
        <w:tabs>
          <w:tab w:val="left" w:pos="-720"/>
          <w:tab w:val="left" w:pos="0"/>
        </w:tabs>
        <w:suppressAutoHyphens/>
        <w:ind w:left="2160"/>
        <w:rPr>
          <w:rFonts w:ascii="Arial" w:hAnsi="Arial"/>
          <w:spacing w:val="-2"/>
          <w:sz w:val="24"/>
          <w:lang w:val="fr-CA"/>
        </w:rPr>
      </w:pPr>
    </w:p>
    <w:p w:rsidR="00E25444" w:rsidRPr="001459DB" w:rsidRDefault="00C864DA" w:rsidP="00C864DA">
      <w:pPr>
        <w:tabs>
          <w:tab w:val="left" w:pos="-720"/>
        </w:tabs>
        <w:suppressAutoHyphens/>
        <w:ind w:left="2160"/>
        <w:rPr>
          <w:rFonts w:ascii="Arial" w:hAnsi="Arial"/>
          <w:spacing w:val="-2"/>
          <w:sz w:val="24"/>
          <w:lang w:val="fr-CA"/>
        </w:rPr>
      </w:pPr>
      <w:r w:rsidRPr="00EB40E8">
        <w:rPr>
          <w:rFonts w:ascii="Arial" w:hAnsi="Arial"/>
          <w:b/>
          <w:spacing w:val="-2"/>
          <w:sz w:val="24"/>
          <w:lang w:val="fr-CA"/>
        </w:rPr>
        <w:t>Remarque</w:t>
      </w:r>
      <w:r w:rsidRPr="00EB40E8">
        <w:rPr>
          <w:rFonts w:ascii="Arial" w:hAnsi="Arial"/>
          <w:spacing w:val="-2"/>
          <w:sz w:val="24"/>
          <w:lang w:val="fr-CA"/>
        </w:rPr>
        <w:t> : l’opercule doit être retiré juste avant le test ou dans l’heure qui le précède. Une fois l’aluminium retiré, le gel peut commencer à sécher, ce qui affecterait les résultats. On doit s’assurer qu’il ne reste aucun morceau d’aluminium obstruant l’ouverture d’un</w:t>
      </w:r>
      <w:r>
        <w:rPr>
          <w:rFonts w:ascii="Arial" w:hAnsi="Arial"/>
          <w:spacing w:val="-2"/>
          <w:sz w:val="24"/>
          <w:lang w:val="fr-CA"/>
        </w:rPr>
        <w:t xml:space="preserve"> microtube.</w:t>
      </w:r>
    </w:p>
    <w:p w:rsidR="00E25444" w:rsidRPr="001459DB" w:rsidRDefault="00FC0425">
      <w:pPr>
        <w:numPr>
          <w:ilvl w:val="2"/>
          <w:numId w:val="22"/>
        </w:numPr>
        <w:tabs>
          <w:tab w:val="left" w:pos="-720"/>
          <w:tab w:val="left" w:pos="0"/>
          <w:tab w:val="left" w:pos="720"/>
        </w:tabs>
        <w:suppressAutoHyphens/>
        <w:rPr>
          <w:rFonts w:ascii="Arial" w:hAnsi="Arial"/>
          <w:spacing w:val="-2"/>
          <w:sz w:val="24"/>
          <w:lang w:val="fr-CA"/>
        </w:rPr>
      </w:pPr>
      <w:r>
        <w:rPr>
          <w:rFonts w:ascii="Arial" w:hAnsi="Arial"/>
          <w:spacing w:val="-2"/>
          <w:sz w:val="24"/>
          <w:lang w:val="fr-CA"/>
        </w:rPr>
        <w:t>À l’aid</w:t>
      </w:r>
      <w:r w:rsidRPr="00FC0425">
        <w:rPr>
          <w:rFonts w:ascii="Arial" w:hAnsi="Arial"/>
          <w:spacing w:val="-2"/>
          <w:sz w:val="24"/>
          <w:lang w:val="fr-CA"/>
        </w:rPr>
        <w:t>e d’une pipette adéquate, ajouter 50 </w:t>
      </w:r>
      <w:r w:rsidRPr="001459DB">
        <w:rPr>
          <w:rFonts w:ascii="Arial" w:hAnsi="Arial"/>
          <w:spacing w:val="-2"/>
          <w:sz w:val="24"/>
          <w:lang w:val="fr-CA"/>
        </w:rPr>
        <w:sym w:font="Symbol" w:char="F06D"/>
      </w:r>
      <w:r w:rsidRPr="00FC0425">
        <w:rPr>
          <w:rFonts w:ascii="Arial" w:hAnsi="Arial"/>
          <w:spacing w:val="-2"/>
          <w:sz w:val="24"/>
          <w:lang w:val="fr-CA"/>
        </w:rPr>
        <w:t xml:space="preserve">L de chacune des suspensions cellulaires </w:t>
      </w:r>
      <w:r w:rsidR="00D94023">
        <w:rPr>
          <w:rFonts w:ascii="Arial" w:hAnsi="Arial"/>
          <w:spacing w:val="-2"/>
          <w:sz w:val="24"/>
          <w:lang w:val="fr-CA"/>
        </w:rPr>
        <w:t>à 0</w:t>
      </w:r>
      <w:r w:rsidR="00825B77">
        <w:rPr>
          <w:rFonts w:ascii="Arial" w:hAnsi="Arial"/>
          <w:spacing w:val="-2"/>
          <w:sz w:val="24"/>
          <w:lang w:val="fr-CA"/>
        </w:rPr>
        <w:t>,</w:t>
      </w:r>
      <w:r w:rsidR="00D94023">
        <w:rPr>
          <w:rFonts w:ascii="Arial" w:hAnsi="Arial"/>
          <w:spacing w:val="-2"/>
          <w:sz w:val="24"/>
          <w:lang w:val="fr-CA"/>
        </w:rPr>
        <w:t xml:space="preserve">8% </w:t>
      </w:r>
      <w:r w:rsidRPr="00FC0425">
        <w:rPr>
          <w:rFonts w:ascii="Arial" w:hAnsi="Arial"/>
          <w:spacing w:val="-2"/>
          <w:sz w:val="24"/>
          <w:lang w:val="fr-CA"/>
        </w:rPr>
        <w:t xml:space="preserve">du panel d’anticorps </w:t>
      </w:r>
      <w:r w:rsidRPr="001459DB">
        <w:rPr>
          <w:rFonts w:ascii="Arial" w:hAnsi="Arial"/>
          <w:spacing w:val="-2"/>
          <w:sz w:val="24"/>
          <w:lang w:val="fr-CA"/>
        </w:rPr>
        <w:t xml:space="preserve"> (A, B, O) </w:t>
      </w:r>
      <w:r w:rsidRPr="00FC0425">
        <w:rPr>
          <w:rFonts w:ascii="Arial" w:hAnsi="Arial"/>
          <w:spacing w:val="-2"/>
          <w:sz w:val="24"/>
          <w:lang w:val="fr-CA"/>
        </w:rPr>
        <w:t>et de l’auto</w:t>
      </w:r>
      <w:r w:rsidR="00056AA1">
        <w:rPr>
          <w:rFonts w:ascii="Arial" w:hAnsi="Arial"/>
          <w:spacing w:val="-2"/>
          <w:sz w:val="24"/>
          <w:lang w:val="fr-CA"/>
        </w:rPr>
        <w:t>témoin</w:t>
      </w:r>
      <w:r w:rsidRPr="00FC0425">
        <w:rPr>
          <w:rFonts w:ascii="Arial" w:hAnsi="Arial"/>
          <w:spacing w:val="-2"/>
          <w:sz w:val="24"/>
          <w:lang w:val="fr-CA"/>
        </w:rPr>
        <w:t xml:space="preserve"> aux microtubes correspondants. La pipette ne doit pas toucher la carte de gel</w:t>
      </w:r>
      <w:r w:rsidR="00E25444" w:rsidRPr="001459DB">
        <w:rPr>
          <w:rFonts w:ascii="Arial" w:hAnsi="Arial"/>
          <w:spacing w:val="-2"/>
          <w:sz w:val="24"/>
          <w:lang w:val="fr-CA"/>
        </w:rPr>
        <w:t>.</w:t>
      </w:r>
    </w:p>
    <w:p w:rsidR="00E25444" w:rsidRPr="001459DB" w:rsidRDefault="00FC0425">
      <w:pPr>
        <w:numPr>
          <w:ilvl w:val="2"/>
          <w:numId w:val="22"/>
        </w:numPr>
        <w:tabs>
          <w:tab w:val="left" w:pos="-720"/>
          <w:tab w:val="left" w:pos="0"/>
          <w:tab w:val="left" w:pos="720"/>
        </w:tabs>
        <w:suppressAutoHyphens/>
        <w:rPr>
          <w:rFonts w:ascii="Arial" w:hAnsi="Arial"/>
          <w:spacing w:val="-2"/>
          <w:sz w:val="24"/>
          <w:lang w:val="fr-CA"/>
        </w:rPr>
      </w:pPr>
      <w:r w:rsidRPr="00FC0425">
        <w:rPr>
          <w:rFonts w:ascii="Arial" w:hAnsi="Arial"/>
          <w:spacing w:val="-2"/>
          <w:sz w:val="24"/>
          <w:lang w:val="fr-CA"/>
        </w:rPr>
        <w:t xml:space="preserve">À l’aide d’une pipette adéquate, ajouter </w:t>
      </w:r>
      <w:r w:rsidRPr="001459DB">
        <w:rPr>
          <w:rFonts w:ascii="Arial" w:hAnsi="Arial"/>
          <w:spacing w:val="-2"/>
          <w:sz w:val="24"/>
          <w:lang w:val="fr-CA"/>
        </w:rPr>
        <w:t>25</w:t>
      </w:r>
      <w:r>
        <w:rPr>
          <w:rFonts w:ascii="Arial" w:hAnsi="Arial"/>
          <w:spacing w:val="-2"/>
          <w:sz w:val="24"/>
          <w:lang w:val="fr-CA"/>
        </w:rPr>
        <w:t xml:space="preserve"> </w:t>
      </w:r>
      <w:r w:rsidRPr="001459DB">
        <w:rPr>
          <w:rFonts w:ascii="Arial" w:hAnsi="Arial"/>
          <w:spacing w:val="-2"/>
          <w:sz w:val="24"/>
          <w:lang w:val="fr-CA"/>
        </w:rPr>
        <w:sym w:font="Symbol" w:char="F06D"/>
      </w:r>
      <w:r w:rsidRPr="001459DB">
        <w:rPr>
          <w:rFonts w:ascii="Arial" w:hAnsi="Arial"/>
          <w:spacing w:val="-2"/>
          <w:sz w:val="24"/>
          <w:lang w:val="fr-CA"/>
        </w:rPr>
        <w:t>L</w:t>
      </w:r>
      <w:r w:rsidRPr="00FC0425">
        <w:rPr>
          <w:rFonts w:ascii="Arial" w:hAnsi="Arial"/>
          <w:spacing w:val="-2"/>
          <w:sz w:val="24"/>
          <w:lang w:val="fr-CA"/>
        </w:rPr>
        <w:t xml:space="preserve"> de sérum ou de plasma aux microtubes correspondants</w:t>
      </w:r>
      <w:r w:rsidR="00E25444" w:rsidRPr="001459DB">
        <w:rPr>
          <w:rFonts w:ascii="Arial" w:hAnsi="Arial"/>
          <w:spacing w:val="-2"/>
          <w:sz w:val="24"/>
          <w:lang w:val="fr-CA"/>
        </w:rPr>
        <w:t>.</w:t>
      </w:r>
    </w:p>
    <w:p w:rsidR="00E25444" w:rsidRPr="001459DB" w:rsidRDefault="00361CEF">
      <w:pPr>
        <w:numPr>
          <w:ilvl w:val="2"/>
          <w:numId w:val="22"/>
        </w:numPr>
        <w:tabs>
          <w:tab w:val="left" w:pos="-720"/>
          <w:tab w:val="left" w:pos="0"/>
          <w:tab w:val="left" w:pos="720"/>
        </w:tabs>
        <w:suppressAutoHyphens/>
        <w:rPr>
          <w:rFonts w:ascii="Arial" w:hAnsi="Arial"/>
          <w:spacing w:val="-2"/>
          <w:sz w:val="24"/>
          <w:lang w:val="fr-CA"/>
        </w:rPr>
      </w:pPr>
      <w:r w:rsidRPr="001459DB">
        <w:rPr>
          <w:rFonts w:ascii="Arial" w:hAnsi="Arial"/>
          <w:spacing w:val="-2"/>
          <w:sz w:val="24"/>
          <w:lang w:val="fr-CA"/>
        </w:rPr>
        <w:t>Incuber à 37±2 </w:t>
      </w:r>
      <w:r w:rsidR="00FC0425" w:rsidRPr="00FC0425">
        <w:rPr>
          <w:rFonts w:ascii="Arial" w:hAnsi="Arial"/>
          <w:spacing w:val="-2"/>
          <w:sz w:val="24"/>
          <w:vertAlign w:val="superscript"/>
          <w:lang w:val="fr-CA"/>
        </w:rPr>
        <w:t>o</w:t>
      </w:r>
      <w:r w:rsidR="00FC0425">
        <w:rPr>
          <w:rFonts w:ascii="Arial" w:hAnsi="Arial"/>
          <w:spacing w:val="-2"/>
          <w:sz w:val="24"/>
          <w:lang w:val="fr-CA"/>
        </w:rPr>
        <w:t>C</w:t>
      </w:r>
      <w:r w:rsidRPr="001459DB">
        <w:rPr>
          <w:rFonts w:ascii="Arial" w:hAnsi="Arial"/>
          <w:spacing w:val="-2"/>
          <w:sz w:val="24"/>
          <w:lang w:val="fr-CA"/>
        </w:rPr>
        <w:t xml:space="preserve"> pendant 15 minutes.</w:t>
      </w:r>
      <w:r w:rsidR="00E25444" w:rsidRPr="001459DB">
        <w:rPr>
          <w:rFonts w:ascii="Arial" w:hAnsi="Arial"/>
          <w:spacing w:val="-2"/>
          <w:sz w:val="24"/>
          <w:lang w:val="fr-CA"/>
        </w:rPr>
        <w:t xml:space="preserve"> </w:t>
      </w:r>
      <w:r w:rsidR="00FC0425">
        <w:rPr>
          <w:rFonts w:ascii="Arial" w:hAnsi="Arial"/>
          <w:spacing w:val="-2"/>
          <w:sz w:val="24"/>
          <w:lang w:val="fr-CA"/>
        </w:rPr>
        <w:t>C</w:t>
      </w:r>
      <w:r w:rsidRPr="001459DB">
        <w:rPr>
          <w:rFonts w:ascii="Arial" w:hAnsi="Arial"/>
          <w:spacing w:val="-2"/>
          <w:sz w:val="24"/>
          <w:lang w:val="fr-CA"/>
        </w:rPr>
        <w:t xml:space="preserve">onsulter le dépliant pour </w:t>
      </w:r>
      <w:r w:rsidR="00056AA1">
        <w:rPr>
          <w:rFonts w:ascii="Arial" w:hAnsi="Arial"/>
          <w:spacing w:val="-2"/>
          <w:sz w:val="24"/>
          <w:lang w:val="fr-CA"/>
        </w:rPr>
        <w:t>l</w:t>
      </w:r>
      <w:r w:rsidRPr="001459DB">
        <w:rPr>
          <w:rFonts w:ascii="Arial" w:hAnsi="Arial"/>
          <w:spacing w:val="-2"/>
          <w:sz w:val="24"/>
          <w:lang w:val="fr-CA"/>
        </w:rPr>
        <w:t>es détails sur la prolongation du temps d'incubation.</w:t>
      </w:r>
    </w:p>
    <w:p w:rsidR="00C864DA" w:rsidRPr="00C864DA" w:rsidRDefault="00361CEF" w:rsidP="00C864DA">
      <w:pPr>
        <w:numPr>
          <w:ilvl w:val="2"/>
          <w:numId w:val="22"/>
        </w:numPr>
        <w:tabs>
          <w:tab w:val="left" w:pos="-720"/>
          <w:tab w:val="left" w:pos="0"/>
          <w:tab w:val="left" w:pos="720"/>
        </w:tabs>
        <w:suppressAutoHyphens/>
        <w:ind w:left="2127" w:hanging="709"/>
        <w:rPr>
          <w:rFonts w:ascii="Arial" w:hAnsi="Arial"/>
          <w:sz w:val="24"/>
          <w:lang w:val="fr-CA"/>
        </w:rPr>
      </w:pPr>
      <w:r w:rsidRPr="00C864DA">
        <w:rPr>
          <w:rFonts w:ascii="Arial" w:hAnsi="Arial"/>
          <w:spacing w:val="-2"/>
          <w:sz w:val="24"/>
          <w:lang w:val="fr-CA"/>
        </w:rPr>
        <w:t>Centrifuger les cartes de gel à la valeur prédéfinie de 895±25 rpm pendant 10 minutes.</w:t>
      </w:r>
      <w:r w:rsidR="00C864DA" w:rsidRPr="00C864DA">
        <w:rPr>
          <w:rFonts w:ascii="Arial" w:hAnsi="Arial"/>
          <w:spacing w:val="-2"/>
          <w:sz w:val="24"/>
          <w:lang w:val="fr-CA"/>
        </w:rPr>
        <w:t xml:space="preserve"> </w:t>
      </w:r>
    </w:p>
    <w:p w:rsidR="00C864DA" w:rsidRPr="00C864DA" w:rsidRDefault="00C864DA" w:rsidP="00C864DA">
      <w:pPr>
        <w:numPr>
          <w:ilvl w:val="2"/>
          <w:numId w:val="22"/>
        </w:numPr>
        <w:tabs>
          <w:tab w:val="left" w:pos="-720"/>
          <w:tab w:val="left" w:pos="0"/>
          <w:tab w:val="left" w:pos="720"/>
        </w:tabs>
        <w:suppressAutoHyphens/>
        <w:ind w:left="2127" w:hanging="709"/>
        <w:rPr>
          <w:rFonts w:ascii="Arial" w:hAnsi="Arial"/>
          <w:sz w:val="24"/>
          <w:lang w:val="fr-CA"/>
        </w:rPr>
      </w:pPr>
      <w:r w:rsidRPr="00C864DA">
        <w:rPr>
          <w:rFonts w:ascii="Arial" w:hAnsi="Arial"/>
          <w:sz w:val="24"/>
          <w:lang w:val="fr-CA"/>
        </w:rPr>
        <w:t xml:space="preserve">Après la centrifugation, retirer la ou les </w:t>
      </w:r>
      <w:r w:rsidRPr="00C864DA">
        <w:rPr>
          <w:rFonts w:ascii="Arial" w:hAnsi="Arial"/>
          <w:spacing w:val="-2"/>
          <w:sz w:val="24"/>
          <w:lang w:val="fr-CA"/>
        </w:rPr>
        <w:t xml:space="preserve">cartes de la centrifugeuse et faire une lecture de chaque carte à la recherche des signes suivants : </w:t>
      </w:r>
    </w:p>
    <w:p w:rsidR="00C864DA" w:rsidRPr="00EB40E8" w:rsidRDefault="00C864DA" w:rsidP="00C864DA">
      <w:pPr>
        <w:numPr>
          <w:ilvl w:val="0"/>
          <w:numId w:val="37"/>
        </w:numPr>
        <w:rPr>
          <w:rFonts w:ascii="Arial" w:hAnsi="Arial"/>
          <w:sz w:val="24"/>
          <w:lang w:val="fr-CA"/>
        </w:rPr>
      </w:pPr>
      <w:r w:rsidRPr="00EB40E8">
        <w:rPr>
          <w:rFonts w:ascii="Arial" w:hAnsi="Arial"/>
          <w:spacing w:val="-2"/>
          <w:sz w:val="24"/>
          <w:lang w:val="fr-CA"/>
        </w:rPr>
        <w:t xml:space="preserve">La présence </w:t>
      </w:r>
      <w:r w:rsidRPr="00EB40E8">
        <w:rPr>
          <w:rFonts w:ascii="Arial" w:hAnsi="Arial"/>
          <w:sz w:val="24"/>
          <w:lang w:val="fr-CA"/>
        </w:rPr>
        <w:t>de globules rouges non agglutinés dans le gel est habituellement due à une interruption du cycle de centrifugation. Ces globules rouges sont rose foncé et flous.</w:t>
      </w:r>
    </w:p>
    <w:p w:rsidR="00C864DA" w:rsidRPr="00EB40E8" w:rsidRDefault="00C864DA" w:rsidP="00C864DA">
      <w:pPr>
        <w:numPr>
          <w:ilvl w:val="0"/>
          <w:numId w:val="37"/>
        </w:numPr>
        <w:rPr>
          <w:rFonts w:ascii="Arial" w:hAnsi="Arial"/>
          <w:sz w:val="24"/>
          <w:lang w:val="fr-CA"/>
        </w:rPr>
      </w:pPr>
      <w:r w:rsidRPr="00EB40E8">
        <w:rPr>
          <w:rFonts w:ascii="Arial" w:hAnsi="Arial"/>
          <w:spacing w:val="-2"/>
          <w:sz w:val="24"/>
          <w:lang w:val="fr-CA"/>
        </w:rPr>
        <w:t>La présence d’une traînée de globules rouges qui forme une sorte de « J » le long d’une paroi est due à une mauvaise disposition des cartes dans le support à cartes.</w:t>
      </w:r>
    </w:p>
    <w:p w:rsidR="00C864DA" w:rsidRDefault="00C864DA" w:rsidP="00C864DA">
      <w:pPr>
        <w:ind w:left="2160"/>
        <w:rPr>
          <w:rFonts w:ascii="Arial" w:hAnsi="Arial"/>
          <w:spacing w:val="-2"/>
          <w:sz w:val="24"/>
          <w:lang w:val="fr-CA"/>
        </w:rPr>
      </w:pPr>
      <w:r w:rsidRPr="00EB40E8">
        <w:rPr>
          <w:rFonts w:ascii="Arial" w:hAnsi="Arial"/>
          <w:spacing w:val="-2"/>
          <w:sz w:val="24"/>
          <w:lang w:val="fr-CA"/>
        </w:rPr>
        <w:t>Si la ou les cartes semblent mal centrifugées, répéter le test. Ne jamais centrifuger une autre fois la ou les cart</w:t>
      </w:r>
      <w:r>
        <w:rPr>
          <w:rFonts w:ascii="Arial" w:hAnsi="Arial"/>
          <w:spacing w:val="-2"/>
          <w:sz w:val="24"/>
          <w:lang w:val="fr-CA"/>
        </w:rPr>
        <w:t>es.</w:t>
      </w:r>
    </w:p>
    <w:p w:rsidR="00C864DA" w:rsidRPr="00C864DA" w:rsidRDefault="00C864DA" w:rsidP="00C864DA">
      <w:pPr>
        <w:numPr>
          <w:ilvl w:val="2"/>
          <w:numId w:val="22"/>
        </w:numPr>
        <w:tabs>
          <w:tab w:val="left" w:pos="-720"/>
          <w:tab w:val="left" w:pos="0"/>
          <w:tab w:val="left" w:pos="720"/>
        </w:tabs>
        <w:suppressAutoHyphens/>
        <w:rPr>
          <w:rFonts w:ascii="Arial" w:hAnsi="Arial"/>
          <w:sz w:val="24"/>
          <w:lang w:val="fr-CA"/>
        </w:rPr>
      </w:pPr>
      <w:r w:rsidRPr="00C864DA">
        <w:rPr>
          <w:rFonts w:ascii="Arial" w:hAnsi="Arial"/>
          <w:spacing w:val="-2"/>
          <w:sz w:val="24"/>
          <w:lang w:val="fr-CA"/>
        </w:rPr>
        <w:t xml:space="preserve">Lire l’avant et l’arrière de chaque microtube. </w:t>
      </w:r>
    </w:p>
    <w:p w:rsidR="00E25444" w:rsidRDefault="00C864DA">
      <w:pPr>
        <w:numPr>
          <w:ilvl w:val="2"/>
          <w:numId w:val="22"/>
        </w:numPr>
        <w:tabs>
          <w:tab w:val="left" w:pos="-720"/>
          <w:tab w:val="left" w:pos="0"/>
          <w:tab w:val="left" w:pos="720"/>
        </w:tabs>
        <w:suppressAutoHyphens/>
        <w:rPr>
          <w:rFonts w:ascii="Arial" w:hAnsi="Arial"/>
          <w:spacing w:val="-2"/>
          <w:sz w:val="24"/>
          <w:lang w:val="fr-CA"/>
        </w:rPr>
      </w:pPr>
      <w:r w:rsidRPr="00EB40E8">
        <w:rPr>
          <w:rFonts w:ascii="Arial" w:hAnsi="Arial"/>
          <w:spacing w:val="-2"/>
          <w:sz w:val="24"/>
          <w:lang w:val="fr-CA"/>
        </w:rPr>
        <w:t>Inscrire les réactions conformément au tableau suivant</w:t>
      </w:r>
      <w:r w:rsidR="00361CEF" w:rsidRPr="001459DB">
        <w:rPr>
          <w:rFonts w:ascii="Arial" w:hAnsi="Arial"/>
          <w:spacing w:val="-2"/>
          <w:sz w:val="24"/>
          <w:lang w:val="fr-CA"/>
        </w:rPr>
        <w:t>.</w:t>
      </w:r>
    </w:p>
    <w:p w:rsidR="00C63825" w:rsidRDefault="00C63825" w:rsidP="00C63825">
      <w:pPr>
        <w:tabs>
          <w:tab w:val="left" w:pos="-720"/>
          <w:tab w:val="left" w:pos="0"/>
        </w:tabs>
        <w:suppressAutoHyphens/>
        <w:ind w:left="2160"/>
        <w:rPr>
          <w:rFonts w:ascii="Arial" w:hAnsi="Arial"/>
          <w:spacing w:val="-2"/>
          <w:sz w:val="24"/>
          <w:lang w:val="fr-CA"/>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5822"/>
      </w:tblGrid>
      <w:tr w:rsidR="00C63825" w:rsidRPr="00EB40E8" w:rsidTr="00375057">
        <w:trPr>
          <w:trHeight w:val="218"/>
          <w:jc w:val="center"/>
        </w:trPr>
        <w:tc>
          <w:tcPr>
            <w:tcW w:w="1306" w:type="dxa"/>
          </w:tcPr>
          <w:p w:rsidR="00C63825" w:rsidRPr="00EB40E8" w:rsidRDefault="00C63825" w:rsidP="00375057">
            <w:pPr>
              <w:keepNext/>
              <w:jc w:val="center"/>
              <w:rPr>
                <w:rFonts w:ascii="Arial" w:hAnsi="Arial"/>
                <w:b/>
                <w:lang w:val="fr-CA"/>
              </w:rPr>
            </w:pPr>
            <w:r w:rsidRPr="00EB40E8">
              <w:rPr>
                <w:rFonts w:ascii="Arial" w:hAnsi="Arial"/>
                <w:b/>
                <w:lang w:val="fr-CA"/>
              </w:rPr>
              <w:t>Code</w:t>
            </w:r>
          </w:p>
        </w:tc>
        <w:tc>
          <w:tcPr>
            <w:tcW w:w="5822" w:type="dxa"/>
          </w:tcPr>
          <w:p w:rsidR="00C63825" w:rsidRPr="00EB40E8" w:rsidRDefault="00C63825" w:rsidP="00375057">
            <w:pPr>
              <w:keepNext/>
              <w:jc w:val="center"/>
              <w:rPr>
                <w:rFonts w:ascii="Arial" w:hAnsi="Arial"/>
                <w:b/>
                <w:lang w:val="fr-CA"/>
              </w:rPr>
            </w:pPr>
            <w:r w:rsidRPr="00EB40E8">
              <w:rPr>
                <w:rFonts w:ascii="Arial" w:hAnsi="Arial"/>
                <w:b/>
                <w:lang w:val="fr-CA"/>
              </w:rPr>
              <w:t>Description de la réaction*</w:t>
            </w:r>
          </w:p>
        </w:tc>
      </w:tr>
      <w:tr w:rsidR="00C63825" w:rsidRPr="00EB40E8" w:rsidTr="00375057">
        <w:trPr>
          <w:trHeight w:val="1088"/>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Nég</w:t>
            </w:r>
          </w:p>
        </w:tc>
        <w:tc>
          <w:tcPr>
            <w:tcW w:w="5822" w:type="dxa"/>
          </w:tcPr>
          <w:p w:rsidR="00C63825" w:rsidRPr="00EB40E8" w:rsidRDefault="00C63825" w:rsidP="00375057">
            <w:pPr>
              <w:keepNext/>
              <w:rPr>
                <w:rFonts w:ascii="Arial" w:hAnsi="Arial"/>
                <w:lang w:val="fr-CA"/>
              </w:rPr>
            </w:pPr>
            <w:r w:rsidRPr="00EB40E8">
              <w:rPr>
                <w:rFonts w:ascii="Arial" w:hAnsi="Arial"/>
                <w:lang w:val="fr-CA"/>
              </w:rPr>
              <w:t>Pas d’agglutination ni d’hémolyse; des globules rouges non agglutinés forment un culot bien défini au fond du microtube. Voir Remarque 8.1 si quelques cellules non agglutinées sont piégées à la surface ou sur les côtés du gel.</w:t>
            </w:r>
          </w:p>
        </w:tc>
      </w:tr>
      <w:tr w:rsidR="00C63825" w:rsidRPr="00EB40E8" w:rsidTr="00375057">
        <w:trPr>
          <w:trHeight w:val="662"/>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 xml:space="preserve">1 </w:t>
            </w:r>
          </w:p>
        </w:tc>
        <w:tc>
          <w:tcPr>
            <w:tcW w:w="5822" w:type="dxa"/>
          </w:tcPr>
          <w:p w:rsidR="00C63825" w:rsidRPr="00EB40E8" w:rsidRDefault="00C63825" w:rsidP="00375057">
            <w:pPr>
              <w:keepNext/>
              <w:rPr>
                <w:rFonts w:ascii="Arial" w:hAnsi="Arial"/>
                <w:lang w:val="fr-CA"/>
              </w:rPr>
            </w:pPr>
            <w:r w:rsidRPr="00EB40E8">
              <w:rPr>
                <w:rFonts w:ascii="Arial" w:hAnsi="Arial"/>
                <w:lang w:val="fr-CA"/>
              </w:rPr>
              <w:t>Agglutination surtout observée dans la moitié inférieure du microtube. Les globules rouges non agglutinés forment un culot au fond du microtube.</w:t>
            </w:r>
          </w:p>
        </w:tc>
      </w:tr>
      <w:tr w:rsidR="00C63825" w:rsidRPr="00EB40E8" w:rsidTr="00375057">
        <w:trPr>
          <w:trHeight w:val="653"/>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 xml:space="preserve">2 </w:t>
            </w:r>
          </w:p>
        </w:tc>
        <w:tc>
          <w:tcPr>
            <w:tcW w:w="5822" w:type="dxa"/>
          </w:tcPr>
          <w:p w:rsidR="00C63825" w:rsidRPr="00EB40E8" w:rsidRDefault="00C63825" w:rsidP="00375057">
            <w:pPr>
              <w:keepNext/>
              <w:rPr>
                <w:rFonts w:ascii="Arial" w:hAnsi="Arial"/>
                <w:lang w:val="fr-CA"/>
              </w:rPr>
            </w:pPr>
            <w:r w:rsidRPr="00EB40E8">
              <w:rPr>
                <w:rFonts w:ascii="Arial" w:hAnsi="Arial"/>
                <w:lang w:val="fr-CA"/>
              </w:rPr>
              <w:t xml:space="preserve">Agglutinats dispersés tout le long de la colonne de gel. Quelques agglutinats peuvent être présents au fond du microtube. </w:t>
            </w:r>
          </w:p>
        </w:tc>
      </w:tr>
      <w:tr w:rsidR="00C63825" w:rsidRPr="00EB40E8" w:rsidTr="00375057">
        <w:trPr>
          <w:trHeight w:val="653"/>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 xml:space="preserve">3 </w:t>
            </w:r>
          </w:p>
        </w:tc>
        <w:tc>
          <w:tcPr>
            <w:tcW w:w="5822" w:type="dxa"/>
          </w:tcPr>
          <w:p w:rsidR="00C63825" w:rsidRPr="00EB40E8" w:rsidRDefault="00C63825" w:rsidP="00375057">
            <w:pPr>
              <w:keepNext/>
              <w:rPr>
                <w:rFonts w:ascii="Arial" w:hAnsi="Arial"/>
                <w:lang w:val="fr-CA"/>
              </w:rPr>
            </w:pPr>
            <w:r w:rsidRPr="00EB40E8">
              <w:rPr>
                <w:rFonts w:ascii="Arial" w:hAnsi="Arial"/>
                <w:lang w:val="fr-CA"/>
              </w:rPr>
              <w:t>La plupart des agglutinats sont piégés dans la moitié supérieure du microtube. Voir Remarque 8.3.</w:t>
            </w:r>
          </w:p>
        </w:tc>
      </w:tr>
      <w:tr w:rsidR="00C63825" w:rsidRPr="00EB40E8" w:rsidTr="00375057">
        <w:trPr>
          <w:trHeight w:val="870"/>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 xml:space="preserve">4 </w:t>
            </w:r>
          </w:p>
        </w:tc>
        <w:tc>
          <w:tcPr>
            <w:tcW w:w="5822" w:type="dxa"/>
          </w:tcPr>
          <w:p w:rsidR="00C63825" w:rsidRPr="00EB40E8" w:rsidRDefault="00C63825" w:rsidP="00375057">
            <w:pPr>
              <w:keepNext/>
              <w:rPr>
                <w:rFonts w:ascii="Arial" w:hAnsi="Arial"/>
                <w:lang w:val="fr-CA"/>
              </w:rPr>
            </w:pPr>
            <w:r w:rsidRPr="00EB40E8">
              <w:rPr>
                <w:rFonts w:ascii="Arial" w:hAnsi="Arial"/>
                <w:lang w:val="fr-CA"/>
              </w:rPr>
              <w:t xml:space="preserve">Bande solide de globules rouges agglutinés à la surface du gel. Quelques agglutinats peuvent descendre dans le gel, mais restent à proximité de la bande principale. </w:t>
            </w:r>
          </w:p>
        </w:tc>
      </w:tr>
      <w:tr w:rsidR="00C63825" w:rsidRPr="00EB40E8" w:rsidTr="00375057">
        <w:trPr>
          <w:trHeight w:val="870"/>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H</w:t>
            </w:r>
          </w:p>
        </w:tc>
        <w:tc>
          <w:tcPr>
            <w:tcW w:w="5822" w:type="dxa"/>
          </w:tcPr>
          <w:p w:rsidR="00C63825" w:rsidRPr="00EB40E8" w:rsidRDefault="00C63825" w:rsidP="00375057">
            <w:pPr>
              <w:keepNext/>
              <w:rPr>
                <w:rFonts w:ascii="Arial" w:hAnsi="Arial"/>
                <w:lang w:val="fr-CA"/>
              </w:rPr>
            </w:pPr>
            <w:r w:rsidRPr="00EB40E8">
              <w:rPr>
                <w:rFonts w:ascii="Arial" w:hAnsi="Arial"/>
                <w:lang w:val="fr-CA"/>
              </w:rPr>
              <w:t xml:space="preserve">Hémolyse et absence ou presque de globules rouges dans le gel. Inscrivez la présence d’hémolyse dans le microtube, mais non dans l’échantillon. </w:t>
            </w:r>
          </w:p>
        </w:tc>
      </w:tr>
      <w:tr w:rsidR="00C63825" w:rsidRPr="00EB40E8" w:rsidTr="00375057">
        <w:trPr>
          <w:trHeight w:val="653"/>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cm</w:t>
            </w:r>
          </w:p>
        </w:tc>
        <w:tc>
          <w:tcPr>
            <w:tcW w:w="5822" w:type="dxa"/>
          </w:tcPr>
          <w:p w:rsidR="00C63825" w:rsidRPr="00EB40E8" w:rsidRDefault="00C63825" w:rsidP="00375057">
            <w:pPr>
              <w:keepNext/>
              <w:rPr>
                <w:rFonts w:ascii="Arial" w:hAnsi="Arial"/>
                <w:lang w:val="fr-CA"/>
              </w:rPr>
            </w:pPr>
            <w:r w:rsidRPr="00EB40E8">
              <w:rPr>
                <w:rFonts w:ascii="Arial" w:hAnsi="Arial"/>
                <w:lang w:val="fr-CA"/>
              </w:rPr>
              <w:t xml:space="preserve">Bande de globules rouges agglutinés à la surface du gel et culot de globules rouges non agglutinés au fond du microtube. </w:t>
            </w:r>
          </w:p>
        </w:tc>
      </w:tr>
      <w:tr w:rsidR="00C63825" w:rsidRPr="00EB40E8" w:rsidTr="00375057">
        <w:trPr>
          <w:trHeight w:val="218"/>
          <w:jc w:val="center"/>
        </w:trPr>
        <w:tc>
          <w:tcPr>
            <w:tcW w:w="1306" w:type="dxa"/>
          </w:tcPr>
          <w:p w:rsidR="00C63825" w:rsidRPr="00EB40E8" w:rsidRDefault="00C63825" w:rsidP="00375057">
            <w:pPr>
              <w:keepNext/>
              <w:jc w:val="center"/>
              <w:rPr>
                <w:rFonts w:ascii="Arial" w:hAnsi="Arial"/>
                <w:lang w:val="fr-CA"/>
              </w:rPr>
            </w:pPr>
            <w:r w:rsidRPr="00EB40E8">
              <w:rPr>
                <w:rFonts w:ascii="Arial" w:hAnsi="Arial"/>
                <w:lang w:val="fr-CA"/>
              </w:rPr>
              <w:t>NT ou NF</w:t>
            </w:r>
          </w:p>
        </w:tc>
        <w:tc>
          <w:tcPr>
            <w:tcW w:w="5822" w:type="dxa"/>
          </w:tcPr>
          <w:p w:rsidR="00C63825" w:rsidRPr="00EB40E8" w:rsidRDefault="00C63825" w:rsidP="00375057">
            <w:pPr>
              <w:keepNext/>
              <w:rPr>
                <w:rFonts w:ascii="Arial" w:hAnsi="Arial"/>
                <w:lang w:val="fr-CA"/>
              </w:rPr>
            </w:pPr>
            <w:r w:rsidRPr="00EB40E8">
              <w:rPr>
                <w:rFonts w:ascii="Arial" w:hAnsi="Arial"/>
                <w:lang w:val="fr-CA"/>
              </w:rPr>
              <w:t>Non testé ou non fait</w:t>
            </w:r>
          </w:p>
        </w:tc>
      </w:tr>
      <w:tr w:rsidR="00C63825" w:rsidRPr="00EB40E8" w:rsidTr="00375057">
        <w:trPr>
          <w:trHeight w:val="445"/>
          <w:jc w:val="center"/>
        </w:trPr>
        <w:tc>
          <w:tcPr>
            <w:tcW w:w="7128" w:type="dxa"/>
            <w:gridSpan w:val="2"/>
          </w:tcPr>
          <w:p w:rsidR="00C63825" w:rsidRPr="00EB40E8" w:rsidRDefault="00C63825" w:rsidP="00375057">
            <w:pPr>
              <w:rPr>
                <w:rFonts w:ascii="Arial" w:hAnsi="Arial"/>
                <w:lang w:val="fr-CA"/>
              </w:rPr>
            </w:pPr>
            <w:r w:rsidRPr="0031680C">
              <w:rPr>
                <w:rFonts w:ascii="Arial" w:hAnsi="Arial"/>
                <w:lang w:val="fr-CA"/>
              </w:rPr>
              <w:t>*</w:t>
            </w:r>
            <w:r w:rsidRPr="00EB40E8">
              <w:rPr>
                <w:rFonts w:ascii="Arial" w:hAnsi="Arial"/>
                <w:lang w:val="fr-CA"/>
              </w:rPr>
              <w:t xml:space="preserve"> Ne pas utiliser de demi-niveau, d’exposant ou de signes « plus ». </w:t>
            </w:r>
          </w:p>
          <w:p w:rsidR="00C63825" w:rsidRPr="00EB40E8" w:rsidRDefault="00C63825" w:rsidP="00375057">
            <w:pPr>
              <w:rPr>
                <w:rFonts w:ascii="Arial" w:hAnsi="Arial"/>
                <w:lang w:val="fr-CA"/>
              </w:rPr>
            </w:pPr>
          </w:p>
        </w:tc>
      </w:tr>
    </w:tbl>
    <w:p w:rsidR="00C63825" w:rsidRPr="00EB40E8" w:rsidRDefault="00C63825" w:rsidP="00C63825">
      <w:pPr>
        <w:ind w:left="720"/>
        <w:rPr>
          <w:rFonts w:ascii="Arial" w:hAnsi="Arial"/>
          <w:color w:val="000000"/>
          <w:spacing w:val="-2"/>
          <w:sz w:val="24"/>
          <w:lang w:val="fr-CA"/>
        </w:rPr>
      </w:pPr>
    </w:p>
    <w:p w:rsidR="00E25444" w:rsidRPr="00056AA1" w:rsidRDefault="00E25444">
      <w:pPr>
        <w:rPr>
          <w:rFonts w:ascii="Arial" w:hAnsi="Arial"/>
          <w:b/>
          <w:sz w:val="24"/>
          <w:lang w:val="fr-CA"/>
        </w:rPr>
      </w:pPr>
    </w:p>
    <w:p w:rsidR="00E25444" w:rsidRPr="00056AA1" w:rsidRDefault="00361CEF">
      <w:pPr>
        <w:rPr>
          <w:rFonts w:ascii="Arial" w:hAnsi="Arial"/>
          <w:b/>
          <w:sz w:val="28"/>
          <w:lang w:val="fr-CA"/>
        </w:rPr>
      </w:pPr>
      <w:r w:rsidRPr="00056AA1">
        <w:rPr>
          <w:rFonts w:ascii="Arial" w:hAnsi="Arial"/>
          <w:b/>
          <w:sz w:val="28"/>
          <w:lang w:val="fr-CA"/>
        </w:rPr>
        <w:t xml:space="preserve">7.0 </w:t>
      </w:r>
      <w:r w:rsidR="001459DB" w:rsidRPr="00056AA1">
        <w:rPr>
          <w:rFonts w:ascii="Arial" w:hAnsi="Arial"/>
          <w:b/>
          <w:sz w:val="28"/>
          <w:lang w:val="fr-CA"/>
        </w:rPr>
        <w:tab/>
      </w:r>
      <w:r w:rsidRPr="00056AA1">
        <w:rPr>
          <w:rFonts w:ascii="Arial" w:hAnsi="Arial"/>
          <w:b/>
          <w:sz w:val="28"/>
          <w:lang w:val="fr-CA"/>
        </w:rPr>
        <w:t>Documentation</w:t>
      </w:r>
    </w:p>
    <w:p w:rsidR="00E25444" w:rsidRPr="001459DB" w:rsidRDefault="00E25444">
      <w:pPr>
        <w:rPr>
          <w:rFonts w:ascii="Arial" w:hAnsi="Arial"/>
          <w:sz w:val="24"/>
          <w:lang w:val="fr-CA"/>
        </w:rPr>
      </w:pPr>
    </w:p>
    <w:p w:rsidR="00C63825" w:rsidRDefault="00361CEF">
      <w:pPr>
        <w:pStyle w:val="BodyText2"/>
        <w:numPr>
          <w:ilvl w:val="1"/>
          <w:numId w:val="13"/>
        </w:numPr>
        <w:jc w:val="left"/>
        <w:rPr>
          <w:rFonts w:ascii="Arial" w:hAnsi="Arial"/>
          <w:sz w:val="24"/>
          <w:lang w:val="fr-CA"/>
        </w:rPr>
      </w:pPr>
      <w:r w:rsidRPr="001459DB">
        <w:rPr>
          <w:rFonts w:ascii="Arial" w:hAnsi="Arial"/>
          <w:sz w:val="24"/>
          <w:lang w:val="fr-CA"/>
        </w:rPr>
        <w:t>L'</w:t>
      </w:r>
      <w:r w:rsidR="00C63825">
        <w:rPr>
          <w:rFonts w:ascii="Arial" w:hAnsi="Arial"/>
          <w:sz w:val="24"/>
          <w:lang w:val="fr-CA"/>
        </w:rPr>
        <w:t>agglutination de cellules dans la carte de gel indique la présence d’un anticorps à l’antigène correspondant qui est présent sur l’échantillon de cellules réactives.</w:t>
      </w:r>
    </w:p>
    <w:p w:rsidR="00E25444" w:rsidRPr="001A18FF" w:rsidRDefault="00E25444">
      <w:pPr>
        <w:pStyle w:val="BodyText2"/>
        <w:ind w:firstLine="0"/>
        <w:jc w:val="left"/>
        <w:rPr>
          <w:rFonts w:ascii="Arial" w:hAnsi="Arial"/>
          <w:sz w:val="24"/>
          <w:lang w:val="fr-CA"/>
        </w:rPr>
      </w:pPr>
    </w:p>
    <w:p w:rsidR="00E25444" w:rsidRDefault="00361CEF">
      <w:pPr>
        <w:numPr>
          <w:ilvl w:val="1"/>
          <w:numId w:val="13"/>
        </w:numPr>
        <w:tabs>
          <w:tab w:val="left" w:pos="-720"/>
          <w:tab w:val="left" w:pos="0"/>
        </w:tabs>
        <w:suppressAutoHyphens/>
        <w:rPr>
          <w:rFonts w:ascii="Arial" w:hAnsi="Arial"/>
          <w:spacing w:val="-2"/>
          <w:sz w:val="24"/>
          <w:lang w:val="fr-CA"/>
        </w:rPr>
      </w:pPr>
      <w:r w:rsidRPr="001459DB">
        <w:rPr>
          <w:rFonts w:ascii="Arial" w:hAnsi="Arial"/>
          <w:spacing w:val="-2"/>
          <w:sz w:val="24"/>
          <w:lang w:val="fr-CA"/>
        </w:rPr>
        <w:t xml:space="preserve">L'absence d'agglutination des cellules </w:t>
      </w:r>
      <w:r w:rsidR="00D94023">
        <w:rPr>
          <w:rFonts w:ascii="Arial" w:hAnsi="Arial"/>
          <w:spacing w:val="-2"/>
          <w:sz w:val="24"/>
          <w:lang w:val="fr-CA"/>
        </w:rPr>
        <w:t>à l’é</w:t>
      </w:r>
      <w:r w:rsidR="00825B77">
        <w:rPr>
          <w:rFonts w:ascii="Arial" w:hAnsi="Arial"/>
          <w:spacing w:val="-2"/>
          <w:sz w:val="24"/>
          <w:lang w:val="fr-CA"/>
        </w:rPr>
        <w:t>tude</w:t>
      </w:r>
      <w:r w:rsidRPr="001459DB">
        <w:rPr>
          <w:rFonts w:ascii="Arial" w:hAnsi="Arial"/>
          <w:spacing w:val="-2"/>
          <w:sz w:val="24"/>
          <w:lang w:val="fr-CA"/>
        </w:rPr>
        <w:t xml:space="preserve"> dans la carte de gel signale un résultat négatif et l'absence de réaction antigène</w:t>
      </w:r>
      <w:r w:rsidR="00056AA1">
        <w:rPr>
          <w:rFonts w:ascii="Arial" w:hAnsi="Arial"/>
          <w:spacing w:val="-2"/>
          <w:sz w:val="24"/>
          <w:lang w:val="fr-CA"/>
        </w:rPr>
        <w:t>-</w:t>
      </w:r>
      <w:r w:rsidRPr="001459DB">
        <w:rPr>
          <w:rFonts w:ascii="Arial" w:hAnsi="Arial"/>
          <w:spacing w:val="-2"/>
          <w:sz w:val="24"/>
          <w:lang w:val="fr-CA"/>
        </w:rPr>
        <w:t>anticorps.</w:t>
      </w:r>
    </w:p>
    <w:p w:rsidR="00C63825" w:rsidRDefault="00C63825" w:rsidP="00C63825">
      <w:pPr>
        <w:pStyle w:val="ListParagraph"/>
        <w:rPr>
          <w:rFonts w:ascii="Arial" w:hAnsi="Arial"/>
          <w:spacing w:val="-2"/>
          <w:sz w:val="24"/>
          <w:lang w:val="fr-CA"/>
        </w:rPr>
      </w:pPr>
    </w:p>
    <w:p w:rsidR="00E25444" w:rsidRDefault="00C63825" w:rsidP="00C63825">
      <w:pPr>
        <w:pStyle w:val="BodyText2"/>
        <w:numPr>
          <w:ilvl w:val="1"/>
          <w:numId w:val="13"/>
        </w:numPr>
        <w:jc w:val="left"/>
        <w:rPr>
          <w:rFonts w:ascii="Arial" w:hAnsi="Arial"/>
          <w:sz w:val="24"/>
          <w:lang w:val="fr-CA"/>
        </w:rPr>
      </w:pPr>
      <w:r w:rsidRPr="00C63825">
        <w:rPr>
          <w:rFonts w:ascii="Arial" w:hAnsi="Arial"/>
          <w:sz w:val="24"/>
          <w:lang w:val="fr-CA"/>
        </w:rPr>
        <w:t xml:space="preserve">L’hémolyse en l'absence d'un échantillon hémolysé de tout globule rouge dans la carte de gel signale la présence d'un anticorps. </w:t>
      </w:r>
    </w:p>
    <w:p w:rsidR="00C63825" w:rsidRPr="00C63825" w:rsidRDefault="00C63825" w:rsidP="00C63825">
      <w:pPr>
        <w:pStyle w:val="BodyText2"/>
        <w:ind w:left="1440" w:firstLine="0"/>
        <w:jc w:val="left"/>
        <w:rPr>
          <w:rFonts w:ascii="Arial" w:hAnsi="Arial"/>
          <w:sz w:val="24"/>
          <w:lang w:val="fr-CA"/>
        </w:rPr>
      </w:pPr>
    </w:p>
    <w:p w:rsidR="00E25444" w:rsidRPr="001459DB" w:rsidRDefault="001459DB">
      <w:pPr>
        <w:numPr>
          <w:ilvl w:val="1"/>
          <w:numId w:val="13"/>
        </w:numPr>
        <w:tabs>
          <w:tab w:val="left" w:pos="-720"/>
          <w:tab w:val="left" w:pos="0"/>
        </w:tabs>
        <w:suppressAutoHyphens/>
        <w:rPr>
          <w:rFonts w:ascii="Arial" w:hAnsi="Arial"/>
          <w:spacing w:val="-2"/>
          <w:sz w:val="24"/>
          <w:lang w:val="fr-CA"/>
        </w:rPr>
      </w:pPr>
      <w:r w:rsidRPr="001459DB">
        <w:rPr>
          <w:rFonts w:ascii="Arial" w:hAnsi="Arial"/>
          <w:spacing w:val="-2"/>
          <w:sz w:val="24"/>
          <w:lang w:val="fr-CA"/>
        </w:rPr>
        <w:t xml:space="preserve">On peut identifier l'anticorps présent dans le plasma par l'appariement des réactions obtenues avec les cellules A, </w:t>
      </w:r>
      <w:r>
        <w:rPr>
          <w:rFonts w:ascii="Arial" w:hAnsi="Arial"/>
          <w:spacing w:val="-2"/>
          <w:sz w:val="24"/>
          <w:lang w:val="fr-CA"/>
        </w:rPr>
        <w:t>B</w:t>
      </w:r>
      <w:r w:rsidRPr="001459DB">
        <w:rPr>
          <w:rFonts w:ascii="Arial" w:hAnsi="Arial"/>
          <w:spacing w:val="-2"/>
          <w:sz w:val="24"/>
          <w:lang w:val="fr-CA"/>
        </w:rPr>
        <w:t xml:space="preserve"> et O. </w:t>
      </w:r>
    </w:p>
    <w:p w:rsidR="00E25444" w:rsidRPr="001459DB" w:rsidRDefault="00E25444">
      <w:pPr>
        <w:tabs>
          <w:tab w:val="left" w:pos="-720"/>
          <w:tab w:val="left" w:pos="0"/>
        </w:tabs>
        <w:suppressAutoHyphens/>
        <w:rPr>
          <w:rFonts w:ascii="Arial" w:hAnsi="Arial"/>
          <w:spacing w:val="-2"/>
          <w:sz w:val="24"/>
          <w:lang w:val="fr-CA"/>
        </w:rPr>
      </w:pPr>
    </w:p>
    <w:p w:rsidR="00E25444" w:rsidRPr="00C90885" w:rsidRDefault="00C90885">
      <w:pPr>
        <w:numPr>
          <w:ilvl w:val="1"/>
          <w:numId w:val="13"/>
        </w:numPr>
        <w:tabs>
          <w:tab w:val="left" w:pos="-720"/>
          <w:tab w:val="left" w:pos="0"/>
        </w:tabs>
        <w:suppressAutoHyphens/>
        <w:rPr>
          <w:rFonts w:ascii="Arial" w:hAnsi="Arial"/>
          <w:spacing w:val="-2"/>
          <w:sz w:val="24"/>
          <w:lang w:val="fr-CA"/>
        </w:rPr>
      </w:pPr>
      <w:r w:rsidRPr="00C90885">
        <w:rPr>
          <w:rFonts w:ascii="Arial" w:hAnsi="Arial"/>
          <w:spacing w:val="-2"/>
          <w:sz w:val="24"/>
          <w:lang w:val="fr-CA"/>
        </w:rPr>
        <w:t>Pour transmettre le résultat du dépistage d’anticorps A/B immuns, inscrire « </w:t>
      </w:r>
      <w:r w:rsidRPr="00D94023">
        <w:rPr>
          <w:rFonts w:ascii="Arial" w:hAnsi="Arial"/>
          <w:spacing w:val="-2"/>
          <w:sz w:val="24"/>
          <w:lang w:val="fr-CA"/>
        </w:rPr>
        <w:t>Présence d’</w:t>
      </w:r>
      <w:r w:rsidR="00825B77">
        <w:rPr>
          <w:rFonts w:ascii="Arial" w:hAnsi="Arial"/>
          <w:spacing w:val="-2"/>
          <w:sz w:val="24"/>
          <w:lang w:val="fr-CA"/>
        </w:rPr>
        <w:t xml:space="preserve">anticorps </w:t>
      </w:r>
      <w:r w:rsidR="00D94023">
        <w:rPr>
          <w:rFonts w:ascii="Arial" w:hAnsi="Arial"/>
          <w:spacing w:val="-2"/>
          <w:sz w:val="24"/>
          <w:lang w:val="fr-CA"/>
        </w:rPr>
        <w:t>anti-</w:t>
      </w:r>
      <w:r w:rsidRPr="00D94023">
        <w:rPr>
          <w:rFonts w:ascii="Arial" w:hAnsi="Arial"/>
          <w:spacing w:val="-2"/>
          <w:sz w:val="24"/>
          <w:lang w:val="fr-CA"/>
        </w:rPr>
        <w:t>A</w:t>
      </w:r>
      <w:r w:rsidR="00D94023">
        <w:rPr>
          <w:rFonts w:ascii="Arial" w:hAnsi="Arial"/>
          <w:spacing w:val="-2"/>
          <w:sz w:val="24"/>
          <w:lang w:val="fr-CA"/>
        </w:rPr>
        <w:t xml:space="preserve"> ou anti-</w:t>
      </w:r>
      <w:r w:rsidRPr="00D94023">
        <w:rPr>
          <w:rFonts w:ascii="Arial" w:hAnsi="Arial"/>
          <w:spacing w:val="-2"/>
          <w:sz w:val="24"/>
          <w:lang w:val="fr-CA"/>
        </w:rPr>
        <w:t>B immun</w:t>
      </w:r>
      <w:r w:rsidR="00D94023">
        <w:rPr>
          <w:rFonts w:ascii="Arial" w:hAnsi="Arial"/>
          <w:spacing w:val="-2"/>
          <w:sz w:val="24"/>
          <w:lang w:val="fr-CA"/>
        </w:rPr>
        <w:t>s</w:t>
      </w:r>
      <w:r w:rsidRPr="00D94023">
        <w:rPr>
          <w:rFonts w:ascii="Arial" w:hAnsi="Arial"/>
          <w:spacing w:val="-2"/>
          <w:sz w:val="24"/>
          <w:lang w:val="fr-CA"/>
        </w:rPr>
        <w:t xml:space="preserve"> maternel</w:t>
      </w:r>
      <w:r w:rsidR="00D94023">
        <w:rPr>
          <w:rFonts w:ascii="Arial" w:hAnsi="Arial"/>
          <w:spacing w:val="-2"/>
          <w:sz w:val="24"/>
          <w:lang w:val="fr-CA"/>
        </w:rPr>
        <w:t>s</w:t>
      </w:r>
      <w:r w:rsidRPr="00D94023">
        <w:rPr>
          <w:rFonts w:ascii="Arial" w:hAnsi="Arial"/>
          <w:spacing w:val="-2"/>
          <w:sz w:val="24"/>
          <w:lang w:val="fr-CA"/>
        </w:rPr>
        <w:t> »</w:t>
      </w:r>
      <w:r w:rsidR="00E25444" w:rsidRPr="00D94023">
        <w:rPr>
          <w:rFonts w:ascii="Arial" w:hAnsi="Arial"/>
          <w:spacing w:val="-2"/>
          <w:sz w:val="24"/>
          <w:lang w:val="fr-CA"/>
        </w:rPr>
        <w:t>.</w:t>
      </w:r>
    </w:p>
    <w:p w:rsidR="00E25444" w:rsidRDefault="00E25444">
      <w:pPr>
        <w:tabs>
          <w:tab w:val="left" w:pos="-720"/>
          <w:tab w:val="left" w:pos="0"/>
        </w:tabs>
        <w:suppressAutoHyphens/>
        <w:ind w:left="1440"/>
        <w:rPr>
          <w:rFonts w:ascii="Arial" w:hAnsi="Arial"/>
          <w:spacing w:val="-2"/>
          <w:sz w:val="24"/>
          <w:lang w:val="fr-CA"/>
        </w:rPr>
      </w:pPr>
    </w:p>
    <w:p w:rsidR="00C90885" w:rsidRPr="00C90885" w:rsidRDefault="00C90885">
      <w:pPr>
        <w:tabs>
          <w:tab w:val="left" w:pos="-720"/>
          <w:tab w:val="left" w:pos="0"/>
        </w:tabs>
        <w:suppressAutoHyphens/>
        <w:ind w:left="1440"/>
        <w:rPr>
          <w:rFonts w:ascii="Arial" w:hAnsi="Arial"/>
          <w:spacing w:val="-2"/>
          <w:sz w:val="24"/>
          <w:lang w:val="fr-CA"/>
        </w:rPr>
      </w:pPr>
    </w:p>
    <w:p w:rsidR="00E25444" w:rsidRPr="00C90885" w:rsidRDefault="00361CEF">
      <w:pPr>
        <w:numPr>
          <w:ilvl w:val="0"/>
          <w:numId w:val="13"/>
        </w:numPr>
        <w:rPr>
          <w:rFonts w:ascii="Arial" w:hAnsi="Arial"/>
          <w:b/>
          <w:sz w:val="28"/>
          <w:lang w:val="fr-CA"/>
        </w:rPr>
      </w:pPr>
      <w:r w:rsidRPr="00C90885">
        <w:rPr>
          <w:rFonts w:ascii="Arial" w:hAnsi="Arial"/>
          <w:b/>
          <w:sz w:val="28"/>
          <w:lang w:val="fr-CA"/>
        </w:rPr>
        <w:t>Remarques</w:t>
      </w:r>
    </w:p>
    <w:p w:rsidR="00E25444" w:rsidRPr="001459DB" w:rsidRDefault="00E25444">
      <w:pPr>
        <w:rPr>
          <w:rFonts w:ascii="Arial" w:hAnsi="Arial"/>
          <w:sz w:val="24"/>
          <w:lang w:val="fr-CA"/>
        </w:rPr>
      </w:pPr>
    </w:p>
    <w:p w:rsidR="00C63825" w:rsidRPr="00C63825" w:rsidRDefault="00C63825">
      <w:pPr>
        <w:numPr>
          <w:ilvl w:val="1"/>
          <w:numId w:val="13"/>
        </w:numPr>
        <w:rPr>
          <w:rFonts w:ascii="Arial" w:hAnsi="Arial"/>
          <w:sz w:val="24"/>
          <w:lang w:val="fr-CA"/>
        </w:rPr>
      </w:pPr>
      <w:r w:rsidRPr="00EB40E8">
        <w:rPr>
          <w:rFonts w:ascii="Arial" w:hAnsi="Arial"/>
          <w:spacing w:val="-2"/>
          <w:sz w:val="24"/>
          <w:lang w:val="fr-CA"/>
        </w:rPr>
        <w:t>On doit procéder avec soin à l'interprétation des réactions de type champ mixte. La présence de fibrine, de caillots ou de particules peut entraîner la formation d'une couche de cellules par-dessus le gel. Habituellement, on observe des réactions de type champ mixte uniquement dans les épreuves qui contiennent deux populations de globules rouges, comme chez les transfusés et les receveurs de moelle osseuse ou quand on utilise un échantillon de cellules mises en pool. Toutefois, on ne peut pas détecter toutes les situations où il y a présence de cellules mixtes, car la population mineure est parfois trop peti</w:t>
      </w:r>
      <w:r>
        <w:rPr>
          <w:rFonts w:ascii="Arial" w:hAnsi="Arial"/>
          <w:spacing w:val="-2"/>
          <w:sz w:val="24"/>
          <w:lang w:val="fr-CA"/>
        </w:rPr>
        <w:t>te.</w:t>
      </w:r>
    </w:p>
    <w:p w:rsidR="00C63825" w:rsidRPr="00C63825" w:rsidRDefault="00C63825" w:rsidP="00C63825">
      <w:pPr>
        <w:ind w:left="1440"/>
        <w:rPr>
          <w:rFonts w:ascii="Arial" w:hAnsi="Arial"/>
          <w:sz w:val="24"/>
          <w:lang w:val="fr-CA"/>
        </w:rPr>
      </w:pPr>
    </w:p>
    <w:p w:rsidR="00C63825" w:rsidRPr="00EB40E8" w:rsidRDefault="00C63825" w:rsidP="00C63825">
      <w:pPr>
        <w:numPr>
          <w:ilvl w:val="1"/>
          <w:numId w:val="41"/>
        </w:numPr>
        <w:spacing w:line="228" w:lineRule="auto"/>
        <w:rPr>
          <w:rFonts w:ascii="Arial" w:hAnsi="Arial"/>
          <w:sz w:val="24"/>
          <w:lang w:val="fr-CA"/>
        </w:rPr>
      </w:pPr>
      <w:r w:rsidRPr="00EB40E8">
        <w:rPr>
          <w:rFonts w:ascii="Arial" w:hAnsi="Arial"/>
          <w:spacing w:val="-2"/>
          <w:sz w:val="24"/>
          <w:lang w:val="fr-CA"/>
        </w:rPr>
        <w:t xml:space="preserve">La présence de trop ou de trop peu de cellules </w:t>
      </w:r>
      <w:r w:rsidRPr="00EB40E8">
        <w:rPr>
          <w:rFonts w:ascii="Arial" w:hAnsi="Arial"/>
          <w:sz w:val="24"/>
          <w:lang w:val="fr-CA"/>
        </w:rPr>
        <w:t>dans le microtube peut susciter des réactions faussement positives ou faussement négatives. Cette situation peut être due à l’une ou aux deux erreurs suivantes :</w:t>
      </w:r>
    </w:p>
    <w:p w:rsidR="00C63825" w:rsidRPr="00EB40E8" w:rsidRDefault="00C63825" w:rsidP="00C63825">
      <w:pPr>
        <w:numPr>
          <w:ilvl w:val="0"/>
          <w:numId w:val="42"/>
        </w:numPr>
        <w:rPr>
          <w:rFonts w:ascii="Arial" w:hAnsi="Arial"/>
          <w:sz w:val="24"/>
          <w:lang w:val="fr-CA"/>
        </w:rPr>
      </w:pPr>
      <w:r w:rsidRPr="00EB40E8">
        <w:rPr>
          <w:rFonts w:ascii="Arial" w:hAnsi="Arial"/>
          <w:sz w:val="24"/>
          <w:lang w:val="fr-CA"/>
        </w:rPr>
        <w:t>suspension de cellules mal préparée</w:t>
      </w:r>
    </w:p>
    <w:p w:rsidR="00C63825" w:rsidRPr="00EB40E8" w:rsidRDefault="00C63825" w:rsidP="00C63825">
      <w:pPr>
        <w:numPr>
          <w:ilvl w:val="0"/>
          <w:numId w:val="42"/>
        </w:numPr>
        <w:rPr>
          <w:rFonts w:ascii="Arial" w:hAnsi="Arial"/>
          <w:sz w:val="24"/>
          <w:lang w:val="fr-CA"/>
        </w:rPr>
      </w:pPr>
      <w:r w:rsidRPr="00EB40E8">
        <w:rPr>
          <w:rFonts w:ascii="Arial" w:hAnsi="Arial"/>
          <w:sz w:val="24"/>
          <w:lang w:val="fr-CA"/>
        </w:rPr>
        <w:t>ajout d’une mauvaise quantité de cellules dans la partie supérieure du microtube</w:t>
      </w:r>
    </w:p>
    <w:p w:rsidR="00C63825" w:rsidRDefault="00C63825" w:rsidP="00C63825">
      <w:pPr>
        <w:ind w:left="1440"/>
        <w:rPr>
          <w:rFonts w:ascii="Arial" w:hAnsi="Arial"/>
          <w:sz w:val="24"/>
          <w:lang w:val="fr-CA"/>
        </w:rPr>
      </w:pPr>
      <w:r w:rsidRPr="00EB40E8">
        <w:rPr>
          <w:rFonts w:ascii="Arial" w:hAnsi="Arial"/>
          <w:sz w:val="24"/>
          <w:lang w:val="fr-CA"/>
        </w:rPr>
        <w:t xml:space="preserve">Si c’est le cas, répéter le ou les tests en s’assurant que les quantités sont bonnes et à l’aide de nouvelles suspensions de </w:t>
      </w:r>
      <w:r>
        <w:rPr>
          <w:rFonts w:ascii="Arial" w:hAnsi="Arial"/>
          <w:sz w:val="24"/>
          <w:lang w:val="fr-CA"/>
        </w:rPr>
        <w:t>cellules.</w:t>
      </w:r>
    </w:p>
    <w:p w:rsidR="00C63825" w:rsidRDefault="00C63825" w:rsidP="00C63825">
      <w:pPr>
        <w:ind w:left="1440"/>
        <w:rPr>
          <w:rFonts w:ascii="Arial" w:hAnsi="Arial"/>
          <w:sz w:val="24"/>
          <w:lang w:val="fr-CA"/>
        </w:rPr>
      </w:pPr>
    </w:p>
    <w:p w:rsidR="00C63825" w:rsidRDefault="00C63825" w:rsidP="00C63825">
      <w:pPr>
        <w:numPr>
          <w:ilvl w:val="1"/>
          <w:numId w:val="41"/>
        </w:numPr>
        <w:rPr>
          <w:rFonts w:ascii="Arial" w:hAnsi="Arial"/>
          <w:sz w:val="24"/>
          <w:lang w:val="fr-CA"/>
        </w:rPr>
      </w:pPr>
      <w:r w:rsidRPr="00EB40E8">
        <w:rPr>
          <w:rFonts w:ascii="Arial" w:hAnsi="Arial"/>
          <w:sz w:val="24"/>
          <w:lang w:val="fr-CA"/>
        </w:rPr>
        <w:t>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 d’hémagglutination en tube et d’un remplacement par une solution saline, au</w:t>
      </w:r>
      <w:r>
        <w:rPr>
          <w:rFonts w:ascii="Arial" w:hAnsi="Arial"/>
          <w:sz w:val="24"/>
          <w:lang w:val="fr-CA"/>
        </w:rPr>
        <w:t xml:space="preserve"> besoin.</w:t>
      </w:r>
    </w:p>
    <w:p w:rsidR="00C63825" w:rsidRDefault="00C63825" w:rsidP="00C63825">
      <w:pPr>
        <w:ind w:left="1440"/>
        <w:rPr>
          <w:rFonts w:ascii="Arial" w:hAnsi="Arial"/>
          <w:sz w:val="24"/>
          <w:lang w:val="fr-CA"/>
        </w:rPr>
      </w:pPr>
    </w:p>
    <w:p w:rsidR="00C63825" w:rsidRDefault="00C63825" w:rsidP="00C63825">
      <w:pPr>
        <w:numPr>
          <w:ilvl w:val="1"/>
          <w:numId w:val="41"/>
        </w:numPr>
        <w:rPr>
          <w:rFonts w:ascii="Arial" w:hAnsi="Arial"/>
          <w:sz w:val="24"/>
          <w:lang w:val="fr-CA"/>
        </w:rPr>
      </w:pPr>
      <w:r w:rsidRPr="00EB40E8">
        <w:rPr>
          <w:rFonts w:ascii="Arial" w:hAnsi="Arial"/>
          <w:sz w:val="24"/>
          <w:lang w:val="fr-CA"/>
        </w:rPr>
        <w:t xml:space="preserve">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w:t>
      </w:r>
      <w:r>
        <w:rPr>
          <w:rFonts w:ascii="Arial" w:hAnsi="Arial"/>
          <w:sz w:val="24"/>
          <w:lang w:val="fr-CA"/>
        </w:rPr>
        <w:t>gel.</w:t>
      </w:r>
    </w:p>
    <w:p w:rsidR="00C63825" w:rsidRDefault="00C63825" w:rsidP="00C63825">
      <w:pPr>
        <w:pStyle w:val="ListParagraph"/>
        <w:rPr>
          <w:rFonts w:ascii="Arial" w:hAnsi="Arial"/>
          <w:sz w:val="24"/>
          <w:lang w:val="fr-CA"/>
        </w:rPr>
      </w:pPr>
    </w:p>
    <w:p w:rsidR="00E25444" w:rsidRPr="001459DB" w:rsidRDefault="00361CEF" w:rsidP="00C63825">
      <w:pPr>
        <w:numPr>
          <w:ilvl w:val="1"/>
          <w:numId w:val="41"/>
        </w:numPr>
        <w:rPr>
          <w:rFonts w:ascii="Arial" w:hAnsi="Arial"/>
          <w:sz w:val="24"/>
          <w:lang w:val="fr-CA"/>
        </w:rPr>
      </w:pPr>
      <w:r w:rsidRPr="001459DB">
        <w:rPr>
          <w:rFonts w:ascii="Arial" w:hAnsi="Arial"/>
          <w:sz w:val="24"/>
          <w:lang w:val="fr-CA"/>
        </w:rPr>
        <w:t>De faux résultats positifs ou négatifs peuvent survenir dans les situations suivantes : contamination bactérienne du matériel de l'épreuve, température ou durée d'incubation inadéquates, mauvaise centrifugation, mauvais entreposage du matériel ou omission d'échantillons d'épreuves.</w:t>
      </w:r>
    </w:p>
    <w:p w:rsidR="00E25444" w:rsidRPr="001459DB" w:rsidRDefault="00E25444">
      <w:pPr>
        <w:ind w:left="720"/>
        <w:rPr>
          <w:rFonts w:ascii="Arial" w:hAnsi="Arial"/>
          <w:sz w:val="24"/>
          <w:lang w:val="fr-CA"/>
        </w:rPr>
      </w:pPr>
    </w:p>
    <w:p w:rsidR="00E25444" w:rsidRPr="001459DB" w:rsidRDefault="008A6EB8" w:rsidP="008A6EB8">
      <w:pPr>
        <w:numPr>
          <w:ilvl w:val="1"/>
          <w:numId w:val="43"/>
        </w:numPr>
        <w:rPr>
          <w:rFonts w:ascii="Arial" w:hAnsi="Arial"/>
          <w:sz w:val="24"/>
          <w:lang w:val="fr-CA"/>
        </w:rPr>
      </w:pPr>
      <w:r w:rsidRPr="00EB40E8">
        <w:rPr>
          <w:rFonts w:ascii="Arial" w:hAnsi="Arial"/>
          <w:spacing w:val="-2"/>
          <w:sz w:val="24"/>
          <w:lang w:val="fr-CA"/>
        </w:rPr>
        <w:t xml:space="preserve">De faux résultats positifs peuvent survenir </w:t>
      </w:r>
      <w:r>
        <w:rPr>
          <w:rFonts w:ascii="Arial" w:hAnsi="Arial"/>
          <w:spacing w:val="-2"/>
          <w:sz w:val="24"/>
          <w:lang w:val="fr-CA"/>
        </w:rPr>
        <w:t xml:space="preserve">si </w:t>
      </w:r>
      <w:r w:rsidRPr="00EB40E8">
        <w:rPr>
          <w:rFonts w:ascii="Arial" w:hAnsi="Arial"/>
          <w:spacing w:val="-2"/>
          <w:sz w:val="24"/>
          <w:lang w:val="fr-CA"/>
        </w:rPr>
        <w:t>le</w:t>
      </w:r>
      <w:r>
        <w:rPr>
          <w:rFonts w:ascii="Arial" w:hAnsi="Arial"/>
          <w:spacing w:val="-2"/>
          <w:sz w:val="24"/>
          <w:lang w:val="fr-CA"/>
        </w:rPr>
        <w:t>s</w:t>
      </w:r>
      <w:r w:rsidRPr="00EB40E8">
        <w:rPr>
          <w:rFonts w:ascii="Arial" w:hAnsi="Arial"/>
          <w:spacing w:val="-2"/>
          <w:sz w:val="24"/>
          <w:lang w:val="fr-CA"/>
        </w:rPr>
        <w:t xml:space="preserve"> cartes de gel présentent des signes de dessiccation</w:t>
      </w:r>
      <w:r>
        <w:rPr>
          <w:rFonts w:ascii="Arial" w:hAnsi="Arial"/>
          <w:spacing w:val="-2"/>
          <w:sz w:val="24"/>
          <w:lang w:val="fr-CA"/>
        </w:rPr>
        <w:t>.</w:t>
      </w:r>
    </w:p>
    <w:p w:rsidR="00E25444" w:rsidRPr="001A18FF" w:rsidRDefault="00E25444">
      <w:pPr>
        <w:ind w:left="720"/>
        <w:rPr>
          <w:rFonts w:ascii="Arial" w:hAnsi="Arial"/>
          <w:sz w:val="24"/>
          <w:lang w:val="fr-CA"/>
        </w:rPr>
      </w:pPr>
    </w:p>
    <w:p w:rsidR="00E25444" w:rsidRPr="001459DB" w:rsidRDefault="00361CEF" w:rsidP="008A6EB8">
      <w:pPr>
        <w:numPr>
          <w:ilvl w:val="1"/>
          <w:numId w:val="43"/>
        </w:numPr>
        <w:rPr>
          <w:rFonts w:ascii="Arial" w:hAnsi="Arial"/>
          <w:sz w:val="24"/>
          <w:lang w:val="fr-CA"/>
        </w:rPr>
      </w:pPr>
      <w:r w:rsidRPr="001459DB">
        <w:rPr>
          <w:rFonts w:ascii="Arial" w:hAnsi="Arial"/>
          <w:sz w:val="24"/>
          <w:lang w:val="fr-CA"/>
        </w:rPr>
        <w:t>Ajout de cellules et de plasma</w:t>
      </w:r>
    </w:p>
    <w:p w:rsidR="00E25444" w:rsidRPr="001459DB" w:rsidRDefault="00E25444">
      <w:pPr>
        <w:ind w:left="1440"/>
        <w:rPr>
          <w:rFonts w:ascii="Arial" w:hAnsi="Arial"/>
          <w:sz w:val="24"/>
          <w:lang w:val="fr-CA"/>
        </w:rPr>
      </w:pPr>
    </w:p>
    <w:p w:rsidR="00E25444" w:rsidRPr="001459DB" w:rsidRDefault="00361CEF" w:rsidP="008A6EB8">
      <w:pPr>
        <w:numPr>
          <w:ilvl w:val="2"/>
          <w:numId w:val="43"/>
        </w:numPr>
        <w:rPr>
          <w:rFonts w:ascii="Arial" w:hAnsi="Arial"/>
          <w:sz w:val="24"/>
          <w:lang w:val="fr-CA"/>
        </w:rPr>
      </w:pPr>
      <w:r w:rsidRPr="001459DB">
        <w:rPr>
          <w:rFonts w:ascii="Arial" w:hAnsi="Arial"/>
          <w:sz w:val="24"/>
          <w:lang w:val="fr-CA"/>
        </w:rPr>
        <w:t>On doit ajouter la suspension de globules rouges avant le plasma</w:t>
      </w:r>
      <w:r w:rsidR="00056AA1">
        <w:rPr>
          <w:rFonts w:ascii="Arial" w:hAnsi="Arial"/>
          <w:sz w:val="24"/>
          <w:lang w:val="fr-CA"/>
        </w:rPr>
        <w:t>,</w:t>
      </w:r>
      <w:r w:rsidRPr="001459DB">
        <w:rPr>
          <w:rFonts w:ascii="Arial" w:hAnsi="Arial"/>
          <w:sz w:val="24"/>
          <w:lang w:val="fr-CA"/>
        </w:rPr>
        <w:t xml:space="preserve"> car le volume de la suspension de globules rouges est plus grand que le volume de plasma.</w:t>
      </w:r>
      <w:r w:rsidR="00E25444" w:rsidRPr="001459DB">
        <w:rPr>
          <w:rFonts w:ascii="Arial" w:hAnsi="Arial"/>
          <w:sz w:val="24"/>
          <w:lang w:val="fr-CA"/>
        </w:rPr>
        <w:t xml:space="preserve"> </w:t>
      </w:r>
      <w:r w:rsidRPr="001459DB">
        <w:rPr>
          <w:rFonts w:ascii="Arial" w:hAnsi="Arial"/>
          <w:sz w:val="24"/>
          <w:lang w:val="fr-CA"/>
        </w:rPr>
        <w:t>Si on ajoute le plus petit volume de plasma avant la suspension de globules rouges, le mélange pourrait être inadéquat.</w:t>
      </w:r>
    </w:p>
    <w:p w:rsidR="00E25444" w:rsidRPr="001459DB" w:rsidRDefault="00E25444">
      <w:pPr>
        <w:ind w:left="1440"/>
        <w:rPr>
          <w:rFonts w:ascii="Arial" w:hAnsi="Arial"/>
          <w:sz w:val="24"/>
          <w:lang w:val="fr-CA"/>
        </w:rPr>
      </w:pPr>
    </w:p>
    <w:p w:rsidR="00E25444" w:rsidRPr="001459DB" w:rsidRDefault="00361CEF" w:rsidP="008A6EB8">
      <w:pPr>
        <w:numPr>
          <w:ilvl w:val="2"/>
          <w:numId w:val="43"/>
        </w:numPr>
        <w:rPr>
          <w:rFonts w:ascii="Arial" w:hAnsi="Arial"/>
          <w:sz w:val="24"/>
          <w:lang w:val="fr-CA"/>
        </w:rPr>
      </w:pPr>
      <w:r w:rsidRPr="001459DB">
        <w:rPr>
          <w:rFonts w:ascii="Arial" w:hAnsi="Arial"/>
          <w:sz w:val="24"/>
          <w:lang w:val="fr-CA"/>
        </w:rPr>
        <w:t>On doit ajouter le plasma dans les 10 à 15 minutes suivant l'ajout de la suspension de globules rouges aux chambres de réaction.</w:t>
      </w:r>
      <w:r w:rsidR="00C90885">
        <w:rPr>
          <w:rFonts w:ascii="Arial" w:hAnsi="Arial"/>
          <w:sz w:val="24"/>
          <w:lang w:val="fr-CA"/>
        </w:rPr>
        <w:t xml:space="preserve"> </w:t>
      </w:r>
      <w:r w:rsidR="001459DB">
        <w:rPr>
          <w:rFonts w:ascii="Arial" w:hAnsi="Arial"/>
          <w:sz w:val="24"/>
          <w:lang w:val="fr-CA"/>
        </w:rPr>
        <w:t>T</w:t>
      </w:r>
      <w:r w:rsidRPr="001459DB">
        <w:rPr>
          <w:rFonts w:ascii="Arial" w:hAnsi="Arial"/>
          <w:sz w:val="24"/>
          <w:lang w:val="fr-CA"/>
        </w:rPr>
        <w:t>out globule rouge qui entre en contact avec la colonne de gel avant la centrifugation pourrait ne pas avoir l'occasion d'entrer en contact avec le plasma et ainsi commencer à migrer dans le gel et possiblement entraîner une réaction plus faible après la centrifugation.</w:t>
      </w:r>
    </w:p>
    <w:p w:rsidR="00E25444" w:rsidRPr="001459DB" w:rsidRDefault="00E25444">
      <w:pPr>
        <w:ind w:left="1440"/>
        <w:rPr>
          <w:rFonts w:ascii="Arial" w:hAnsi="Arial"/>
          <w:sz w:val="24"/>
          <w:lang w:val="fr-CA"/>
        </w:rPr>
      </w:pPr>
    </w:p>
    <w:p w:rsidR="00E25444" w:rsidRPr="001459DB" w:rsidRDefault="00361CEF" w:rsidP="008A6EB8">
      <w:pPr>
        <w:numPr>
          <w:ilvl w:val="1"/>
          <w:numId w:val="43"/>
        </w:numPr>
        <w:spacing w:line="228" w:lineRule="auto"/>
        <w:rPr>
          <w:rFonts w:ascii="Arial" w:hAnsi="Arial"/>
          <w:sz w:val="24"/>
          <w:lang w:val="fr-CA"/>
        </w:rPr>
      </w:pPr>
      <w:r w:rsidRPr="001459DB">
        <w:rPr>
          <w:rFonts w:ascii="Arial" w:hAnsi="Arial"/>
          <w:sz w:val="24"/>
          <w:lang w:val="fr-CA"/>
        </w:rPr>
        <w:t>Dans la documentation, on recommande une incubation d'une durée de 5 à 40 minutes dans des solutions à faible concentration ionique.</w:t>
      </w:r>
      <w:r w:rsidR="00E25444" w:rsidRPr="001459DB">
        <w:rPr>
          <w:rFonts w:ascii="Arial" w:hAnsi="Arial"/>
          <w:sz w:val="24"/>
          <w:lang w:val="fr-CA"/>
        </w:rPr>
        <w:t xml:space="preserve"> </w:t>
      </w:r>
      <w:r w:rsidRPr="001459DB">
        <w:rPr>
          <w:rFonts w:ascii="Arial" w:hAnsi="Arial"/>
          <w:sz w:val="24"/>
          <w:lang w:val="fr-CA"/>
        </w:rPr>
        <w:t>Il n’y a pas de durée d’incubation optimale unique pour tous les anticorps. Si on change la durée d’incubation recommandée par le fabricant, il faut mener des études de validation.</w:t>
      </w:r>
    </w:p>
    <w:p w:rsidR="00E25444" w:rsidRPr="001459DB" w:rsidRDefault="00E25444">
      <w:pPr>
        <w:spacing w:line="228" w:lineRule="auto"/>
        <w:ind w:left="720"/>
        <w:rPr>
          <w:rFonts w:ascii="Arial" w:hAnsi="Arial"/>
          <w:sz w:val="24"/>
          <w:lang w:val="fr-CA"/>
        </w:rPr>
      </w:pPr>
    </w:p>
    <w:p w:rsidR="00E25444" w:rsidRPr="003740BC" w:rsidRDefault="008A6EB8" w:rsidP="008A6EB8">
      <w:pPr>
        <w:numPr>
          <w:ilvl w:val="1"/>
          <w:numId w:val="43"/>
        </w:numPr>
        <w:tabs>
          <w:tab w:val="left" w:pos="-720"/>
        </w:tabs>
        <w:suppressAutoHyphens/>
        <w:spacing w:line="228" w:lineRule="auto"/>
        <w:rPr>
          <w:rFonts w:ascii="Arial" w:hAnsi="Arial"/>
          <w:spacing w:val="-2"/>
          <w:sz w:val="24"/>
          <w:lang w:val="fr-CA"/>
        </w:rPr>
      </w:pPr>
      <w:r>
        <w:rPr>
          <w:rFonts w:ascii="Arial" w:hAnsi="Arial"/>
          <w:spacing w:val="-2"/>
          <w:sz w:val="24"/>
          <w:lang w:val="fr-CA"/>
        </w:rPr>
        <w:t xml:space="preserve">Il se pourrait  que des anticorps IgM réagissent dans cette épreuve. </w:t>
      </w:r>
      <w:r w:rsidR="003740BC" w:rsidRPr="005F4283">
        <w:rPr>
          <w:rFonts w:ascii="Arial" w:hAnsi="Arial"/>
          <w:sz w:val="24"/>
          <w:szCs w:val="24"/>
          <w:lang w:val="fr-CA"/>
        </w:rPr>
        <w:t xml:space="preserve"> Certains anticorps de type IgM pourraient réagir aux antigènes correspondants dans la partie supérieure du microtube et rester pris dans le haut du gel au moment de la centrifugation, entraînant une réaction positive</w:t>
      </w:r>
      <w:r w:rsidR="003740BC">
        <w:rPr>
          <w:rFonts w:ascii="Arial" w:hAnsi="Arial"/>
          <w:sz w:val="24"/>
          <w:szCs w:val="24"/>
          <w:lang w:val="fr-CA"/>
        </w:rPr>
        <w:t>.</w:t>
      </w:r>
    </w:p>
    <w:p w:rsidR="003740BC" w:rsidRDefault="003740BC" w:rsidP="003740BC">
      <w:pPr>
        <w:pStyle w:val="ListParagraph"/>
        <w:rPr>
          <w:rFonts w:ascii="Arial" w:hAnsi="Arial"/>
          <w:spacing w:val="-2"/>
          <w:sz w:val="24"/>
          <w:lang w:val="fr-CA"/>
        </w:rPr>
      </w:pPr>
    </w:p>
    <w:p w:rsidR="003740BC" w:rsidRDefault="003740BC" w:rsidP="008A6EB8">
      <w:pPr>
        <w:numPr>
          <w:ilvl w:val="1"/>
          <w:numId w:val="43"/>
        </w:numPr>
        <w:tabs>
          <w:tab w:val="left" w:pos="-720"/>
        </w:tabs>
        <w:suppressAutoHyphens/>
        <w:spacing w:line="228" w:lineRule="auto"/>
        <w:rPr>
          <w:rFonts w:ascii="Arial" w:hAnsi="Arial"/>
          <w:spacing w:val="-2"/>
          <w:sz w:val="24"/>
          <w:lang w:val="fr-CA"/>
        </w:rPr>
      </w:pPr>
      <w:r w:rsidRPr="001459DB">
        <w:rPr>
          <w:rFonts w:ascii="Arial" w:hAnsi="Arial"/>
          <w:spacing w:val="-2"/>
          <w:sz w:val="24"/>
          <w:lang w:val="fr-CA"/>
        </w:rPr>
        <w:t>Pour assurer le bon déroulement de l'épreuve, il est essentiel de respecter les directives du dépliant du fournisseur</w:t>
      </w:r>
      <w:r>
        <w:rPr>
          <w:rFonts w:ascii="Arial" w:hAnsi="Arial"/>
          <w:spacing w:val="-2"/>
          <w:sz w:val="24"/>
          <w:lang w:val="fr-CA"/>
        </w:rPr>
        <w:t>.</w:t>
      </w:r>
    </w:p>
    <w:p w:rsidR="003740BC" w:rsidRDefault="003740BC" w:rsidP="003740BC">
      <w:pPr>
        <w:pStyle w:val="ListParagraph"/>
        <w:rPr>
          <w:rFonts w:ascii="Arial" w:hAnsi="Arial"/>
          <w:spacing w:val="-2"/>
          <w:sz w:val="24"/>
          <w:lang w:val="fr-CA"/>
        </w:rPr>
      </w:pPr>
    </w:p>
    <w:p w:rsidR="003740BC" w:rsidRDefault="003740BC" w:rsidP="008A6EB8">
      <w:pPr>
        <w:numPr>
          <w:ilvl w:val="1"/>
          <w:numId w:val="43"/>
        </w:numPr>
        <w:tabs>
          <w:tab w:val="left" w:pos="-720"/>
        </w:tabs>
        <w:suppressAutoHyphens/>
        <w:spacing w:line="228" w:lineRule="auto"/>
        <w:rPr>
          <w:rFonts w:ascii="Arial" w:hAnsi="Arial"/>
          <w:spacing w:val="-2"/>
          <w:sz w:val="24"/>
          <w:lang w:val="fr-CA"/>
        </w:rPr>
      </w:pPr>
      <w:r w:rsidRPr="001459DB">
        <w:rPr>
          <w:rFonts w:ascii="Arial" w:hAnsi="Arial"/>
          <w:spacing w:val="-2"/>
          <w:sz w:val="24"/>
          <w:lang w:val="fr-CA"/>
        </w:rPr>
        <w:t>Il est possible que cette épreuve ne permette pas la détection d'anticorps en deçà du niveau</w:t>
      </w:r>
      <w:r>
        <w:rPr>
          <w:rFonts w:ascii="Arial" w:hAnsi="Arial"/>
          <w:spacing w:val="-2"/>
          <w:sz w:val="24"/>
          <w:lang w:val="fr-CA"/>
        </w:rPr>
        <w:t xml:space="preserve"> seuil. </w:t>
      </w:r>
    </w:p>
    <w:p w:rsidR="003740BC" w:rsidRDefault="003740BC" w:rsidP="003740BC">
      <w:pPr>
        <w:pStyle w:val="ListParagraph"/>
        <w:rPr>
          <w:rFonts w:ascii="Arial" w:hAnsi="Arial"/>
          <w:spacing w:val="-2"/>
          <w:sz w:val="24"/>
          <w:lang w:val="fr-CA"/>
        </w:rPr>
      </w:pPr>
    </w:p>
    <w:p w:rsidR="003740BC" w:rsidRDefault="003740BC" w:rsidP="008A6EB8">
      <w:pPr>
        <w:numPr>
          <w:ilvl w:val="1"/>
          <w:numId w:val="43"/>
        </w:numPr>
        <w:tabs>
          <w:tab w:val="left" w:pos="-720"/>
        </w:tabs>
        <w:suppressAutoHyphens/>
        <w:spacing w:line="228" w:lineRule="auto"/>
        <w:rPr>
          <w:rFonts w:ascii="Arial" w:hAnsi="Arial"/>
          <w:spacing w:val="-2"/>
          <w:sz w:val="24"/>
          <w:lang w:val="fr-CA"/>
        </w:rPr>
      </w:pPr>
      <w:r w:rsidRPr="001459DB">
        <w:rPr>
          <w:rFonts w:ascii="Arial" w:hAnsi="Arial"/>
          <w:spacing w:val="-2"/>
          <w:sz w:val="24"/>
          <w:lang w:val="fr-CA"/>
        </w:rPr>
        <w:t>La présence dans le sérum d'anticorps réagissant à des composants de la solution de conservation pourrait entraîner de faux résultats</w:t>
      </w:r>
      <w:r>
        <w:rPr>
          <w:rFonts w:ascii="Arial" w:hAnsi="Arial"/>
          <w:spacing w:val="-2"/>
          <w:sz w:val="24"/>
          <w:lang w:val="fr-CA"/>
        </w:rPr>
        <w:t xml:space="preserve"> positifs.</w:t>
      </w:r>
    </w:p>
    <w:p w:rsidR="003740BC" w:rsidRDefault="003740BC" w:rsidP="003740BC">
      <w:pPr>
        <w:pStyle w:val="ListParagraph"/>
        <w:rPr>
          <w:rFonts w:ascii="Arial" w:hAnsi="Arial"/>
          <w:spacing w:val="-2"/>
          <w:sz w:val="24"/>
          <w:lang w:val="fr-CA"/>
        </w:rPr>
      </w:pPr>
    </w:p>
    <w:p w:rsidR="003740BC" w:rsidRDefault="003740BC" w:rsidP="008A6EB8">
      <w:pPr>
        <w:numPr>
          <w:ilvl w:val="1"/>
          <w:numId w:val="43"/>
        </w:numPr>
        <w:tabs>
          <w:tab w:val="left" w:pos="-720"/>
        </w:tabs>
        <w:suppressAutoHyphens/>
        <w:spacing w:line="228" w:lineRule="auto"/>
        <w:rPr>
          <w:rFonts w:ascii="Arial" w:hAnsi="Arial"/>
          <w:spacing w:val="-2"/>
          <w:sz w:val="24"/>
          <w:lang w:val="fr-CA"/>
        </w:rPr>
      </w:pPr>
      <w:r w:rsidRPr="001459DB">
        <w:rPr>
          <w:rFonts w:ascii="Arial" w:hAnsi="Arial"/>
          <w:spacing w:val="-2"/>
          <w:sz w:val="24"/>
          <w:lang w:val="fr-CA"/>
        </w:rPr>
        <w:t>À l'occasion, les anti-</w:t>
      </w:r>
      <w:r>
        <w:rPr>
          <w:rFonts w:ascii="Arial" w:hAnsi="Arial"/>
          <w:spacing w:val="-2"/>
          <w:sz w:val="24"/>
          <w:lang w:val="fr-CA"/>
        </w:rPr>
        <w:t>I</w:t>
      </w:r>
      <w:r w:rsidRPr="001459DB">
        <w:rPr>
          <w:rFonts w:ascii="Arial" w:hAnsi="Arial"/>
          <w:spacing w:val="-2"/>
          <w:sz w:val="24"/>
          <w:lang w:val="fr-CA"/>
        </w:rPr>
        <w:t>g</w:t>
      </w:r>
      <w:r>
        <w:rPr>
          <w:rFonts w:ascii="Arial" w:hAnsi="Arial"/>
          <w:spacing w:val="-2"/>
          <w:sz w:val="24"/>
          <w:lang w:val="fr-CA"/>
        </w:rPr>
        <w:t>G</w:t>
      </w:r>
      <w:r w:rsidRPr="001459DB">
        <w:rPr>
          <w:rFonts w:ascii="Arial" w:hAnsi="Arial"/>
          <w:spacing w:val="-2"/>
          <w:sz w:val="24"/>
          <w:lang w:val="fr-CA"/>
        </w:rPr>
        <w:t xml:space="preserve"> ne permettent pas la détection d'anticorps dont on peut démontrer la présence à l'aide d'un réactif d'antiglobuline contenant des anti-</w:t>
      </w:r>
      <w:r>
        <w:rPr>
          <w:rFonts w:ascii="Arial" w:hAnsi="Arial"/>
          <w:spacing w:val="-2"/>
          <w:sz w:val="24"/>
          <w:lang w:val="fr-CA"/>
        </w:rPr>
        <w:t>C</w:t>
      </w:r>
      <w:r w:rsidRPr="001459DB">
        <w:rPr>
          <w:rFonts w:ascii="Arial" w:hAnsi="Arial"/>
          <w:spacing w:val="-2"/>
          <w:sz w:val="24"/>
          <w:lang w:val="fr-CA"/>
        </w:rPr>
        <w:t>3</w:t>
      </w:r>
      <w:r>
        <w:rPr>
          <w:rFonts w:ascii="Arial" w:hAnsi="Arial"/>
          <w:spacing w:val="-2"/>
          <w:sz w:val="24"/>
          <w:lang w:val="fr-CA"/>
        </w:rPr>
        <w:t>.</w:t>
      </w:r>
    </w:p>
    <w:p w:rsidR="003740BC" w:rsidRDefault="003740BC" w:rsidP="003740BC">
      <w:pPr>
        <w:pStyle w:val="ListParagraph"/>
        <w:rPr>
          <w:rFonts w:ascii="Arial" w:hAnsi="Arial"/>
          <w:spacing w:val="-2"/>
          <w:sz w:val="24"/>
          <w:lang w:val="fr-CA"/>
        </w:rPr>
      </w:pPr>
    </w:p>
    <w:p w:rsidR="003740BC" w:rsidRPr="00ED6006" w:rsidRDefault="003740BC" w:rsidP="008A6EB8">
      <w:pPr>
        <w:numPr>
          <w:ilvl w:val="1"/>
          <w:numId w:val="43"/>
        </w:numPr>
        <w:tabs>
          <w:tab w:val="left" w:pos="-720"/>
        </w:tabs>
        <w:suppressAutoHyphens/>
        <w:spacing w:line="228" w:lineRule="auto"/>
        <w:rPr>
          <w:rFonts w:ascii="Arial" w:hAnsi="Arial"/>
          <w:spacing w:val="-2"/>
          <w:sz w:val="24"/>
          <w:lang w:val="fr-CA"/>
        </w:rPr>
      </w:pPr>
      <w:r w:rsidRPr="001459DB">
        <w:rPr>
          <w:rFonts w:ascii="Arial" w:hAnsi="Arial"/>
          <w:sz w:val="24"/>
          <w:lang w:val="fr-CA"/>
        </w:rPr>
        <w:t>Le sérum frais, la présence de fibrine ou de particules dans le sérum ou le plasma, ou l'adhérence de globules rouges aux parois du microtube peut entraîner des résultats anormaux. Le recours à du plasma avec EDTA minimisera</w:t>
      </w:r>
      <w:r>
        <w:rPr>
          <w:rFonts w:ascii="Arial" w:hAnsi="Arial"/>
          <w:sz w:val="24"/>
          <w:lang w:val="fr-CA"/>
        </w:rPr>
        <w:t xml:space="preserve"> le problème. </w:t>
      </w:r>
    </w:p>
    <w:p w:rsidR="00C90885" w:rsidRDefault="00C90885">
      <w:pPr>
        <w:tabs>
          <w:tab w:val="left" w:pos="-720"/>
        </w:tabs>
        <w:suppressAutoHyphens/>
        <w:rPr>
          <w:rFonts w:ascii="Arial" w:hAnsi="Arial"/>
          <w:spacing w:val="-2"/>
          <w:sz w:val="24"/>
          <w:lang w:val="fr-CA"/>
        </w:rPr>
      </w:pPr>
    </w:p>
    <w:p w:rsidR="003740BC" w:rsidRPr="001A18FF" w:rsidRDefault="003740BC">
      <w:pPr>
        <w:tabs>
          <w:tab w:val="left" w:pos="-720"/>
        </w:tabs>
        <w:suppressAutoHyphens/>
        <w:rPr>
          <w:rFonts w:ascii="Arial" w:hAnsi="Arial"/>
          <w:spacing w:val="-2"/>
          <w:sz w:val="24"/>
          <w:lang w:val="fr-CA"/>
        </w:rPr>
      </w:pPr>
    </w:p>
    <w:p w:rsidR="00E25444" w:rsidRPr="00C90885" w:rsidRDefault="00361CEF" w:rsidP="008A6EB8">
      <w:pPr>
        <w:numPr>
          <w:ilvl w:val="0"/>
          <w:numId w:val="43"/>
        </w:numPr>
        <w:rPr>
          <w:rFonts w:ascii="Arial" w:hAnsi="Arial"/>
          <w:b/>
          <w:sz w:val="28"/>
          <w:lang w:val="fr-CA"/>
        </w:rPr>
      </w:pPr>
      <w:r w:rsidRPr="00C90885">
        <w:rPr>
          <w:rFonts w:ascii="Arial" w:hAnsi="Arial"/>
          <w:b/>
          <w:sz w:val="28"/>
          <w:lang w:val="fr-CA"/>
        </w:rPr>
        <w:t>Références</w:t>
      </w:r>
    </w:p>
    <w:p w:rsidR="00E25444" w:rsidRPr="00C90885" w:rsidRDefault="00E25444">
      <w:pPr>
        <w:tabs>
          <w:tab w:val="left" w:pos="-720"/>
        </w:tabs>
        <w:suppressAutoHyphens/>
        <w:spacing w:line="228" w:lineRule="auto"/>
        <w:rPr>
          <w:rFonts w:ascii="Arial" w:hAnsi="Arial"/>
          <w:spacing w:val="-2"/>
          <w:sz w:val="24"/>
          <w:lang w:val="fr-CA"/>
        </w:rPr>
      </w:pPr>
    </w:p>
    <w:p w:rsidR="00323824" w:rsidRPr="0031680C" w:rsidRDefault="00323824" w:rsidP="00323824">
      <w:pPr>
        <w:numPr>
          <w:ilvl w:val="1"/>
          <w:numId w:val="32"/>
        </w:numPr>
        <w:rPr>
          <w:rFonts w:ascii="Arial" w:hAnsi="Arial"/>
          <w:b/>
          <w:sz w:val="28"/>
          <w:lang w:val="fr-CA"/>
        </w:rPr>
      </w:pPr>
      <w:r w:rsidRPr="0031680C">
        <w:rPr>
          <w:rFonts w:ascii="Arial" w:hAnsi="Arial"/>
          <w:i/>
          <w:sz w:val="24"/>
          <w:lang w:val="fr-CA"/>
        </w:rPr>
        <w:t>Standards for Hospital Transfusion Services</w:t>
      </w:r>
      <w:r w:rsidRPr="0031680C">
        <w:rPr>
          <w:rFonts w:ascii="Arial" w:hAnsi="Arial"/>
          <w:sz w:val="24"/>
          <w:lang w:val="fr-CA"/>
        </w:rPr>
        <w:t xml:space="preserve"> Version 3 </w:t>
      </w:r>
      <w:r w:rsidR="0001673C" w:rsidRPr="0031680C">
        <w:rPr>
          <w:rFonts w:ascii="Arial" w:hAnsi="Arial"/>
          <w:sz w:val="24"/>
          <w:lang w:val="fr-CA"/>
        </w:rPr>
        <w:t>–</w:t>
      </w:r>
      <w:r w:rsidRPr="0031680C">
        <w:rPr>
          <w:rFonts w:ascii="Arial" w:hAnsi="Arial"/>
          <w:sz w:val="24"/>
          <w:lang w:val="fr-CA"/>
        </w:rPr>
        <w:t xml:space="preserve"> </w:t>
      </w:r>
      <w:r w:rsidR="0001673C" w:rsidRPr="0031680C">
        <w:rPr>
          <w:rFonts w:ascii="Arial" w:hAnsi="Arial"/>
          <w:sz w:val="24"/>
          <w:lang w:val="fr-CA"/>
        </w:rPr>
        <w:t>février 2</w:t>
      </w:r>
      <w:r w:rsidRPr="0031680C">
        <w:rPr>
          <w:rFonts w:ascii="Arial" w:hAnsi="Arial"/>
          <w:sz w:val="24"/>
          <w:lang w:val="fr-CA"/>
        </w:rPr>
        <w:t xml:space="preserve">011. </w:t>
      </w:r>
      <w:r w:rsidR="00076BE5" w:rsidRPr="00C90885">
        <w:rPr>
          <w:rFonts w:ascii="Arial" w:hAnsi="Arial"/>
          <w:sz w:val="24"/>
          <w:lang w:val="fr-CA"/>
        </w:rPr>
        <w:t>Société canadienne de médecine transfusionnelle</w:t>
      </w:r>
      <w:r w:rsidRPr="0031680C">
        <w:rPr>
          <w:rFonts w:ascii="Arial" w:hAnsi="Arial"/>
          <w:sz w:val="24"/>
          <w:lang w:val="fr-CA"/>
        </w:rPr>
        <w:t>, 5.9.2.4.</w:t>
      </w:r>
      <w:r w:rsidR="00A1134A" w:rsidRPr="0031680C">
        <w:rPr>
          <w:rFonts w:ascii="Arial" w:hAnsi="Arial"/>
          <w:sz w:val="24"/>
          <w:lang w:val="fr-CA"/>
        </w:rPr>
        <w:br/>
      </w:r>
    </w:p>
    <w:p w:rsidR="00323824" w:rsidRDefault="00323824" w:rsidP="00323824">
      <w:pPr>
        <w:numPr>
          <w:ilvl w:val="1"/>
          <w:numId w:val="32"/>
        </w:numPr>
        <w:rPr>
          <w:rFonts w:ascii="Arial" w:hAnsi="Arial"/>
          <w:b/>
          <w:sz w:val="28"/>
        </w:rPr>
      </w:pPr>
      <w:r w:rsidRPr="0073591D">
        <w:rPr>
          <w:rFonts w:ascii="Arial" w:hAnsi="Arial"/>
          <w:sz w:val="24"/>
        </w:rPr>
        <w:t xml:space="preserve">Roback JD, ed. </w:t>
      </w:r>
      <w:r w:rsidRPr="00076BE5">
        <w:rPr>
          <w:rFonts w:ascii="Arial" w:hAnsi="Arial"/>
          <w:i/>
          <w:sz w:val="24"/>
        </w:rPr>
        <w:t>American Association of Blood Banks Technical Manual,</w:t>
      </w:r>
      <w:r w:rsidRPr="0073591D">
        <w:rPr>
          <w:rFonts w:ascii="Arial" w:hAnsi="Arial"/>
          <w:sz w:val="24"/>
        </w:rPr>
        <w:t xml:space="preserve"> 17</w:t>
      </w:r>
      <w:r w:rsidR="0001673C">
        <w:rPr>
          <w:rFonts w:ascii="Arial" w:hAnsi="Arial"/>
          <w:sz w:val="24"/>
          <w:vertAlign w:val="superscript"/>
        </w:rPr>
        <w:t>e</w:t>
      </w:r>
      <w:r w:rsidRPr="0073591D">
        <w:rPr>
          <w:rFonts w:ascii="Arial" w:hAnsi="Arial"/>
          <w:sz w:val="24"/>
        </w:rPr>
        <w:t xml:space="preserve"> </w:t>
      </w:r>
      <w:r w:rsidR="0001673C">
        <w:rPr>
          <w:rFonts w:ascii="Arial" w:hAnsi="Arial"/>
          <w:sz w:val="24"/>
        </w:rPr>
        <w:t>é</w:t>
      </w:r>
      <w:r w:rsidRPr="0073591D">
        <w:rPr>
          <w:rFonts w:ascii="Arial" w:hAnsi="Arial"/>
          <w:sz w:val="24"/>
        </w:rPr>
        <w:t>d. Bethesda, MD: American Association of Blood Banks, 2011:639</w:t>
      </w:r>
      <w:r w:rsidR="00A1134A">
        <w:rPr>
          <w:rFonts w:ascii="Arial" w:hAnsi="Arial"/>
          <w:sz w:val="24"/>
        </w:rPr>
        <w:br/>
      </w:r>
    </w:p>
    <w:p w:rsidR="00323824" w:rsidRDefault="00323824" w:rsidP="00323824">
      <w:pPr>
        <w:numPr>
          <w:ilvl w:val="1"/>
          <w:numId w:val="32"/>
        </w:numPr>
        <w:rPr>
          <w:rFonts w:ascii="Arial" w:hAnsi="Arial"/>
          <w:b/>
          <w:sz w:val="28"/>
        </w:rPr>
      </w:pPr>
      <w:r w:rsidRPr="0073591D">
        <w:rPr>
          <w:rFonts w:ascii="Arial" w:hAnsi="Arial"/>
          <w:spacing w:val="-2"/>
          <w:sz w:val="24"/>
        </w:rPr>
        <w:t>ID-Micro Typing System</w:t>
      </w:r>
      <w:r w:rsidRPr="0073591D">
        <w:rPr>
          <w:rFonts w:ascii="Arial" w:hAnsi="Arial"/>
          <w:spacing w:val="-2"/>
          <w:sz w:val="24"/>
          <w:vertAlign w:val="superscript"/>
        </w:rPr>
        <w:t>TM</w:t>
      </w:r>
      <w:r w:rsidRPr="0073591D">
        <w:rPr>
          <w:rFonts w:ascii="Arial" w:hAnsi="Arial"/>
          <w:spacing w:val="-2"/>
          <w:sz w:val="24"/>
        </w:rPr>
        <w:t xml:space="preserve"> Interpretation Guide-2010-06-04</w:t>
      </w:r>
      <w:r w:rsidR="00A1134A">
        <w:rPr>
          <w:rFonts w:ascii="Arial" w:hAnsi="Arial"/>
          <w:spacing w:val="-2"/>
          <w:sz w:val="24"/>
        </w:rPr>
        <w:t>.</w:t>
      </w:r>
      <w:r w:rsidR="00A1134A">
        <w:rPr>
          <w:rFonts w:ascii="Arial" w:hAnsi="Arial"/>
          <w:spacing w:val="-2"/>
          <w:sz w:val="24"/>
        </w:rPr>
        <w:br/>
      </w:r>
    </w:p>
    <w:p w:rsidR="00323824" w:rsidRPr="0073591D" w:rsidRDefault="00323824" w:rsidP="00323824">
      <w:pPr>
        <w:numPr>
          <w:ilvl w:val="1"/>
          <w:numId w:val="32"/>
        </w:numPr>
        <w:rPr>
          <w:rFonts w:ascii="Arial" w:hAnsi="Arial"/>
          <w:b/>
          <w:sz w:val="28"/>
        </w:rPr>
      </w:pPr>
      <w:r w:rsidRPr="0073591D">
        <w:rPr>
          <w:rFonts w:ascii="Arial" w:hAnsi="Arial" w:cs="Arial"/>
          <w:bCs/>
          <w:sz w:val="24"/>
          <w:szCs w:val="24"/>
        </w:rPr>
        <w:t>INSTRUCTIONS FOR USE Anti-Human Globulin Anti-IgG (Rabbit) MTS™ Anti-IgG Card, Version 2.0</w:t>
      </w:r>
    </w:p>
    <w:p w:rsidR="00323824" w:rsidRDefault="00323824" w:rsidP="00323824">
      <w:pPr>
        <w:tabs>
          <w:tab w:val="left" w:pos="-720"/>
          <w:tab w:val="left" w:pos="0"/>
        </w:tabs>
        <w:suppressAutoHyphens/>
        <w:spacing w:line="228" w:lineRule="auto"/>
        <w:ind w:left="1080"/>
        <w:rPr>
          <w:rFonts w:ascii="Arial" w:hAnsi="Arial"/>
          <w:spacing w:val="-2"/>
          <w:sz w:val="24"/>
        </w:rPr>
      </w:pPr>
    </w:p>
    <w:p w:rsidR="00076BE5" w:rsidRDefault="00076BE5" w:rsidP="00323824">
      <w:pPr>
        <w:tabs>
          <w:tab w:val="left" w:pos="-720"/>
          <w:tab w:val="left" w:pos="0"/>
        </w:tabs>
        <w:suppressAutoHyphens/>
        <w:spacing w:line="228" w:lineRule="auto"/>
        <w:ind w:left="1080"/>
        <w:rPr>
          <w:rFonts w:ascii="Arial" w:hAnsi="Arial"/>
          <w:spacing w:val="-2"/>
          <w:sz w:val="24"/>
        </w:rPr>
      </w:pPr>
    </w:p>
    <w:p w:rsidR="00076BE5" w:rsidRPr="00EB40E8" w:rsidRDefault="00076BE5" w:rsidP="00076BE5">
      <w:pPr>
        <w:numPr>
          <w:ilvl w:val="0"/>
          <w:numId w:val="34"/>
        </w:numPr>
        <w:tabs>
          <w:tab w:val="left" w:pos="-720"/>
        </w:tabs>
        <w:suppressAutoHyphens/>
        <w:rPr>
          <w:rFonts w:ascii="Arial" w:hAnsi="Arial"/>
          <w:b/>
          <w:spacing w:val="-2"/>
          <w:sz w:val="28"/>
          <w:lang w:val="fr-CA"/>
        </w:rPr>
      </w:pPr>
      <w:r w:rsidRPr="00EB40E8">
        <w:rPr>
          <w:rFonts w:ascii="Arial" w:hAnsi="Arial"/>
          <w:b/>
          <w:spacing w:val="-2"/>
          <w:sz w:val="28"/>
          <w:lang w:val="fr-CA"/>
        </w:rPr>
        <w:t>Suivi des révisions</w:t>
      </w:r>
    </w:p>
    <w:p w:rsidR="00076BE5" w:rsidRPr="00EB40E8" w:rsidRDefault="00076BE5" w:rsidP="00076BE5">
      <w:pPr>
        <w:tabs>
          <w:tab w:val="left" w:pos="-720"/>
        </w:tabs>
        <w:suppressAutoHyphens/>
        <w:ind w:left="720"/>
        <w:rPr>
          <w:rFonts w:ascii="Arial" w:hAnsi="Arial"/>
          <w:b/>
          <w:spacing w:val="-2"/>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5738"/>
      </w:tblGrid>
      <w:tr w:rsidR="00076BE5" w:rsidRPr="00EB40E8" w:rsidTr="00375057">
        <w:tc>
          <w:tcPr>
            <w:tcW w:w="3085" w:type="dxa"/>
            <w:tcBorders>
              <w:top w:val="single" w:sz="4" w:space="0" w:color="auto"/>
              <w:left w:val="single" w:sz="4" w:space="0" w:color="auto"/>
              <w:bottom w:val="single" w:sz="4" w:space="0" w:color="auto"/>
              <w:right w:val="single" w:sz="4" w:space="0" w:color="auto"/>
            </w:tcBorders>
            <w:shd w:val="clear" w:color="auto" w:fill="D9D9D9"/>
            <w:hideMark/>
          </w:tcPr>
          <w:p w:rsidR="00076BE5" w:rsidRPr="00EB40E8" w:rsidRDefault="00076BE5" w:rsidP="00375057">
            <w:pPr>
              <w:jc w:val="center"/>
              <w:rPr>
                <w:rFonts w:ascii="Arial" w:hAnsi="Arial" w:cs="Arial"/>
                <w:b/>
                <w:sz w:val="22"/>
                <w:szCs w:val="22"/>
                <w:lang w:val="fr-CA"/>
              </w:rPr>
            </w:pPr>
            <w:r w:rsidRPr="00EB40E8">
              <w:rPr>
                <w:rFonts w:ascii="Arial" w:hAnsi="Arial" w:cs="Arial"/>
                <w:b/>
                <w:sz w:val="22"/>
                <w:szCs w:val="22"/>
                <w:lang w:val="fr-CA"/>
              </w:rPr>
              <w:t>Date de la révision</w:t>
            </w:r>
          </w:p>
        </w:tc>
        <w:tc>
          <w:tcPr>
            <w:tcW w:w="5771" w:type="dxa"/>
            <w:tcBorders>
              <w:top w:val="single" w:sz="4" w:space="0" w:color="auto"/>
              <w:left w:val="single" w:sz="4" w:space="0" w:color="auto"/>
              <w:bottom w:val="single" w:sz="4" w:space="0" w:color="auto"/>
              <w:right w:val="single" w:sz="4" w:space="0" w:color="auto"/>
            </w:tcBorders>
            <w:shd w:val="clear" w:color="auto" w:fill="D9D9D9"/>
            <w:hideMark/>
          </w:tcPr>
          <w:p w:rsidR="00076BE5" w:rsidRPr="00EB40E8" w:rsidRDefault="00076BE5" w:rsidP="00076BE5">
            <w:pPr>
              <w:numPr>
                <w:ilvl w:val="0"/>
                <w:numId w:val="35"/>
              </w:numPr>
              <w:jc w:val="center"/>
              <w:rPr>
                <w:rFonts w:ascii="Arial" w:hAnsi="Arial" w:cs="Arial"/>
                <w:b/>
                <w:sz w:val="22"/>
                <w:szCs w:val="22"/>
                <w:lang w:val="fr-CA"/>
              </w:rPr>
            </w:pPr>
            <w:r w:rsidRPr="00EB40E8">
              <w:rPr>
                <w:rFonts w:ascii="Arial" w:hAnsi="Arial" w:cs="Arial"/>
                <w:b/>
                <w:sz w:val="22"/>
                <w:szCs w:val="22"/>
                <w:lang w:val="fr-CA"/>
              </w:rPr>
              <w:t>Résumé des changements</w:t>
            </w:r>
          </w:p>
        </w:tc>
      </w:tr>
      <w:tr w:rsidR="00076BE5" w:rsidRPr="00EB40E8" w:rsidTr="00375057">
        <w:tc>
          <w:tcPr>
            <w:tcW w:w="3085" w:type="dxa"/>
            <w:tcBorders>
              <w:top w:val="single" w:sz="4" w:space="0" w:color="auto"/>
              <w:left w:val="single" w:sz="4" w:space="0" w:color="auto"/>
              <w:bottom w:val="single" w:sz="4" w:space="0" w:color="auto"/>
              <w:right w:val="single" w:sz="4" w:space="0" w:color="auto"/>
            </w:tcBorders>
            <w:shd w:val="clear" w:color="auto" w:fill="auto"/>
          </w:tcPr>
          <w:p w:rsidR="00076BE5" w:rsidRPr="00EB40E8" w:rsidRDefault="00076BE5" w:rsidP="00375057">
            <w:pPr>
              <w:pStyle w:val="Header"/>
              <w:tabs>
                <w:tab w:val="left" w:pos="720"/>
              </w:tabs>
              <w:rPr>
                <w:rFonts w:ascii="Arial" w:hAnsi="Arial" w:cs="Arial"/>
                <w:sz w:val="22"/>
                <w:szCs w:val="22"/>
                <w:lang w:val="fr-CA"/>
              </w:rPr>
            </w:pPr>
            <w:r w:rsidRPr="00EB40E8">
              <w:rPr>
                <w:rFonts w:ascii="Arial" w:hAnsi="Arial" w:cs="Arial"/>
                <w:sz w:val="22"/>
                <w:szCs w:val="22"/>
                <w:lang w:val="fr-CA"/>
              </w:rPr>
              <w:t>30 avril 2014</w:t>
            </w:r>
          </w:p>
        </w:tc>
        <w:tc>
          <w:tcPr>
            <w:tcW w:w="5771" w:type="dxa"/>
            <w:tcBorders>
              <w:top w:val="single" w:sz="4" w:space="0" w:color="auto"/>
              <w:left w:val="single" w:sz="4" w:space="0" w:color="auto"/>
              <w:bottom w:val="single" w:sz="4" w:space="0" w:color="auto"/>
              <w:right w:val="single" w:sz="4" w:space="0" w:color="auto"/>
            </w:tcBorders>
            <w:shd w:val="clear" w:color="auto" w:fill="auto"/>
          </w:tcPr>
          <w:p w:rsidR="00076BE5" w:rsidRPr="00EB40E8" w:rsidRDefault="00076BE5" w:rsidP="00076BE5">
            <w:pPr>
              <w:pStyle w:val="ListParagraph"/>
              <w:numPr>
                <w:ilvl w:val="0"/>
                <w:numId w:val="35"/>
              </w:numPr>
              <w:contextualSpacing/>
              <w:rPr>
                <w:rFonts w:ascii="Arial" w:hAnsi="Arial" w:cs="Arial"/>
                <w:sz w:val="22"/>
                <w:szCs w:val="22"/>
                <w:lang w:val="fr-CA"/>
              </w:rPr>
            </w:pPr>
            <w:r w:rsidRPr="00EB40E8">
              <w:rPr>
                <w:rFonts w:ascii="Arial" w:hAnsi="Arial" w:cs="Arial"/>
                <w:sz w:val="22"/>
                <w:szCs w:val="22"/>
                <w:lang w:val="fr-CA"/>
              </w:rPr>
              <w:t xml:space="preserve">Changement du nom du manuel </w:t>
            </w:r>
          </w:p>
          <w:p w:rsidR="00076BE5" w:rsidRPr="00EB40E8" w:rsidRDefault="00076BE5" w:rsidP="00076BE5">
            <w:pPr>
              <w:pStyle w:val="Header"/>
              <w:numPr>
                <w:ilvl w:val="0"/>
                <w:numId w:val="35"/>
              </w:numPr>
              <w:tabs>
                <w:tab w:val="left" w:pos="601"/>
              </w:tabs>
              <w:rPr>
                <w:rFonts w:ascii="Arial" w:hAnsi="Arial" w:cs="Arial"/>
                <w:sz w:val="22"/>
                <w:szCs w:val="22"/>
                <w:lang w:val="fr-CA"/>
              </w:rPr>
            </w:pPr>
            <w:r w:rsidRPr="00EB40E8">
              <w:rPr>
                <w:rFonts w:ascii="Arial" w:hAnsi="Arial"/>
                <w:sz w:val="22"/>
                <w:szCs w:val="22"/>
                <w:lang w:val="fr-CA"/>
              </w:rPr>
              <w:tab/>
              <w:t>Changement du numéro du document anciennement T</w:t>
            </w:r>
            <w:r w:rsidRPr="00EB40E8">
              <w:rPr>
                <w:rFonts w:ascii="Arial" w:hAnsi="Arial" w:cs="Arial"/>
                <w:sz w:val="22"/>
                <w:szCs w:val="22"/>
                <w:lang w:val="fr-CA"/>
              </w:rPr>
              <w:t>G.00</w:t>
            </w:r>
            <w:r>
              <w:rPr>
                <w:rFonts w:ascii="Arial" w:hAnsi="Arial" w:cs="Arial"/>
                <w:sz w:val="22"/>
                <w:szCs w:val="22"/>
                <w:lang w:val="fr-CA"/>
              </w:rPr>
              <w:t>9</w:t>
            </w:r>
            <w:r w:rsidRPr="00EB40E8">
              <w:rPr>
                <w:rFonts w:ascii="Arial" w:hAnsi="Arial" w:cs="Arial"/>
                <w:sz w:val="22"/>
                <w:szCs w:val="22"/>
                <w:lang w:val="fr-CA"/>
              </w:rPr>
              <w:t>, maintenant TG.0</w:t>
            </w:r>
            <w:r>
              <w:rPr>
                <w:rFonts w:ascii="Arial" w:hAnsi="Arial" w:cs="Arial"/>
                <w:sz w:val="22"/>
                <w:szCs w:val="22"/>
                <w:lang w:val="fr-CA"/>
              </w:rPr>
              <w:t>1</w:t>
            </w:r>
            <w:r w:rsidRPr="00EB40E8">
              <w:rPr>
                <w:rFonts w:ascii="Arial" w:hAnsi="Arial" w:cs="Arial"/>
                <w:sz w:val="22"/>
                <w:szCs w:val="22"/>
                <w:lang w:val="fr-CA"/>
              </w:rPr>
              <w:t>0</w:t>
            </w:r>
          </w:p>
          <w:p w:rsidR="00076BE5" w:rsidRDefault="00076BE5" w:rsidP="00076BE5">
            <w:pPr>
              <w:pStyle w:val="Header"/>
              <w:numPr>
                <w:ilvl w:val="0"/>
                <w:numId w:val="35"/>
              </w:numPr>
              <w:tabs>
                <w:tab w:val="left" w:pos="601"/>
              </w:tabs>
              <w:rPr>
                <w:rFonts w:ascii="Arial" w:hAnsi="Arial" w:cs="Arial"/>
                <w:sz w:val="22"/>
                <w:szCs w:val="22"/>
                <w:lang w:val="fr-CA"/>
              </w:rPr>
            </w:pPr>
            <w:r w:rsidRPr="00EB40E8">
              <w:rPr>
                <w:rFonts w:ascii="Arial" w:hAnsi="Arial" w:cs="Arial"/>
                <w:sz w:val="22"/>
                <w:szCs w:val="22"/>
                <w:lang w:val="fr-CA"/>
              </w:rPr>
              <w:tab/>
            </w:r>
            <w:r w:rsidR="000E2E03">
              <w:rPr>
                <w:rFonts w:ascii="Arial" w:hAnsi="Arial" w:cs="Arial"/>
                <w:sz w:val="22"/>
                <w:szCs w:val="22"/>
                <w:lang w:val="fr-CA"/>
              </w:rPr>
              <w:t xml:space="preserve">Changement du libellé de la </w:t>
            </w:r>
            <w:r w:rsidRPr="00EB40E8">
              <w:rPr>
                <w:rFonts w:ascii="Arial" w:hAnsi="Arial" w:cs="Arial"/>
                <w:sz w:val="22"/>
                <w:szCs w:val="22"/>
                <w:lang w:val="fr-CA"/>
              </w:rPr>
              <w:t xml:space="preserve">section 1.0 </w:t>
            </w:r>
          </w:p>
          <w:p w:rsidR="0001673C" w:rsidRPr="00EB40E8" w:rsidRDefault="0001673C" w:rsidP="0001673C">
            <w:pPr>
              <w:pStyle w:val="Header"/>
              <w:numPr>
                <w:ilvl w:val="0"/>
                <w:numId w:val="35"/>
              </w:numPr>
              <w:tabs>
                <w:tab w:val="left" w:pos="743"/>
              </w:tabs>
              <w:rPr>
                <w:rFonts w:ascii="Arial" w:hAnsi="Arial" w:cs="Arial"/>
                <w:sz w:val="22"/>
                <w:szCs w:val="22"/>
                <w:lang w:val="fr-CA"/>
              </w:rPr>
            </w:pPr>
            <w:r>
              <w:rPr>
                <w:rFonts w:ascii="Arial" w:hAnsi="Arial" w:cs="Arial"/>
                <w:sz w:val="22"/>
                <w:szCs w:val="22"/>
                <w:lang w:val="fr-CA"/>
              </w:rPr>
              <w:t xml:space="preserve"> </w:t>
            </w:r>
            <w:r w:rsidR="00A1134A">
              <w:rPr>
                <w:rFonts w:ascii="Arial" w:hAnsi="Arial" w:cs="Arial"/>
                <w:sz w:val="22"/>
                <w:szCs w:val="22"/>
                <w:lang w:val="fr-CA"/>
              </w:rPr>
              <w:t>À la section 3.0m p</w:t>
            </w:r>
            <w:r>
              <w:rPr>
                <w:rFonts w:ascii="Arial" w:hAnsi="Arial" w:cs="Arial"/>
                <w:sz w:val="22"/>
                <w:szCs w:val="22"/>
                <w:lang w:val="fr-CA"/>
              </w:rPr>
              <w:t xml:space="preserve">récision sur l’échantillon en et ajout de </w:t>
            </w:r>
            <w:r w:rsidR="00A1134A">
              <w:rPr>
                <w:rFonts w:ascii="Arial" w:hAnsi="Arial" w:cs="Arial"/>
                <w:sz w:val="22"/>
                <w:szCs w:val="22"/>
                <w:lang w:val="fr-CA"/>
              </w:rPr>
              <w:t>« </w:t>
            </w:r>
            <w:r>
              <w:rPr>
                <w:rFonts w:ascii="Arial" w:hAnsi="Arial" w:cs="Arial"/>
                <w:sz w:val="22"/>
                <w:szCs w:val="22"/>
                <w:lang w:val="fr-CA"/>
              </w:rPr>
              <w:t xml:space="preserve">Voir la </w:t>
            </w:r>
            <w:r w:rsidR="00A1134A">
              <w:rPr>
                <w:rFonts w:ascii="Arial" w:hAnsi="Arial" w:cs="Arial"/>
                <w:sz w:val="22"/>
                <w:szCs w:val="22"/>
                <w:lang w:val="fr-CA"/>
              </w:rPr>
              <w:t>R</w:t>
            </w:r>
            <w:r>
              <w:rPr>
                <w:rFonts w:ascii="Arial" w:hAnsi="Arial" w:cs="Arial"/>
                <w:sz w:val="22"/>
                <w:szCs w:val="22"/>
                <w:lang w:val="fr-CA"/>
              </w:rPr>
              <w:t>emarque 8.4</w:t>
            </w:r>
            <w:r w:rsidR="00A1134A">
              <w:rPr>
                <w:rFonts w:ascii="Arial" w:hAnsi="Arial" w:cs="Arial"/>
                <w:sz w:val="22"/>
                <w:szCs w:val="22"/>
                <w:lang w:val="fr-CA"/>
              </w:rPr>
              <w:t> ».</w:t>
            </w:r>
          </w:p>
          <w:p w:rsidR="00076BE5" w:rsidRPr="00EB40E8" w:rsidRDefault="0001673C" w:rsidP="000E2E03">
            <w:pPr>
              <w:pStyle w:val="Header"/>
              <w:numPr>
                <w:ilvl w:val="0"/>
                <w:numId w:val="35"/>
              </w:numPr>
              <w:tabs>
                <w:tab w:val="left" w:pos="743"/>
              </w:tabs>
              <w:rPr>
                <w:rFonts w:ascii="Arial" w:hAnsi="Arial" w:cs="Arial"/>
                <w:sz w:val="22"/>
                <w:szCs w:val="22"/>
                <w:lang w:val="fr-CA"/>
              </w:rPr>
            </w:pPr>
            <w:r>
              <w:rPr>
                <w:rFonts w:ascii="Arial" w:hAnsi="Arial" w:cs="Arial"/>
                <w:sz w:val="22"/>
                <w:szCs w:val="22"/>
                <w:lang w:val="fr-CA"/>
              </w:rPr>
              <w:t>Renumérotation de la section 5.0</w:t>
            </w:r>
            <w:r w:rsidR="00A1134A">
              <w:rPr>
                <w:rFonts w:ascii="Arial" w:hAnsi="Arial" w:cs="Arial"/>
                <w:sz w:val="22"/>
                <w:szCs w:val="22"/>
                <w:lang w:val="fr-CA"/>
              </w:rPr>
              <w:t xml:space="preserve"> </w:t>
            </w:r>
          </w:p>
          <w:p w:rsidR="00076BE5" w:rsidRDefault="000E2E03" w:rsidP="00076BE5">
            <w:pPr>
              <w:pStyle w:val="Header"/>
              <w:numPr>
                <w:ilvl w:val="0"/>
                <w:numId w:val="35"/>
              </w:numPr>
              <w:tabs>
                <w:tab w:val="left" w:pos="720"/>
              </w:tabs>
              <w:rPr>
                <w:rFonts w:ascii="Arial" w:hAnsi="Arial" w:cs="Arial"/>
                <w:sz w:val="22"/>
                <w:szCs w:val="22"/>
                <w:lang w:val="fr-CA"/>
              </w:rPr>
            </w:pPr>
            <w:r>
              <w:rPr>
                <w:rFonts w:ascii="Arial" w:hAnsi="Arial" w:cs="Arial"/>
                <w:sz w:val="22"/>
                <w:szCs w:val="22"/>
                <w:lang w:val="fr-CA"/>
              </w:rPr>
              <w:t>Révision et re</w:t>
            </w:r>
            <w:r w:rsidR="00076BE5" w:rsidRPr="00EB40E8">
              <w:rPr>
                <w:rFonts w:ascii="Arial" w:hAnsi="Arial" w:cs="Arial"/>
                <w:sz w:val="22"/>
                <w:szCs w:val="22"/>
                <w:lang w:val="fr-CA"/>
              </w:rPr>
              <w:t>numérotation de</w:t>
            </w:r>
            <w:r>
              <w:rPr>
                <w:rFonts w:ascii="Arial" w:hAnsi="Arial" w:cs="Arial"/>
                <w:sz w:val="22"/>
                <w:szCs w:val="22"/>
                <w:lang w:val="fr-CA"/>
              </w:rPr>
              <w:t>s</w:t>
            </w:r>
            <w:r w:rsidR="00076BE5" w:rsidRPr="00EB40E8">
              <w:rPr>
                <w:rFonts w:ascii="Arial" w:hAnsi="Arial" w:cs="Arial"/>
                <w:sz w:val="22"/>
                <w:szCs w:val="22"/>
                <w:lang w:val="fr-CA"/>
              </w:rPr>
              <w:t xml:space="preserve"> section</w:t>
            </w:r>
            <w:r>
              <w:rPr>
                <w:rFonts w:ascii="Arial" w:hAnsi="Arial" w:cs="Arial"/>
                <w:sz w:val="22"/>
                <w:szCs w:val="22"/>
                <w:lang w:val="fr-CA"/>
              </w:rPr>
              <w:t xml:space="preserve">s 6.0, 7.0 et </w:t>
            </w:r>
            <w:r w:rsidR="00076BE5" w:rsidRPr="00EB40E8">
              <w:rPr>
                <w:rFonts w:ascii="Arial" w:hAnsi="Arial" w:cs="Arial"/>
                <w:sz w:val="22"/>
                <w:szCs w:val="22"/>
                <w:lang w:val="fr-CA"/>
              </w:rPr>
              <w:t> 8.0</w:t>
            </w:r>
          </w:p>
          <w:p w:rsidR="00076BE5" w:rsidRPr="00EB40E8" w:rsidRDefault="00076BE5" w:rsidP="00076BE5">
            <w:pPr>
              <w:pStyle w:val="Header"/>
              <w:numPr>
                <w:ilvl w:val="0"/>
                <w:numId w:val="35"/>
              </w:numPr>
              <w:tabs>
                <w:tab w:val="left" w:pos="720"/>
              </w:tabs>
              <w:rPr>
                <w:rFonts w:ascii="Arial" w:hAnsi="Arial" w:cs="Arial"/>
                <w:sz w:val="22"/>
                <w:szCs w:val="22"/>
                <w:lang w:val="fr-CA"/>
              </w:rPr>
            </w:pPr>
            <w:r w:rsidRPr="00EB40E8">
              <w:rPr>
                <w:rFonts w:ascii="Arial" w:hAnsi="Arial"/>
                <w:sz w:val="22"/>
                <w:lang w:val="fr-CA"/>
              </w:rPr>
              <w:t xml:space="preserve">Mise à jour des références </w:t>
            </w:r>
          </w:p>
        </w:tc>
      </w:tr>
    </w:tbl>
    <w:p w:rsidR="00E25444" w:rsidRDefault="00E25444" w:rsidP="00A1134A">
      <w:pPr>
        <w:rPr>
          <w:rFonts w:ascii="Arial" w:hAnsi="Arial"/>
          <w:sz w:val="24"/>
          <w:lang w:val="fr-CA"/>
        </w:rPr>
      </w:pPr>
    </w:p>
    <w:sectPr w:rsidR="00E25444">
      <w:headerReference w:type="default" r:id="rId7"/>
      <w:footerReference w:type="default" r:id="rId8"/>
      <w:headerReference w:type="first" r:id="rId9"/>
      <w:footerReference w:type="first" r:id="rId10"/>
      <w:pgSz w:w="12240" w:h="15840" w:code="1"/>
      <w:pgMar w:top="1166" w:right="1627"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A9" w:rsidRDefault="007705A9">
      <w:r>
        <w:separator/>
      </w:r>
    </w:p>
  </w:endnote>
  <w:endnote w:type="continuationSeparator" w:id="0">
    <w:p w:rsidR="007705A9" w:rsidRDefault="0077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104A4">
      <w:trPr>
        <w:trHeight w:val="720"/>
      </w:trPr>
      <w:tc>
        <w:tcPr>
          <w:tcW w:w="1368" w:type="dxa"/>
        </w:tcPr>
        <w:p w:rsidR="00C104A4" w:rsidRDefault="00C104A4">
          <w:pPr>
            <w:pStyle w:val="Footer"/>
            <w:jc w:val="center"/>
            <w:rPr>
              <w:sz w:val="8"/>
            </w:rPr>
          </w:pPr>
        </w:p>
        <w:p w:rsidR="00C104A4" w:rsidRDefault="00B5680A">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ED6006" w:rsidRDefault="00ED6006" w:rsidP="00ED6006">
          <w:pPr>
            <w:pStyle w:val="Footer"/>
            <w:jc w:val="center"/>
            <w:rPr>
              <w:rFonts w:ascii="Arial" w:hAnsi="Arial"/>
              <w:sz w:val="18"/>
              <w:lang w:val="fr-CA"/>
            </w:rPr>
          </w:pPr>
        </w:p>
        <w:p w:rsidR="00323824" w:rsidRDefault="00323824" w:rsidP="00323824">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104A4" w:rsidRPr="0031680C" w:rsidRDefault="00323824" w:rsidP="00323824">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C104A4" w:rsidRPr="0031680C" w:rsidRDefault="00C104A4">
          <w:pPr>
            <w:pStyle w:val="Footer"/>
            <w:jc w:val="right"/>
            <w:rPr>
              <w:rFonts w:ascii="Arial" w:hAnsi="Arial"/>
              <w:sz w:val="18"/>
              <w:lang w:val="fr-CA"/>
            </w:rPr>
          </w:pPr>
        </w:p>
        <w:p w:rsidR="00C104A4" w:rsidRDefault="00C104A4" w:rsidP="002A1052">
          <w:pPr>
            <w:pStyle w:val="Footer"/>
            <w:jc w:val="right"/>
            <w:rPr>
              <w:rFonts w:ascii="Arial" w:hAnsi="Arial"/>
              <w:sz w:val="18"/>
            </w:rPr>
          </w:pPr>
          <w:r>
            <w:rPr>
              <w:rFonts w:ascii="Arial" w:hAnsi="Arial"/>
              <w:sz w:val="18"/>
            </w:rPr>
            <w:t>TG.0</w:t>
          </w:r>
          <w:r w:rsidR="002A1052">
            <w:rPr>
              <w:rFonts w:ascii="Arial" w:hAnsi="Arial"/>
              <w:sz w:val="18"/>
            </w:rPr>
            <w:t>1</w:t>
          </w:r>
          <w:r>
            <w:rPr>
              <w:rFonts w:ascii="Arial" w:hAnsi="Arial"/>
              <w:sz w:val="18"/>
            </w:rPr>
            <w:t>0</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E27A0">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E27A0">
            <w:rPr>
              <w:rFonts w:ascii="Arial" w:hAnsi="Arial"/>
              <w:noProof/>
              <w:snapToGrid w:val="0"/>
              <w:sz w:val="18"/>
            </w:rPr>
            <w:t>8</w:t>
          </w:r>
          <w:r>
            <w:rPr>
              <w:rFonts w:ascii="Arial" w:hAnsi="Arial"/>
              <w:snapToGrid w:val="0"/>
              <w:sz w:val="18"/>
            </w:rPr>
            <w:fldChar w:fldCharType="end"/>
          </w:r>
        </w:p>
      </w:tc>
    </w:tr>
  </w:tbl>
  <w:p w:rsidR="00C104A4" w:rsidRDefault="00C1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104A4">
      <w:trPr>
        <w:trHeight w:val="720"/>
      </w:trPr>
      <w:tc>
        <w:tcPr>
          <w:tcW w:w="1368" w:type="dxa"/>
        </w:tcPr>
        <w:p w:rsidR="00C104A4" w:rsidRDefault="00C104A4">
          <w:pPr>
            <w:pStyle w:val="Footer"/>
            <w:jc w:val="center"/>
            <w:rPr>
              <w:rFonts w:ascii="Verdana" w:hAnsi="Verdana"/>
              <w:sz w:val="8"/>
            </w:rPr>
          </w:pPr>
        </w:p>
        <w:p w:rsidR="00C104A4" w:rsidRDefault="00B5680A">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C104A4" w:rsidRDefault="00C104A4">
          <w:pPr>
            <w:pStyle w:val="Footer"/>
            <w:jc w:val="center"/>
            <w:rPr>
              <w:rFonts w:ascii="Arial" w:hAnsi="Arial"/>
              <w:sz w:val="18"/>
            </w:rPr>
          </w:pPr>
        </w:p>
        <w:p w:rsidR="00323824" w:rsidRDefault="00323824" w:rsidP="00323824">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104A4" w:rsidRPr="0031680C" w:rsidRDefault="00323824" w:rsidP="00323824">
          <w:pPr>
            <w:pStyle w:val="Footer"/>
            <w:jc w:val="center"/>
            <w:rPr>
              <w:rFonts w:ascii="Arial" w:hAnsi="Arial"/>
              <w:sz w:val="18"/>
              <w:lang w:val="fr-CA"/>
            </w:rPr>
          </w:pPr>
          <w:r>
            <w:rPr>
              <w:rFonts w:ascii="Arial" w:hAnsi="Arial"/>
              <w:sz w:val="18"/>
              <w:lang w:val="fr-CA"/>
            </w:rPr>
            <w:t>Manuel de ressources techniques en transfusion de l’Ontario</w:t>
          </w:r>
          <w:r w:rsidRPr="0031680C">
            <w:rPr>
              <w:rFonts w:ascii="Arial" w:hAnsi="Arial"/>
              <w:sz w:val="18"/>
              <w:lang w:val="fr-CA"/>
            </w:rPr>
            <w:t xml:space="preserve"> </w:t>
          </w:r>
        </w:p>
      </w:tc>
      <w:tc>
        <w:tcPr>
          <w:tcW w:w="1494" w:type="dxa"/>
        </w:tcPr>
        <w:p w:rsidR="00C104A4" w:rsidRPr="0031680C" w:rsidRDefault="00C104A4">
          <w:pPr>
            <w:pStyle w:val="Footer"/>
            <w:jc w:val="right"/>
            <w:rPr>
              <w:rFonts w:ascii="Arial" w:hAnsi="Arial"/>
              <w:sz w:val="18"/>
              <w:lang w:val="fr-CA"/>
            </w:rPr>
          </w:pPr>
        </w:p>
        <w:p w:rsidR="00C104A4" w:rsidRDefault="00C104A4" w:rsidP="002A1052">
          <w:pPr>
            <w:pStyle w:val="Footer"/>
            <w:jc w:val="right"/>
            <w:rPr>
              <w:rFonts w:ascii="Arial" w:hAnsi="Arial"/>
              <w:sz w:val="18"/>
            </w:rPr>
          </w:pPr>
          <w:r>
            <w:rPr>
              <w:rFonts w:ascii="Arial" w:hAnsi="Arial"/>
              <w:sz w:val="18"/>
            </w:rPr>
            <w:t>TG.0</w:t>
          </w:r>
          <w:r w:rsidR="002A1052">
            <w:rPr>
              <w:rFonts w:ascii="Arial" w:hAnsi="Arial"/>
              <w:sz w:val="18"/>
            </w:rPr>
            <w:t>1</w:t>
          </w:r>
          <w:r>
            <w:rPr>
              <w:rFonts w:ascii="Arial" w:hAnsi="Arial"/>
              <w:sz w:val="18"/>
            </w:rPr>
            <w:t>0</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AE27A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AE27A0">
            <w:rPr>
              <w:rFonts w:ascii="Arial" w:hAnsi="Arial"/>
              <w:noProof/>
              <w:snapToGrid w:val="0"/>
              <w:sz w:val="18"/>
            </w:rPr>
            <w:t>1</w:t>
          </w:r>
          <w:r>
            <w:rPr>
              <w:rFonts w:ascii="Arial" w:hAnsi="Arial"/>
              <w:snapToGrid w:val="0"/>
              <w:sz w:val="18"/>
            </w:rPr>
            <w:fldChar w:fldCharType="end"/>
          </w:r>
        </w:p>
      </w:tc>
    </w:tr>
  </w:tbl>
  <w:p w:rsidR="00C104A4" w:rsidRDefault="00C1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A9" w:rsidRDefault="007705A9">
      <w:r>
        <w:separator/>
      </w:r>
    </w:p>
  </w:footnote>
  <w:footnote w:type="continuationSeparator" w:id="0">
    <w:p w:rsidR="007705A9" w:rsidRDefault="0077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A4" w:rsidRPr="00904C17" w:rsidRDefault="00FC67E9" w:rsidP="001459DB">
    <w:pPr>
      <w:pStyle w:val="Header"/>
      <w:jc w:val="center"/>
      <w:rPr>
        <w:rFonts w:ascii="Arial" w:hAnsi="Arial"/>
        <w:b/>
        <w:sz w:val="28"/>
        <w:lang w:val="fr-CA"/>
      </w:rPr>
    </w:pPr>
    <w:r>
      <w:rPr>
        <w:rFonts w:ascii="Arial" w:hAnsi="Arial"/>
        <w:b/>
        <w:sz w:val="28"/>
        <w:lang w:val="fr-CA"/>
      </w:rPr>
      <w:t xml:space="preserve">Anticorps immuns </w:t>
    </w:r>
    <w:r w:rsidR="00C104A4" w:rsidRPr="00904C17">
      <w:rPr>
        <w:rFonts w:ascii="Arial" w:hAnsi="Arial"/>
        <w:b/>
        <w:sz w:val="28"/>
        <w:lang w:val="fr-CA"/>
      </w:rPr>
      <w:t>A/B</w:t>
    </w:r>
    <w:r>
      <w:rPr>
        <w:rFonts w:ascii="Arial" w:hAnsi="Arial"/>
        <w:b/>
        <w:sz w:val="28"/>
        <w:lang w:val="fr-CA"/>
      </w:rPr>
      <w:t xml:space="preserve"> </w:t>
    </w:r>
    <w:r w:rsidR="00C104A4" w:rsidRPr="00904C17">
      <w:rPr>
        <w:rFonts w:ascii="Arial" w:hAnsi="Arial"/>
        <w:b/>
        <w:sz w:val="28"/>
        <w:lang w:val="fr-CA"/>
      </w:rPr>
      <w:t>- carte de gel anti-IgG</w:t>
    </w:r>
  </w:p>
  <w:p w:rsidR="00C104A4" w:rsidRPr="0031680C" w:rsidRDefault="00C104A4" w:rsidP="001459DB">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06" w:rsidRDefault="00B5680A" w:rsidP="00ED6006">
    <w:pPr>
      <w:pStyle w:val="Header"/>
      <w:tabs>
        <w:tab w:val="clear" w:pos="8640"/>
        <w:tab w:val="left" w:pos="5057"/>
      </w:tabs>
    </w:pPr>
    <w:r>
      <w:rPr>
        <w:noProof/>
      </w:rPr>
      <w:drawing>
        <wp:inline distT="0" distB="0" distL="0" distR="0">
          <wp:extent cx="1552575" cy="52387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31680C" w:rsidRDefault="0031680C" w:rsidP="00ED6006">
    <w:pPr>
      <w:pStyle w:val="Header"/>
      <w:tabs>
        <w:tab w:val="clear" w:pos="8640"/>
        <w:tab w:val="left" w:pos="5057"/>
      </w:tabs>
    </w:pPr>
  </w:p>
  <w:p w:rsidR="00323824" w:rsidRPr="0031680C" w:rsidRDefault="00323824" w:rsidP="00323824">
    <w:pPr>
      <w:pStyle w:val="Header"/>
      <w:jc w:val="center"/>
      <w:rPr>
        <w:rFonts w:ascii="Arial" w:hAnsi="Arial" w:cs="Arial"/>
        <w:b/>
        <w:bCs/>
        <w:sz w:val="24"/>
        <w:szCs w:val="28"/>
        <w:lang w:val="fr-CA"/>
      </w:rPr>
    </w:pPr>
    <w:r w:rsidRPr="0031680C">
      <w:rPr>
        <w:rFonts w:ascii="Arial" w:hAnsi="Arial" w:cs="Arial"/>
        <w:b/>
        <w:bCs/>
        <w:sz w:val="24"/>
        <w:szCs w:val="28"/>
        <w:lang w:val="fr-CA"/>
      </w:rPr>
      <w:t>Réseau régional ontarien de coordination du sang</w:t>
    </w:r>
  </w:p>
  <w:p w:rsidR="00C104A4" w:rsidRPr="00904C17" w:rsidRDefault="00323824" w:rsidP="00323824">
    <w:pPr>
      <w:pStyle w:val="Header"/>
      <w:jc w:val="center"/>
      <w:rPr>
        <w:rFonts w:ascii="Arial" w:hAnsi="Arial" w:cs="Arial"/>
        <w:b/>
        <w:bCs/>
        <w:kern w:val="24"/>
        <w:sz w:val="22"/>
        <w:lang w:val="fr-CA"/>
      </w:rPr>
    </w:pPr>
    <w:r w:rsidRPr="0031680C">
      <w:rPr>
        <w:rFonts w:ascii="Arial" w:hAnsi="Arial" w:cs="Arial"/>
        <w:b/>
        <w:bCs/>
        <w:sz w:val="24"/>
        <w:szCs w:val="28"/>
        <w:lang w:val="fr-CA"/>
      </w:rPr>
      <w:t>Manuel de ressources techniques en transfusion de l’Ontario</w:t>
    </w:r>
    <w:r>
      <w:rPr>
        <w:rFonts w:ascii="Arial" w:hAnsi="Arial" w:cs="Arial"/>
        <w:b/>
        <w:bCs/>
        <w:sz w:val="28"/>
        <w:szCs w:val="28"/>
        <w:lang w:val="fr-CA"/>
      </w:rPr>
      <w:br/>
    </w:r>
  </w:p>
  <w:p w:rsidR="00C104A4" w:rsidRPr="00904C17" w:rsidRDefault="00C104A4">
    <w:pPr>
      <w:pStyle w:val="Header"/>
      <w:jc w:val="center"/>
      <w:rPr>
        <w:rFonts w:ascii="Arial" w:hAnsi="Arial"/>
        <w:b/>
        <w:sz w:val="28"/>
        <w:lang w:val="fr-CA"/>
      </w:rPr>
    </w:pPr>
    <w:r>
      <w:rPr>
        <w:rFonts w:ascii="Arial" w:hAnsi="Arial"/>
        <w:b/>
        <w:sz w:val="28"/>
        <w:lang w:val="fr-CA"/>
      </w:rPr>
      <w:t xml:space="preserve">Anticorps immuns </w:t>
    </w:r>
    <w:r w:rsidRPr="00904C17">
      <w:rPr>
        <w:rFonts w:ascii="Arial" w:hAnsi="Arial"/>
        <w:b/>
        <w:sz w:val="28"/>
        <w:lang w:val="fr-CA"/>
      </w:rPr>
      <w:t>A/B - carte de gel anti-IgG</w:t>
    </w:r>
  </w:p>
  <w:p w:rsidR="00C104A4" w:rsidRPr="00904C17" w:rsidRDefault="00C104A4">
    <w:pPr>
      <w:pStyle w:val="Header"/>
      <w:jc w:val="center"/>
      <w:rPr>
        <w:rFonts w:ascii="Arial" w:hAnsi="Arial"/>
        <w:b/>
        <w:sz w:val="28"/>
        <w:lang w:val="fr-CA"/>
      </w:rPr>
    </w:pPr>
  </w:p>
  <w:p w:rsidR="00C104A4" w:rsidRPr="00904C17" w:rsidRDefault="00C104A4">
    <w:pPr>
      <w:pStyle w:val="Header"/>
      <w:tabs>
        <w:tab w:val="left" w:pos="6617"/>
      </w:tabs>
      <w:rPr>
        <w:rFonts w:ascii="Arial" w:hAnsi="Arial" w:cs="Arial"/>
        <w:b/>
        <w:bCs/>
        <w:kern w:val="24"/>
        <w:lang w:val="fr-CA"/>
      </w:rPr>
    </w:pPr>
    <w:r w:rsidRPr="00904C17">
      <w:rPr>
        <w:rFonts w:ascii="Arial" w:hAnsi="Arial" w:cs="Arial"/>
        <w:b/>
        <w:bCs/>
        <w:lang w:val="fr-CA"/>
      </w:rPr>
      <w:tab/>
    </w:r>
    <w:r w:rsidR="00B5680A" w:rsidRPr="00904C17">
      <w:rPr>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259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07"/>
      <w:gridCol w:w="4406"/>
    </w:tblGrid>
    <w:tr w:rsidR="00C104A4" w:rsidRPr="00904C17">
      <w:tc>
        <w:tcPr>
          <w:tcW w:w="4428" w:type="dxa"/>
        </w:tcPr>
        <w:p w:rsidR="00C104A4" w:rsidRPr="00904C17" w:rsidRDefault="00C104A4" w:rsidP="002A1052">
          <w:pPr>
            <w:pStyle w:val="Header"/>
            <w:rPr>
              <w:rFonts w:ascii="Arial" w:hAnsi="Arial" w:cs="Arial"/>
              <w:kern w:val="24"/>
              <w:lang w:val="fr-CA"/>
            </w:rPr>
          </w:pPr>
          <w:r w:rsidRPr="00904C17">
            <w:rPr>
              <w:rFonts w:ascii="Arial" w:hAnsi="Arial" w:cs="Arial"/>
              <w:lang w:val="fr-CA"/>
            </w:rPr>
            <w:t>Approbation :</w:t>
          </w:r>
          <w:r w:rsidR="00ED6006">
            <w:rPr>
              <w:rFonts w:ascii="Arial" w:hAnsi="Arial" w:cs="Arial"/>
              <w:lang w:val="fr-CA"/>
            </w:rPr>
            <w:t xml:space="preserve"> </w:t>
          </w:r>
        </w:p>
      </w:tc>
      <w:tc>
        <w:tcPr>
          <w:tcW w:w="4428" w:type="dxa"/>
        </w:tcPr>
        <w:p w:rsidR="00C104A4" w:rsidRPr="00904C17" w:rsidRDefault="00C104A4" w:rsidP="002A1052">
          <w:pPr>
            <w:pStyle w:val="Header"/>
            <w:rPr>
              <w:rFonts w:ascii="Arial" w:hAnsi="Arial" w:cs="Arial"/>
              <w:kern w:val="24"/>
              <w:lang w:val="fr-CA"/>
            </w:rPr>
          </w:pPr>
          <w:r w:rsidRPr="00904C17">
            <w:rPr>
              <w:rFonts w:ascii="Arial" w:hAnsi="Arial" w:cs="Arial"/>
              <w:lang w:val="fr-CA"/>
            </w:rPr>
            <w:t>Document n</w:t>
          </w:r>
          <w:r w:rsidRPr="00904C17">
            <w:rPr>
              <w:rFonts w:ascii="Arial" w:hAnsi="Arial" w:cs="Arial"/>
              <w:vertAlign w:val="superscript"/>
              <w:lang w:val="fr-CA"/>
            </w:rPr>
            <w:t>o</w:t>
          </w:r>
          <w:r w:rsidRPr="00904C17">
            <w:rPr>
              <w:rFonts w:ascii="Arial" w:hAnsi="Arial" w:cs="Arial"/>
              <w:lang w:val="fr-CA"/>
            </w:rPr>
            <w:t xml:space="preserve"> : TG.0</w:t>
          </w:r>
          <w:r w:rsidR="002A1052">
            <w:rPr>
              <w:rFonts w:ascii="Arial" w:hAnsi="Arial" w:cs="Arial"/>
              <w:lang w:val="fr-CA"/>
            </w:rPr>
            <w:t>1</w:t>
          </w:r>
          <w:r w:rsidRPr="00904C17">
            <w:rPr>
              <w:rFonts w:ascii="Arial" w:hAnsi="Arial" w:cs="Arial"/>
              <w:lang w:val="fr-CA"/>
            </w:rPr>
            <w:t>0</w:t>
          </w:r>
        </w:p>
      </w:tc>
    </w:tr>
    <w:tr w:rsidR="00C104A4" w:rsidRPr="00904C17">
      <w:tc>
        <w:tcPr>
          <w:tcW w:w="4428" w:type="dxa"/>
        </w:tcPr>
        <w:p w:rsidR="00C104A4" w:rsidRPr="00904C17" w:rsidRDefault="00C104A4">
          <w:pPr>
            <w:pStyle w:val="Header"/>
            <w:rPr>
              <w:rFonts w:ascii="Arial" w:hAnsi="Arial" w:cs="Arial"/>
              <w:kern w:val="24"/>
              <w:lang w:val="fr-CA"/>
            </w:rPr>
          </w:pPr>
          <w:r w:rsidRPr="00904C17">
            <w:rPr>
              <w:rFonts w:ascii="Arial" w:hAnsi="Arial" w:cs="Arial"/>
              <w:lang w:val="fr-CA"/>
            </w:rPr>
            <w:t>Date de publication : 2006/0</w:t>
          </w:r>
          <w:r>
            <w:rPr>
              <w:rFonts w:ascii="Arial" w:hAnsi="Arial" w:cs="Arial"/>
              <w:lang w:val="fr-CA"/>
            </w:rPr>
            <w:t>8</w:t>
          </w:r>
          <w:r w:rsidRPr="00904C17">
            <w:rPr>
              <w:rFonts w:ascii="Arial" w:hAnsi="Arial" w:cs="Arial"/>
              <w:lang w:val="fr-CA"/>
            </w:rPr>
            <w:t>/01</w:t>
          </w:r>
        </w:p>
      </w:tc>
      <w:tc>
        <w:tcPr>
          <w:tcW w:w="4428" w:type="dxa"/>
        </w:tcPr>
        <w:p w:rsidR="00C104A4" w:rsidRPr="00904C17" w:rsidRDefault="00C104A4">
          <w:pPr>
            <w:pStyle w:val="Header"/>
            <w:rPr>
              <w:rFonts w:ascii="Arial" w:hAnsi="Arial" w:cs="Arial"/>
              <w:kern w:val="24"/>
              <w:lang w:val="fr-CA"/>
            </w:rPr>
          </w:pPr>
          <w:r w:rsidRPr="00904C17">
            <w:rPr>
              <w:rFonts w:ascii="Arial" w:hAnsi="Arial" w:cs="Arial"/>
              <w:lang w:val="fr-CA"/>
            </w:rPr>
            <w:t>Catégorie : Techniques en gel</w:t>
          </w:r>
        </w:p>
      </w:tc>
    </w:tr>
    <w:tr w:rsidR="00C104A4" w:rsidRPr="00904C17">
      <w:tc>
        <w:tcPr>
          <w:tcW w:w="4428" w:type="dxa"/>
        </w:tcPr>
        <w:p w:rsidR="00C104A4" w:rsidRPr="00904C17" w:rsidRDefault="00C104A4" w:rsidP="00056AA1">
          <w:pPr>
            <w:pStyle w:val="Header"/>
            <w:rPr>
              <w:rFonts w:ascii="Arial" w:hAnsi="Arial" w:cs="Arial"/>
              <w:kern w:val="24"/>
              <w:lang w:val="fr-CA"/>
            </w:rPr>
          </w:pPr>
          <w:r w:rsidRPr="00904C17">
            <w:rPr>
              <w:rFonts w:ascii="Arial" w:hAnsi="Arial" w:cs="Arial"/>
              <w:lang w:val="fr-CA"/>
            </w:rPr>
            <w:t xml:space="preserve">Date de révision </w:t>
          </w:r>
          <w:r w:rsidR="00056AA1" w:rsidRPr="00904C17">
            <w:rPr>
              <w:rFonts w:ascii="Arial" w:hAnsi="Arial" w:cs="Arial"/>
              <w:lang w:val="fr-CA"/>
            </w:rPr>
            <w:t>:</w:t>
          </w:r>
          <w:r w:rsidR="00ED6006">
            <w:rPr>
              <w:rFonts w:ascii="Arial" w:hAnsi="Arial" w:cs="Arial"/>
              <w:lang w:val="fr-CA"/>
            </w:rPr>
            <w:t xml:space="preserve"> 2009/12/31</w:t>
          </w:r>
          <w:r w:rsidR="00A1134A">
            <w:rPr>
              <w:rFonts w:ascii="Arial" w:hAnsi="Arial" w:cs="Arial"/>
              <w:lang w:val="fr-CA"/>
            </w:rPr>
            <w:t>; 2014/04/30</w:t>
          </w:r>
        </w:p>
      </w:tc>
      <w:tc>
        <w:tcPr>
          <w:tcW w:w="4428" w:type="dxa"/>
        </w:tcPr>
        <w:p w:rsidR="00C104A4" w:rsidRPr="00904C17" w:rsidRDefault="00C104A4">
          <w:pPr>
            <w:pStyle w:val="Header"/>
            <w:rPr>
              <w:rFonts w:ascii="Arial" w:hAnsi="Arial" w:cs="Arial"/>
              <w:kern w:val="24"/>
              <w:lang w:val="fr-CA"/>
            </w:rPr>
          </w:pPr>
          <w:r w:rsidRPr="00904C17">
            <w:rPr>
              <w:rFonts w:ascii="Arial" w:hAnsi="Arial" w:cs="Arial"/>
              <w:lang w:val="fr-CA"/>
            </w:rPr>
            <w:t xml:space="preserve">Pages : </w:t>
          </w:r>
          <w:r w:rsidRPr="00904C17">
            <w:rPr>
              <w:rFonts w:ascii="Arial" w:hAnsi="Arial" w:cs="Arial"/>
              <w:lang w:val="fr-CA"/>
            </w:rPr>
            <w:fldChar w:fldCharType="begin"/>
          </w:r>
          <w:r w:rsidRPr="00904C17">
            <w:rPr>
              <w:rFonts w:ascii="Arial" w:hAnsi="Arial" w:cs="Arial"/>
              <w:lang w:val="fr-CA"/>
            </w:rPr>
            <w:instrText xml:space="preserve"> NUMPAGES </w:instrText>
          </w:r>
          <w:r w:rsidRPr="00904C17">
            <w:rPr>
              <w:rFonts w:ascii="Arial" w:hAnsi="Arial" w:cs="Arial"/>
              <w:lang w:val="fr-CA"/>
            </w:rPr>
            <w:fldChar w:fldCharType="separate"/>
          </w:r>
          <w:r w:rsidR="00AE27A0">
            <w:rPr>
              <w:rFonts w:ascii="Arial" w:hAnsi="Arial" w:cs="Arial"/>
              <w:noProof/>
              <w:lang w:val="fr-CA"/>
            </w:rPr>
            <w:t>1</w:t>
          </w:r>
          <w:r w:rsidRPr="00904C17">
            <w:rPr>
              <w:rFonts w:ascii="Arial" w:hAnsi="Arial" w:cs="Arial"/>
              <w:lang w:val="fr-CA"/>
            </w:rPr>
            <w:fldChar w:fldCharType="end"/>
          </w:r>
        </w:p>
      </w:tc>
    </w:tr>
  </w:tbl>
  <w:p w:rsidR="00C104A4" w:rsidRPr="00DE3E9C" w:rsidRDefault="00B5680A">
    <w:pPr>
      <w:pStyle w:val="Header"/>
    </w:pPr>
    <w:r w:rsidRPr="00DE3E9C">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ACF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C104A4" w:rsidRPr="00DE3E9C">
      <w:tab/>
    </w:r>
  </w:p>
  <w:p w:rsidR="00C104A4" w:rsidRDefault="00C1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EEC"/>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924ECC"/>
    <w:multiLevelType w:val="multilevel"/>
    <w:tmpl w:val="A232DDA0"/>
    <w:lvl w:ilvl="0">
      <w:start w:val="9"/>
      <w:numFmt w:val="decimal"/>
      <w:lvlText w:val="%1.0"/>
      <w:lvlJc w:val="left"/>
      <w:pPr>
        <w:ind w:left="720" w:hanging="720"/>
      </w:pPr>
      <w:rPr>
        <w:rFonts w:hint="default"/>
      </w:rPr>
    </w:lvl>
    <w:lvl w:ilvl="1">
      <w:start w:val="1"/>
      <w:numFmt w:val="decimal"/>
      <w:lvlText w:val="%1.%2"/>
      <w:lvlJc w:val="left"/>
      <w:pPr>
        <w:ind w:left="143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D16870"/>
    <w:multiLevelType w:val="multilevel"/>
    <w:tmpl w:val="D592BA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CD69EA"/>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4A05F9"/>
    <w:multiLevelType w:val="multilevel"/>
    <w:tmpl w:val="88B63E9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20D42E2"/>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3E0C03"/>
    <w:multiLevelType w:val="singleLevel"/>
    <w:tmpl w:val="F064C122"/>
    <w:lvl w:ilvl="0">
      <w:start w:val="2"/>
      <w:numFmt w:val="decimal"/>
      <w:lvlText w:val="%1. "/>
      <w:legacy w:legacy="1" w:legacySpace="0" w:legacyIndent="360"/>
      <w:lvlJc w:val="left"/>
      <w:pPr>
        <w:ind w:left="1080" w:hanging="360"/>
      </w:pPr>
      <w:rPr>
        <w:b w:val="0"/>
        <w:i w:val="0"/>
        <w:sz w:val="20"/>
      </w:rPr>
    </w:lvl>
  </w:abstractNum>
  <w:abstractNum w:abstractNumId="8" w15:restartNumberingAfterBreak="0">
    <w:nsid w:val="14BF2A3F"/>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C20F9E"/>
    <w:multiLevelType w:val="hybridMultilevel"/>
    <w:tmpl w:val="E378F0CA"/>
    <w:lvl w:ilvl="0" w:tplc="032062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574A06"/>
    <w:multiLevelType w:val="singleLevel"/>
    <w:tmpl w:val="38AED7FA"/>
    <w:lvl w:ilvl="0">
      <w:start w:val="1"/>
      <w:numFmt w:val="decimal"/>
      <w:lvlText w:val="%1. "/>
      <w:legacy w:legacy="1" w:legacySpace="0" w:legacyIndent="360"/>
      <w:lvlJc w:val="left"/>
      <w:pPr>
        <w:ind w:left="1080" w:hanging="360"/>
      </w:pPr>
      <w:rPr>
        <w:b w:val="0"/>
        <w:i w:val="0"/>
        <w:sz w:val="20"/>
      </w:rPr>
    </w:lvl>
  </w:abstractNum>
  <w:abstractNum w:abstractNumId="11" w15:restartNumberingAfterBreak="0">
    <w:nsid w:val="1EF14C77"/>
    <w:multiLevelType w:val="multilevel"/>
    <w:tmpl w:val="F308F96C"/>
    <w:lvl w:ilvl="0">
      <w:start w:val="8"/>
      <w:numFmt w:val="decimal"/>
      <w:lvlText w:val="%1.0"/>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06A34B8"/>
    <w:multiLevelType w:val="multilevel"/>
    <w:tmpl w:val="7B141BD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254172C"/>
    <w:multiLevelType w:val="multilevel"/>
    <w:tmpl w:val="CDC0C2CA"/>
    <w:lvl w:ilvl="0">
      <w:start w:val="5"/>
      <w:numFmt w:val="decimal"/>
      <w:lvlText w:val="%1.4"/>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55566B8"/>
    <w:multiLevelType w:val="multilevel"/>
    <w:tmpl w:val="D592BA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EF3A7C"/>
    <w:multiLevelType w:val="multilevel"/>
    <w:tmpl w:val="D592BA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C3176E"/>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D402FC3"/>
    <w:multiLevelType w:val="multilevel"/>
    <w:tmpl w:val="FDC89B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430"/>
        </w:tabs>
        <w:ind w:left="243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79F0A38"/>
    <w:multiLevelType w:val="multilevel"/>
    <w:tmpl w:val="BA94473A"/>
    <w:lvl w:ilvl="0">
      <w:start w:val="8"/>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BB0209C"/>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CD45507"/>
    <w:multiLevelType w:val="multilevel"/>
    <w:tmpl w:val="C90A042E"/>
    <w:lvl w:ilvl="0">
      <w:start w:val="10"/>
      <w:numFmt w:val="decimal"/>
      <w:lvlText w:val="%1.0"/>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D012145"/>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8E208C"/>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5F47193"/>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7CF0C4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9690FFF"/>
    <w:multiLevelType w:val="singleLevel"/>
    <w:tmpl w:val="7EEED39E"/>
    <w:lvl w:ilvl="0">
      <w:start w:val="1"/>
      <w:numFmt w:val="decimal"/>
      <w:lvlText w:val="%1. "/>
      <w:legacy w:legacy="1" w:legacySpace="0" w:legacyIndent="360"/>
      <w:lvlJc w:val="left"/>
      <w:pPr>
        <w:ind w:left="1080" w:hanging="360"/>
      </w:pPr>
      <w:rPr>
        <w:b w:val="0"/>
        <w:i w:val="0"/>
        <w:sz w:val="20"/>
      </w:rPr>
    </w:lvl>
  </w:abstractNum>
  <w:abstractNum w:abstractNumId="26" w15:restartNumberingAfterBreak="0">
    <w:nsid w:val="532921EE"/>
    <w:multiLevelType w:val="singleLevel"/>
    <w:tmpl w:val="7EEED39E"/>
    <w:lvl w:ilvl="0">
      <w:start w:val="3"/>
      <w:numFmt w:val="decimal"/>
      <w:lvlText w:val="%1. "/>
      <w:legacy w:legacy="1" w:legacySpace="0" w:legacyIndent="360"/>
      <w:lvlJc w:val="left"/>
      <w:pPr>
        <w:ind w:left="1080" w:hanging="360"/>
      </w:pPr>
      <w:rPr>
        <w:b w:val="0"/>
        <w:i w:val="0"/>
        <w:sz w:val="20"/>
      </w:rPr>
    </w:lvl>
  </w:abstractNum>
  <w:abstractNum w:abstractNumId="27" w15:restartNumberingAfterBreak="0">
    <w:nsid w:val="5367569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4CE3504"/>
    <w:multiLevelType w:val="multilevel"/>
    <w:tmpl w:val="42286C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8D5C2A"/>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E69248E"/>
    <w:multiLevelType w:val="hybridMultilevel"/>
    <w:tmpl w:val="09787E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15:restartNumberingAfterBreak="0">
    <w:nsid w:val="601973C2"/>
    <w:multiLevelType w:val="singleLevel"/>
    <w:tmpl w:val="98EE5704"/>
    <w:lvl w:ilvl="0">
      <w:start w:val="1"/>
      <w:numFmt w:val="decimal"/>
      <w:lvlText w:val="%1."/>
      <w:legacy w:legacy="1" w:legacySpace="0" w:legacyIndent="360"/>
      <w:lvlJc w:val="left"/>
      <w:pPr>
        <w:ind w:left="1080" w:hanging="360"/>
      </w:pPr>
    </w:lvl>
  </w:abstractNum>
  <w:abstractNum w:abstractNumId="32" w15:restartNumberingAfterBreak="0">
    <w:nsid w:val="62D25B99"/>
    <w:multiLevelType w:val="multilevel"/>
    <w:tmpl w:val="7B329686"/>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bullet"/>
      <w:lvlText w:val=""/>
      <w:lvlJc w:val="left"/>
      <w:pPr>
        <w:tabs>
          <w:tab w:val="num" w:pos="3437"/>
        </w:tabs>
        <w:ind w:left="3437" w:hanging="720"/>
      </w:pPr>
      <w:rPr>
        <w:rFonts w:ascii="Symbol" w:hAnsi="Symbol"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3" w15:restartNumberingAfterBreak="0">
    <w:nsid w:val="63586882"/>
    <w:multiLevelType w:val="hybridMultilevel"/>
    <w:tmpl w:val="A7A2603E"/>
    <w:lvl w:ilvl="0" w:tplc="3436655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34" w15:restartNumberingAfterBreak="0">
    <w:nsid w:val="65C034E1"/>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8AE1EA0"/>
    <w:multiLevelType w:val="multilevel"/>
    <w:tmpl w:val="25DA6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E592C71"/>
    <w:multiLevelType w:val="singleLevel"/>
    <w:tmpl w:val="555E515E"/>
    <w:lvl w:ilvl="0">
      <w:start w:val="1"/>
      <w:numFmt w:val="decimal"/>
      <w:lvlText w:val="%1."/>
      <w:legacy w:legacy="1" w:legacySpace="0" w:legacyIndent="360"/>
      <w:lvlJc w:val="left"/>
      <w:pPr>
        <w:ind w:left="1080" w:hanging="360"/>
      </w:pPr>
    </w:lvl>
  </w:abstractNum>
  <w:abstractNum w:abstractNumId="37" w15:restartNumberingAfterBreak="0">
    <w:nsid w:val="6EA90A0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8" w15:restartNumberingAfterBreak="0">
    <w:nsid w:val="71F0524B"/>
    <w:multiLevelType w:val="multilevel"/>
    <w:tmpl w:val="B55AB71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65C026B"/>
    <w:multiLevelType w:val="multilevel"/>
    <w:tmpl w:val="D592BA0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1655E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42" w15:restartNumberingAfterBreak="0">
    <w:nsid w:val="7F331E63"/>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41"/>
  </w:num>
  <w:num w:numId="3">
    <w:abstractNumId w:val="37"/>
  </w:num>
  <w:num w:numId="4">
    <w:abstractNumId w:val="39"/>
  </w:num>
  <w:num w:numId="5">
    <w:abstractNumId w:val="15"/>
  </w:num>
  <w:num w:numId="6">
    <w:abstractNumId w:val="14"/>
  </w:num>
  <w:num w:numId="7">
    <w:abstractNumId w:val="40"/>
  </w:num>
  <w:num w:numId="8">
    <w:abstractNumId w:val="2"/>
  </w:num>
  <w:num w:numId="9">
    <w:abstractNumId w:val="13"/>
  </w:num>
  <w:num w:numId="10">
    <w:abstractNumId w:val="12"/>
  </w:num>
  <w:num w:numId="11">
    <w:abstractNumId w:val="10"/>
  </w:num>
  <w:num w:numId="12">
    <w:abstractNumId w:val="7"/>
  </w:num>
  <w:num w:numId="13">
    <w:abstractNumId w:val="5"/>
  </w:num>
  <w:num w:numId="14">
    <w:abstractNumId w:val="35"/>
  </w:num>
  <w:num w:numId="15">
    <w:abstractNumId w:val="36"/>
  </w:num>
  <w:num w:numId="16">
    <w:abstractNumId w:val="28"/>
  </w:num>
  <w:num w:numId="17">
    <w:abstractNumId w:val="16"/>
  </w:num>
  <w:num w:numId="18">
    <w:abstractNumId w:val="42"/>
  </w:num>
  <w:num w:numId="19">
    <w:abstractNumId w:val="0"/>
  </w:num>
  <w:num w:numId="20">
    <w:abstractNumId w:val="3"/>
  </w:num>
  <w:num w:numId="21">
    <w:abstractNumId w:val="6"/>
  </w:num>
  <w:num w:numId="22">
    <w:abstractNumId w:val="8"/>
  </w:num>
  <w:num w:numId="23">
    <w:abstractNumId w:val="25"/>
  </w:num>
  <w:num w:numId="24">
    <w:abstractNumId w:val="26"/>
  </w:num>
  <w:num w:numId="25">
    <w:abstractNumId w:val="31"/>
  </w:num>
  <w:num w:numId="26">
    <w:abstractNumId w:val="21"/>
  </w:num>
  <w:num w:numId="27">
    <w:abstractNumId w:val="38"/>
  </w:num>
  <w:num w:numId="28">
    <w:abstractNumId w:val="22"/>
  </w:num>
  <w:num w:numId="29">
    <w:abstractNumId w:val="34"/>
  </w:num>
  <w:num w:numId="30">
    <w:abstractNumId w:val="24"/>
  </w:num>
  <w:num w:numId="31">
    <w:abstractNumId w:val="27"/>
  </w:num>
  <w:num w:numId="32">
    <w:abstractNumId w:val="1"/>
  </w:num>
  <w:num w:numId="33">
    <w:abstractNumId w:val="33"/>
  </w:num>
  <w:num w:numId="34">
    <w:abstractNumId w:val="20"/>
  </w:num>
  <w:num w:numId="35">
    <w:abstractNumId w:val="9"/>
  </w:num>
  <w:num w:numId="36">
    <w:abstractNumId w:val="19"/>
  </w:num>
  <w:num w:numId="37">
    <w:abstractNumId w:val="30"/>
  </w:num>
  <w:num w:numId="38">
    <w:abstractNumId w:val="29"/>
  </w:num>
  <w:num w:numId="39">
    <w:abstractNumId w:val="23"/>
  </w:num>
  <w:num w:numId="40">
    <w:abstractNumId w:val="17"/>
  </w:num>
  <w:num w:numId="41">
    <w:abstractNumId w:val="18"/>
  </w:num>
  <w:num w:numId="42">
    <w:abstractNumId w:val="3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9C"/>
    <w:rsid w:val="0001673C"/>
    <w:rsid w:val="00023BF4"/>
    <w:rsid w:val="00023F8A"/>
    <w:rsid w:val="00056AA1"/>
    <w:rsid w:val="00076BE5"/>
    <w:rsid w:val="000E2E03"/>
    <w:rsid w:val="000F330F"/>
    <w:rsid w:val="00122AAE"/>
    <w:rsid w:val="001459DB"/>
    <w:rsid w:val="001A18FF"/>
    <w:rsid w:val="001A1AD6"/>
    <w:rsid w:val="0024331E"/>
    <w:rsid w:val="00256461"/>
    <w:rsid w:val="00286123"/>
    <w:rsid w:val="002A1052"/>
    <w:rsid w:val="002E39B9"/>
    <w:rsid w:val="00316734"/>
    <w:rsid w:val="0031680C"/>
    <w:rsid w:val="00323824"/>
    <w:rsid w:val="00361CEF"/>
    <w:rsid w:val="00373743"/>
    <w:rsid w:val="003740BC"/>
    <w:rsid w:val="00375057"/>
    <w:rsid w:val="004D25CE"/>
    <w:rsid w:val="004F27BF"/>
    <w:rsid w:val="005328D0"/>
    <w:rsid w:val="00544FB5"/>
    <w:rsid w:val="0056561A"/>
    <w:rsid w:val="005A70E9"/>
    <w:rsid w:val="005D4B1F"/>
    <w:rsid w:val="005F729E"/>
    <w:rsid w:val="00610B47"/>
    <w:rsid w:val="006511F5"/>
    <w:rsid w:val="00681474"/>
    <w:rsid w:val="007705A9"/>
    <w:rsid w:val="007D6776"/>
    <w:rsid w:val="00825B77"/>
    <w:rsid w:val="008515A8"/>
    <w:rsid w:val="008A6EB8"/>
    <w:rsid w:val="00904C17"/>
    <w:rsid w:val="009630C4"/>
    <w:rsid w:val="0097773D"/>
    <w:rsid w:val="00A1134A"/>
    <w:rsid w:val="00A226F0"/>
    <w:rsid w:val="00AE27A0"/>
    <w:rsid w:val="00B5680A"/>
    <w:rsid w:val="00BF0553"/>
    <w:rsid w:val="00C104A4"/>
    <w:rsid w:val="00C63825"/>
    <w:rsid w:val="00C76867"/>
    <w:rsid w:val="00C864DA"/>
    <w:rsid w:val="00C90885"/>
    <w:rsid w:val="00CB0AC5"/>
    <w:rsid w:val="00CE5D50"/>
    <w:rsid w:val="00CE7AE5"/>
    <w:rsid w:val="00D94023"/>
    <w:rsid w:val="00DC4828"/>
    <w:rsid w:val="00DE3E9C"/>
    <w:rsid w:val="00E25444"/>
    <w:rsid w:val="00E447D8"/>
    <w:rsid w:val="00ED6006"/>
    <w:rsid w:val="00F66374"/>
    <w:rsid w:val="00F80837"/>
    <w:rsid w:val="00FC0425"/>
    <w:rsid w:val="00FC6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FBC626-3A9E-477A-9EB7-3D6F3764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alloonText">
    <w:name w:val="Balloon Text"/>
    <w:basedOn w:val="Normal"/>
    <w:semiHidden/>
    <w:rsid w:val="00023F8A"/>
    <w:rPr>
      <w:rFonts w:ascii="Tahoma" w:hAnsi="Tahoma" w:cs="Tahoma"/>
      <w:sz w:val="16"/>
      <w:szCs w:val="16"/>
    </w:rPr>
  </w:style>
  <w:style w:type="character" w:styleId="CommentReference">
    <w:name w:val="annotation reference"/>
    <w:semiHidden/>
    <w:rsid w:val="00023F8A"/>
    <w:rPr>
      <w:sz w:val="16"/>
      <w:szCs w:val="16"/>
    </w:rPr>
  </w:style>
  <w:style w:type="paragraph" w:styleId="CommentText">
    <w:name w:val="annotation text"/>
    <w:basedOn w:val="Normal"/>
    <w:semiHidden/>
    <w:rsid w:val="00023F8A"/>
  </w:style>
  <w:style w:type="paragraph" w:styleId="CommentSubject">
    <w:name w:val="annotation subject"/>
    <w:basedOn w:val="CommentText"/>
    <w:next w:val="CommentText"/>
    <w:semiHidden/>
    <w:rsid w:val="00023F8A"/>
    <w:rPr>
      <w:b/>
      <w:bCs/>
    </w:rPr>
  </w:style>
  <w:style w:type="character" w:customStyle="1" w:styleId="FooterChar">
    <w:name w:val="Footer Char"/>
    <w:link w:val="Footer"/>
    <w:rsid w:val="00ED6006"/>
    <w:rPr>
      <w:lang w:val="en-US" w:eastAsia="en-US"/>
    </w:rPr>
  </w:style>
  <w:style w:type="character" w:customStyle="1" w:styleId="HeaderChar">
    <w:name w:val="Header Char"/>
    <w:link w:val="Header"/>
    <w:rsid w:val="00323824"/>
    <w:rPr>
      <w:lang w:val="en-US" w:eastAsia="en-US"/>
    </w:rPr>
  </w:style>
  <w:style w:type="paragraph" w:styleId="ListParagraph">
    <w:name w:val="List Paragraph"/>
    <w:basedOn w:val="Normal"/>
    <w:uiPriority w:val="34"/>
    <w:qFormat/>
    <w:rsid w:val="00076B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12612</Characters>
  <Application>Microsoft Office Word</Application>
  <DocSecurity>0</DocSecurity>
  <Lines>105</Lines>
  <Paragraphs>29</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GM.011 Immune A AB - Anti IgG Gel Card</vt:lpstr>
      <vt:lpstr>    </vt:lpstr>
      <vt:lpstr>GM.011 Immune A AB - Anti IgG Gel Card</vt:lpstr>
    </vt:vector>
  </TitlesOfParts>
  <Company>Microsoft</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GM.011 Immune A AB - Anti IgG Gel Card</dc:title>
  <dc:subject/>
  <dc:creator>Transfusion Ontario Program Office</dc:creator>
  <cp:keywords/>
  <cp:lastModifiedBy>Nesrallah, Heather</cp:lastModifiedBy>
  <cp:revision>2</cp:revision>
  <cp:lastPrinted>2011-06-10T19:13:00Z</cp:lastPrinted>
  <dcterms:created xsi:type="dcterms:W3CDTF">2020-08-10T19:21:00Z</dcterms:created>
  <dcterms:modified xsi:type="dcterms:W3CDTF">2020-08-10T19:21:00Z</dcterms:modified>
</cp:coreProperties>
</file>