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30" w:rsidRPr="00EB40E8" w:rsidRDefault="002F2F30">
      <w:pPr>
        <w:numPr>
          <w:ilvl w:val="0"/>
          <w:numId w:val="1"/>
        </w:numPr>
        <w:rPr>
          <w:rFonts w:ascii="Arial" w:hAnsi="Arial"/>
          <w:b/>
          <w:sz w:val="28"/>
          <w:lang w:val="fr-CA"/>
        </w:rPr>
      </w:pPr>
      <w:bookmarkStart w:id="0" w:name="_GoBack"/>
      <w:bookmarkEnd w:id="0"/>
      <w:r w:rsidRPr="00EB40E8">
        <w:rPr>
          <w:rFonts w:ascii="Arial" w:hAnsi="Arial"/>
          <w:b/>
          <w:sz w:val="28"/>
          <w:lang w:val="fr-CA"/>
        </w:rPr>
        <w:t>Principe</w:t>
      </w:r>
    </w:p>
    <w:p w:rsidR="002F2F30" w:rsidRPr="00EB40E8" w:rsidRDefault="002F2F30">
      <w:pPr>
        <w:rPr>
          <w:rFonts w:ascii="Arial" w:hAnsi="Arial"/>
          <w:sz w:val="24"/>
          <w:lang w:val="fr-CA"/>
        </w:rPr>
      </w:pPr>
    </w:p>
    <w:p w:rsidR="002F2F30" w:rsidRPr="00EB40E8" w:rsidRDefault="002F5528">
      <w:pPr>
        <w:ind w:left="720"/>
        <w:rPr>
          <w:rFonts w:ascii="Arial" w:hAnsi="Arial"/>
          <w:sz w:val="24"/>
          <w:lang w:val="fr-CA"/>
        </w:rPr>
      </w:pPr>
      <w:r w:rsidRPr="00EB40E8">
        <w:rPr>
          <w:rFonts w:ascii="Arial" w:hAnsi="Arial"/>
          <w:sz w:val="24"/>
          <w:lang w:val="fr-CA"/>
        </w:rPr>
        <w:t xml:space="preserve">Des globules rouges sont testés contre des antisérums spécifiques pour déterminer la présence ou l’absence d’antigènes au groupe sanguin. </w:t>
      </w:r>
      <w:r w:rsidR="002F2F30" w:rsidRPr="00EB40E8">
        <w:rPr>
          <w:rFonts w:ascii="Arial" w:hAnsi="Arial"/>
          <w:sz w:val="24"/>
          <w:lang w:val="fr-CA"/>
        </w:rPr>
        <w:t xml:space="preserve"> </w:t>
      </w:r>
    </w:p>
    <w:p w:rsidR="002F2F30" w:rsidRPr="00EB40E8" w:rsidRDefault="002F2F30">
      <w:pPr>
        <w:ind w:left="720"/>
        <w:rPr>
          <w:rFonts w:ascii="Arial" w:hAnsi="Arial"/>
          <w:sz w:val="24"/>
          <w:lang w:val="fr-CA"/>
        </w:rPr>
      </w:pPr>
    </w:p>
    <w:p w:rsidR="0093069B" w:rsidRPr="00EB40E8" w:rsidRDefault="0093069B" w:rsidP="0093069B">
      <w:pPr>
        <w:pStyle w:val="BodyTextIndent"/>
        <w:rPr>
          <w:spacing w:val="-2"/>
          <w:lang w:val="fr-CA"/>
        </w:rPr>
      </w:pPr>
      <w:r w:rsidRPr="00EB40E8">
        <w:rPr>
          <w:spacing w:val="-2"/>
          <w:lang w:val="fr-CA"/>
        </w:rPr>
        <w:t xml:space="preserve">Dans cette épreuve, les globules rouges en suspension dans une solution saline hypotonique sont combinés au réactif antisérique pour susciter une interaction antigène-anticorps dans la partie supérieure du microtube. Les cartes sont ensuite incubées pour stimuler l’interaction antigène/anticorps; si les globules rouges sont sensibilisés, ils réagiront avec l’anti-IgG intégré au gel du microtube pendant la centrifugation. </w:t>
      </w:r>
      <w:r w:rsidRPr="00EB40E8">
        <w:rPr>
          <w:rFonts w:cs="Arial"/>
          <w:color w:val="000000"/>
          <w:lang w:val="fr-CA"/>
        </w:rPr>
        <w:t>L’agglutination indique la présence d’une réaction antigène-anticorps. L’absence d’agglutination indique l’absence de réaction antigène-anticorps. L’absence d’agglutination indique que le phénotype pour l’antigène testé est négatif, alors que l’agglutination indique que le phénotype est positif.</w:t>
      </w:r>
    </w:p>
    <w:p w:rsidR="002F2F30" w:rsidRPr="00EB40E8" w:rsidRDefault="002F2F30">
      <w:pPr>
        <w:rPr>
          <w:rFonts w:ascii="Arial" w:hAnsi="Arial"/>
          <w:sz w:val="24"/>
          <w:lang w:val="fr-CA"/>
        </w:rPr>
      </w:pPr>
    </w:p>
    <w:p w:rsidR="00A8601F" w:rsidRPr="00EB40E8" w:rsidRDefault="00A8601F">
      <w:pPr>
        <w:rPr>
          <w:rFonts w:ascii="Arial" w:hAnsi="Arial"/>
          <w:sz w:val="24"/>
          <w:lang w:val="fr-CA"/>
        </w:rPr>
      </w:pPr>
    </w:p>
    <w:p w:rsidR="002F2F30" w:rsidRPr="00EB40E8" w:rsidRDefault="007635AE">
      <w:pPr>
        <w:numPr>
          <w:ilvl w:val="0"/>
          <w:numId w:val="1"/>
        </w:numPr>
        <w:rPr>
          <w:rFonts w:ascii="Arial" w:hAnsi="Arial"/>
          <w:b/>
          <w:sz w:val="28"/>
          <w:lang w:val="fr-CA"/>
        </w:rPr>
      </w:pPr>
      <w:r w:rsidRPr="00EB40E8">
        <w:rPr>
          <w:rFonts w:ascii="Arial" w:hAnsi="Arial"/>
          <w:b/>
          <w:sz w:val="28"/>
          <w:lang w:val="fr-CA"/>
        </w:rPr>
        <w:t>Portée et politiques connexes</w:t>
      </w:r>
    </w:p>
    <w:p w:rsidR="002F2F30" w:rsidRPr="00EB40E8" w:rsidRDefault="002F2F30">
      <w:pPr>
        <w:ind w:left="720"/>
        <w:rPr>
          <w:rFonts w:ascii="Arial" w:hAnsi="Arial"/>
          <w:sz w:val="24"/>
          <w:lang w:val="fr-CA"/>
        </w:rPr>
      </w:pPr>
    </w:p>
    <w:p w:rsidR="00A8601F" w:rsidRPr="00EB40E8" w:rsidRDefault="00A8601F">
      <w:pPr>
        <w:numPr>
          <w:ilvl w:val="1"/>
          <w:numId w:val="1"/>
        </w:numPr>
        <w:rPr>
          <w:rFonts w:ascii="Arial" w:hAnsi="Arial"/>
          <w:sz w:val="24"/>
          <w:lang w:val="fr-CA"/>
        </w:rPr>
      </w:pPr>
      <w:r w:rsidRPr="00EB40E8">
        <w:rPr>
          <w:rFonts w:ascii="Arial" w:hAnsi="Arial"/>
          <w:sz w:val="24"/>
          <w:lang w:val="fr-CA"/>
        </w:rPr>
        <w:t xml:space="preserve">Lors </w:t>
      </w:r>
      <w:r w:rsidRPr="00EB40E8">
        <w:rPr>
          <w:rFonts w:ascii="Arial" w:hAnsi="Arial" w:cs="Arial"/>
          <w:color w:val="000000"/>
          <w:sz w:val="24"/>
          <w:lang w:val="fr-CA"/>
        </w:rPr>
        <w:t>d’une procédure de typage d’antigène chez des patients ayant reçu une greffe de moelle osseuse (GMO), il faut toujours prendre en compte les antécédents du patient. Après une GMO, on peut constater un chimérisme dû à la présence d’antigènes aux globules rouges, en raison de la persistance des lymphocytes B du receveur.</w:t>
      </w:r>
      <w:r w:rsidRPr="00EB40E8">
        <w:rPr>
          <w:rFonts w:ascii="Arial" w:hAnsi="Arial"/>
          <w:sz w:val="24"/>
          <w:lang w:val="fr-CA"/>
        </w:rPr>
        <w:br/>
      </w:r>
    </w:p>
    <w:p w:rsidR="00A8601F" w:rsidRPr="00EB40E8" w:rsidRDefault="002C44B0" w:rsidP="00A8601F">
      <w:pPr>
        <w:numPr>
          <w:ilvl w:val="1"/>
          <w:numId w:val="1"/>
        </w:numPr>
        <w:rPr>
          <w:rFonts w:ascii="Arial" w:hAnsi="Arial"/>
          <w:sz w:val="24"/>
          <w:lang w:val="fr-CA"/>
        </w:rPr>
      </w:pPr>
      <w:r w:rsidRPr="00EB40E8">
        <w:rPr>
          <w:rFonts w:ascii="Arial" w:hAnsi="Arial"/>
          <w:sz w:val="24"/>
          <w:lang w:val="fr-CA"/>
        </w:rPr>
        <w:t>Si un patient a reçu une transfusion au cours des trois derniers mois, il ne faut pas faire de phénotypage de l’échantillon courant. Si un échantillon prétransfusionnel est disponible, c’est celui qui devrait servir au phénotypage</w:t>
      </w:r>
      <w:r w:rsidR="00A8601F" w:rsidRPr="00EB40E8">
        <w:rPr>
          <w:rFonts w:ascii="Arial" w:hAnsi="Arial"/>
          <w:sz w:val="24"/>
          <w:vertAlign w:val="superscript"/>
          <w:lang w:val="fr-CA"/>
        </w:rPr>
        <w:t>9.1</w:t>
      </w:r>
      <w:r w:rsidR="00A8601F" w:rsidRPr="00EB40E8">
        <w:rPr>
          <w:rFonts w:ascii="Arial" w:hAnsi="Arial"/>
          <w:sz w:val="24"/>
          <w:lang w:val="fr-CA"/>
        </w:rPr>
        <w:t>.</w:t>
      </w:r>
    </w:p>
    <w:p w:rsidR="002F2F30" w:rsidRPr="00EB40E8" w:rsidRDefault="002C44B0" w:rsidP="00A8601F">
      <w:pPr>
        <w:ind w:left="1440"/>
        <w:rPr>
          <w:rFonts w:ascii="Arial" w:hAnsi="Arial"/>
          <w:sz w:val="24"/>
          <w:lang w:val="fr-CA"/>
        </w:rPr>
      </w:pPr>
      <w:r w:rsidRPr="00EB40E8">
        <w:rPr>
          <w:rFonts w:ascii="Arial" w:hAnsi="Arial"/>
          <w:sz w:val="24"/>
          <w:lang w:val="fr-CA"/>
        </w:rPr>
        <w:t xml:space="preserve"> </w:t>
      </w:r>
    </w:p>
    <w:p w:rsidR="002F2F30" w:rsidRPr="00EB40E8" w:rsidRDefault="002C44B0">
      <w:pPr>
        <w:numPr>
          <w:ilvl w:val="1"/>
          <w:numId w:val="1"/>
        </w:numPr>
        <w:rPr>
          <w:rFonts w:ascii="Arial" w:hAnsi="Arial"/>
          <w:sz w:val="24"/>
          <w:lang w:val="fr-CA"/>
        </w:rPr>
      </w:pPr>
      <w:r w:rsidRPr="00EB40E8">
        <w:rPr>
          <w:rFonts w:ascii="Arial" w:hAnsi="Arial"/>
          <w:sz w:val="24"/>
          <w:lang w:val="fr-CA"/>
        </w:rPr>
        <w:t>Il faut revoir les dossiers de transfusion antérieurs et comparer les résultats passés aux résultats actuels</w:t>
      </w:r>
      <w:r w:rsidR="002F2F30" w:rsidRPr="00EB40E8">
        <w:rPr>
          <w:rFonts w:ascii="Arial" w:hAnsi="Arial"/>
          <w:sz w:val="24"/>
          <w:vertAlign w:val="superscript"/>
          <w:lang w:val="fr-CA"/>
        </w:rPr>
        <w:t>9.1</w:t>
      </w:r>
      <w:r w:rsidRPr="00EB40E8">
        <w:rPr>
          <w:rFonts w:ascii="Arial" w:hAnsi="Arial"/>
          <w:sz w:val="24"/>
          <w:lang w:val="fr-CA"/>
        </w:rPr>
        <w:t>.</w:t>
      </w:r>
    </w:p>
    <w:p w:rsidR="002F2F30" w:rsidRPr="00EB40E8" w:rsidRDefault="002F2F30">
      <w:pPr>
        <w:rPr>
          <w:rFonts w:ascii="Arial" w:hAnsi="Arial"/>
          <w:sz w:val="24"/>
          <w:lang w:val="fr-CA"/>
        </w:rPr>
      </w:pPr>
    </w:p>
    <w:p w:rsidR="002F2F30" w:rsidRPr="00EB40E8" w:rsidRDefault="00A8601F">
      <w:pPr>
        <w:numPr>
          <w:ilvl w:val="1"/>
          <w:numId w:val="1"/>
        </w:numPr>
        <w:rPr>
          <w:rFonts w:ascii="Arial" w:hAnsi="Arial"/>
          <w:sz w:val="24"/>
          <w:lang w:val="fr-CA"/>
        </w:rPr>
      </w:pPr>
      <w:r w:rsidRPr="00EB40E8">
        <w:rPr>
          <w:rFonts w:ascii="Arial" w:hAnsi="Arial"/>
          <w:sz w:val="24"/>
          <w:lang w:val="fr-CA"/>
        </w:rPr>
        <w:t>Un auto-témoin ou un test direct à l’antiglobuline sera exécuté en conjonction avec le phénotypage des globules rouges du patient soumis à un test indirect à l’antiglobuline</w:t>
      </w:r>
      <w:r w:rsidR="007635AE" w:rsidRPr="00EB40E8">
        <w:rPr>
          <w:rFonts w:ascii="Arial" w:hAnsi="Arial"/>
          <w:sz w:val="24"/>
          <w:vertAlign w:val="superscript"/>
          <w:lang w:val="fr-CA"/>
        </w:rPr>
        <w:t>9.1</w:t>
      </w:r>
      <w:r w:rsidR="007635AE" w:rsidRPr="00EB40E8">
        <w:rPr>
          <w:rFonts w:ascii="Arial" w:hAnsi="Arial"/>
          <w:sz w:val="24"/>
          <w:lang w:val="fr-CA"/>
        </w:rPr>
        <w:t>.</w:t>
      </w:r>
    </w:p>
    <w:p w:rsidR="002F2F30" w:rsidRPr="00EB40E8" w:rsidRDefault="002F2F30">
      <w:pPr>
        <w:rPr>
          <w:rFonts w:ascii="Arial" w:hAnsi="Arial"/>
          <w:sz w:val="24"/>
          <w:lang w:val="fr-CA"/>
        </w:rPr>
      </w:pPr>
    </w:p>
    <w:p w:rsidR="002F2F30" w:rsidRPr="00EB40E8" w:rsidRDefault="002F2F30">
      <w:pPr>
        <w:ind w:left="720"/>
        <w:rPr>
          <w:rFonts w:ascii="Arial" w:hAnsi="Arial"/>
          <w:sz w:val="24"/>
          <w:lang w:val="fr-CA"/>
        </w:rPr>
      </w:pPr>
    </w:p>
    <w:p w:rsidR="002F2F30" w:rsidRPr="00EB40E8" w:rsidRDefault="00ED42B9">
      <w:pPr>
        <w:numPr>
          <w:ilvl w:val="0"/>
          <w:numId w:val="1"/>
        </w:numPr>
        <w:rPr>
          <w:rFonts w:ascii="Arial" w:hAnsi="Arial"/>
          <w:b/>
          <w:sz w:val="28"/>
          <w:lang w:val="fr-CA"/>
        </w:rPr>
      </w:pPr>
      <w:r w:rsidRPr="00EB40E8">
        <w:rPr>
          <w:rFonts w:ascii="Arial" w:hAnsi="Arial"/>
          <w:b/>
          <w:sz w:val="28"/>
          <w:lang w:val="fr-CA"/>
        </w:rPr>
        <w:t>É</w:t>
      </w:r>
      <w:r w:rsidR="007635AE" w:rsidRPr="00EB40E8">
        <w:rPr>
          <w:rFonts w:ascii="Arial" w:hAnsi="Arial"/>
          <w:b/>
          <w:sz w:val="28"/>
          <w:lang w:val="fr-CA"/>
        </w:rPr>
        <w:t>chantillons</w:t>
      </w:r>
    </w:p>
    <w:p w:rsidR="002F2F30" w:rsidRPr="00EB40E8" w:rsidRDefault="002F2F30">
      <w:pPr>
        <w:pStyle w:val="BodyText2"/>
        <w:ind w:left="1440"/>
        <w:jc w:val="left"/>
        <w:rPr>
          <w:rFonts w:ascii="Arial" w:hAnsi="Arial"/>
          <w:sz w:val="24"/>
          <w:lang w:val="fr-CA"/>
        </w:rPr>
      </w:pPr>
    </w:p>
    <w:p w:rsidR="005247CA" w:rsidRPr="00EB40E8" w:rsidRDefault="005247CA" w:rsidP="00A8601F">
      <w:pPr>
        <w:ind w:left="720"/>
        <w:rPr>
          <w:rFonts w:ascii="Arial" w:hAnsi="Arial"/>
          <w:sz w:val="24"/>
          <w:lang w:val="fr-CA"/>
        </w:rPr>
      </w:pPr>
      <w:r w:rsidRPr="00EB40E8">
        <w:rPr>
          <w:rFonts w:ascii="Arial" w:hAnsi="Arial"/>
          <w:sz w:val="24"/>
          <w:lang w:val="fr-CA"/>
        </w:rPr>
        <w:t xml:space="preserve">Sang total anticoagulé - tube EDTA prélevé dans les </w:t>
      </w:r>
      <w:r w:rsidR="00A8601F" w:rsidRPr="00EB40E8">
        <w:rPr>
          <w:rFonts w:ascii="Arial" w:hAnsi="Arial"/>
          <w:sz w:val="24"/>
          <w:lang w:val="fr-CA"/>
        </w:rPr>
        <w:t>quatorze</w:t>
      </w:r>
      <w:r w:rsidRPr="00EB40E8">
        <w:rPr>
          <w:rFonts w:ascii="Arial" w:hAnsi="Arial"/>
          <w:sz w:val="24"/>
          <w:lang w:val="fr-CA"/>
        </w:rPr>
        <w:t xml:space="preserve"> (</w:t>
      </w:r>
      <w:r w:rsidR="00A8601F" w:rsidRPr="00EB40E8">
        <w:rPr>
          <w:rFonts w:ascii="Arial" w:hAnsi="Arial"/>
          <w:sz w:val="24"/>
          <w:lang w:val="fr-CA"/>
        </w:rPr>
        <w:t>14</w:t>
      </w:r>
      <w:r w:rsidRPr="00EB40E8">
        <w:rPr>
          <w:rFonts w:ascii="Arial" w:hAnsi="Arial"/>
          <w:sz w:val="24"/>
          <w:lang w:val="fr-CA"/>
        </w:rPr>
        <w:t>) jours précédant l'épreuve</w:t>
      </w:r>
      <w:r w:rsidR="00A8601F" w:rsidRPr="00EB40E8">
        <w:rPr>
          <w:rFonts w:ascii="Arial" w:hAnsi="Arial"/>
          <w:sz w:val="24"/>
          <w:lang w:val="fr-CA"/>
        </w:rPr>
        <w:t>, de préférence, mais du sérum peut aussi servir.</w:t>
      </w:r>
    </w:p>
    <w:p w:rsidR="002F2F30" w:rsidRPr="00EB40E8" w:rsidRDefault="00CC0DB1" w:rsidP="00CC0DB1">
      <w:pPr>
        <w:pStyle w:val="BodyText2"/>
        <w:ind w:firstLine="0"/>
        <w:jc w:val="left"/>
        <w:rPr>
          <w:rFonts w:ascii="Arial" w:hAnsi="Arial"/>
          <w:sz w:val="24"/>
          <w:lang w:val="fr-CA"/>
        </w:rPr>
      </w:pPr>
      <w:r w:rsidRPr="00EB40E8">
        <w:rPr>
          <w:rFonts w:ascii="Arial" w:hAnsi="Arial"/>
          <w:sz w:val="24"/>
          <w:lang w:val="fr-CA"/>
        </w:rPr>
        <w:t xml:space="preserve">Des cellules de donneur </w:t>
      </w:r>
      <w:r w:rsidR="005247CA" w:rsidRPr="00EB40E8">
        <w:rPr>
          <w:rFonts w:ascii="Arial" w:hAnsi="Arial"/>
          <w:sz w:val="24"/>
          <w:lang w:val="fr-CA"/>
        </w:rPr>
        <w:t>traité</w:t>
      </w:r>
      <w:r w:rsidR="002100B8" w:rsidRPr="00EB40E8">
        <w:rPr>
          <w:rFonts w:ascii="Arial" w:hAnsi="Arial"/>
          <w:sz w:val="24"/>
          <w:lang w:val="fr-CA"/>
        </w:rPr>
        <w:t>e</w:t>
      </w:r>
      <w:r w:rsidR="005247CA" w:rsidRPr="00EB40E8">
        <w:rPr>
          <w:rFonts w:ascii="Arial" w:hAnsi="Arial"/>
          <w:sz w:val="24"/>
          <w:lang w:val="fr-CA"/>
        </w:rPr>
        <w:t>s à l’</w:t>
      </w:r>
      <w:r w:rsidR="002F2F30" w:rsidRPr="00EB40E8">
        <w:rPr>
          <w:rFonts w:ascii="Arial" w:hAnsi="Arial"/>
          <w:sz w:val="24"/>
          <w:lang w:val="fr-CA"/>
        </w:rPr>
        <w:t xml:space="preserve">AS3, </w:t>
      </w:r>
      <w:r w:rsidR="005247CA" w:rsidRPr="00EB40E8">
        <w:rPr>
          <w:rFonts w:ascii="Arial" w:hAnsi="Arial"/>
          <w:sz w:val="24"/>
          <w:lang w:val="fr-CA"/>
        </w:rPr>
        <w:t xml:space="preserve">au </w:t>
      </w:r>
      <w:r w:rsidR="002F2F30" w:rsidRPr="00EB40E8">
        <w:rPr>
          <w:rFonts w:ascii="Arial" w:hAnsi="Arial"/>
          <w:sz w:val="24"/>
          <w:lang w:val="fr-CA"/>
        </w:rPr>
        <w:t>CPDA-1 o</w:t>
      </w:r>
      <w:r w:rsidRPr="00EB40E8">
        <w:rPr>
          <w:rFonts w:ascii="Arial" w:hAnsi="Arial"/>
          <w:sz w:val="24"/>
          <w:lang w:val="fr-CA"/>
        </w:rPr>
        <w:t>u</w:t>
      </w:r>
      <w:r w:rsidR="002F2F30" w:rsidRPr="00EB40E8">
        <w:rPr>
          <w:rFonts w:ascii="Arial" w:hAnsi="Arial"/>
          <w:sz w:val="24"/>
          <w:lang w:val="fr-CA"/>
        </w:rPr>
        <w:t xml:space="preserve"> </w:t>
      </w:r>
      <w:r w:rsidR="005247CA" w:rsidRPr="00EB40E8">
        <w:rPr>
          <w:rFonts w:ascii="Arial" w:hAnsi="Arial"/>
          <w:sz w:val="24"/>
          <w:lang w:val="fr-CA"/>
        </w:rPr>
        <w:t xml:space="preserve">au </w:t>
      </w:r>
      <w:r w:rsidR="002F2F30" w:rsidRPr="00EB40E8">
        <w:rPr>
          <w:rFonts w:ascii="Arial" w:hAnsi="Arial"/>
          <w:sz w:val="24"/>
          <w:lang w:val="fr-CA"/>
        </w:rPr>
        <w:t xml:space="preserve">CPD </w:t>
      </w:r>
      <w:r w:rsidRPr="00EB40E8">
        <w:rPr>
          <w:rFonts w:ascii="Arial" w:hAnsi="Arial"/>
          <w:sz w:val="24"/>
          <w:lang w:val="fr-CA"/>
        </w:rPr>
        <w:t>peuvent être testées jusqu’à la date de péremption de l’unité. Des caillots de fibrine peuvent apparaître dans certains échantillons de sang, p. ex. du sang de cordon</w:t>
      </w:r>
      <w:r w:rsidR="002F2F30" w:rsidRPr="00EB40E8">
        <w:rPr>
          <w:rFonts w:ascii="Arial" w:hAnsi="Arial"/>
          <w:sz w:val="24"/>
          <w:lang w:val="fr-CA"/>
        </w:rPr>
        <w:t xml:space="preserve">, </w:t>
      </w:r>
      <w:r w:rsidR="005247CA" w:rsidRPr="00EB40E8">
        <w:rPr>
          <w:rFonts w:ascii="Arial" w:hAnsi="Arial"/>
          <w:sz w:val="24"/>
          <w:lang w:val="fr-CA"/>
        </w:rPr>
        <w:t>lors d’une dilution</w:t>
      </w:r>
      <w:r w:rsidR="002F2F30" w:rsidRPr="00EB40E8">
        <w:rPr>
          <w:rFonts w:ascii="Arial" w:hAnsi="Arial"/>
          <w:sz w:val="24"/>
          <w:lang w:val="fr-CA"/>
        </w:rPr>
        <w:t xml:space="preserve">. </w:t>
      </w:r>
      <w:r w:rsidRPr="00EB40E8">
        <w:rPr>
          <w:rFonts w:ascii="Arial" w:hAnsi="Arial"/>
          <w:sz w:val="24"/>
          <w:lang w:val="fr-CA"/>
        </w:rPr>
        <w:t xml:space="preserve">On peut laver de tels échantillons dans du MTS Diluent 2 avant la dilution. </w:t>
      </w:r>
    </w:p>
    <w:p w:rsidR="002F2F30" w:rsidRPr="00EB40E8" w:rsidRDefault="002F2F30">
      <w:pPr>
        <w:rPr>
          <w:rFonts w:ascii="Arial" w:hAnsi="Arial"/>
          <w:b/>
          <w:sz w:val="24"/>
          <w:lang w:val="fr-CA"/>
        </w:rPr>
      </w:pPr>
    </w:p>
    <w:p w:rsidR="002F2F30" w:rsidRPr="00EB40E8" w:rsidRDefault="00ED42B9">
      <w:pPr>
        <w:numPr>
          <w:ilvl w:val="0"/>
          <w:numId w:val="1"/>
        </w:numPr>
        <w:rPr>
          <w:rFonts w:ascii="Arial" w:hAnsi="Arial"/>
          <w:b/>
          <w:sz w:val="28"/>
          <w:lang w:val="fr-CA"/>
        </w:rPr>
      </w:pPr>
      <w:r w:rsidRPr="00EB40E8">
        <w:rPr>
          <w:rFonts w:ascii="Arial" w:hAnsi="Arial"/>
          <w:b/>
          <w:sz w:val="28"/>
          <w:lang w:val="fr-CA"/>
        </w:rPr>
        <w:t>Matériel</w:t>
      </w:r>
    </w:p>
    <w:p w:rsidR="002F2F30" w:rsidRPr="00EB40E8" w:rsidRDefault="002F2F30">
      <w:pPr>
        <w:rPr>
          <w:rFonts w:ascii="Arial" w:hAnsi="Arial"/>
          <w:sz w:val="24"/>
          <w:lang w:val="fr-CA"/>
        </w:rPr>
      </w:pPr>
    </w:p>
    <w:p w:rsidR="002F2F30" w:rsidRPr="00EB40E8" w:rsidRDefault="007635AE">
      <w:pPr>
        <w:ind w:left="720"/>
        <w:rPr>
          <w:rFonts w:ascii="Arial" w:hAnsi="Arial"/>
          <w:sz w:val="24"/>
          <w:lang w:val="fr-CA"/>
        </w:rPr>
      </w:pPr>
      <w:r w:rsidRPr="00EB40E8">
        <w:rPr>
          <w:rFonts w:ascii="Arial" w:hAnsi="Arial"/>
          <w:b/>
          <w:sz w:val="24"/>
          <w:lang w:val="fr-CA"/>
        </w:rPr>
        <w:t>Équipement</w:t>
      </w:r>
      <w:r w:rsidRPr="00EB40E8">
        <w:rPr>
          <w:rFonts w:ascii="Arial" w:hAnsi="Arial"/>
          <w:sz w:val="24"/>
          <w:lang w:val="fr-CA"/>
        </w:rPr>
        <w:t> :</w:t>
      </w:r>
      <w:r w:rsidRPr="00EB40E8">
        <w:rPr>
          <w:rFonts w:ascii="Arial" w:hAnsi="Arial"/>
          <w:sz w:val="24"/>
          <w:lang w:val="fr-CA"/>
        </w:rPr>
        <w:tab/>
        <w:t>centrifugeuse</w:t>
      </w:r>
    </w:p>
    <w:p w:rsidR="002F2F30" w:rsidRPr="00EB40E8" w:rsidRDefault="002F2F30">
      <w:pPr>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ED42B9" w:rsidRPr="00EB40E8">
        <w:rPr>
          <w:rFonts w:ascii="Arial" w:hAnsi="Arial"/>
          <w:sz w:val="24"/>
          <w:lang w:val="fr-CA"/>
        </w:rPr>
        <w:t>i</w:t>
      </w:r>
      <w:r w:rsidRPr="00EB40E8">
        <w:rPr>
          <w:rFonts w:ascii="Arial" w:hAnsi="Arial"/>
          <w:sz w:val="24"/>
          <w:lang w:val="fr-CA"/>
        </w:rPr>
        <w:t>ncubat</w:t>
      </w:r>
      <w:r w:rsidR="00ED42B9" w:rsidRPr="00EB40E8">
        <w:rPr>
          <w:rFonts w:ascii="Arial" w:hAnsi="Arial"/>
          <w:sz w:val="24"/>
          <w:lang w:val="fr-CA"/>
        </w:rPr>
        <w:t>eur</w:t>
      </w:r>
    </w:p>
    <w:p w:rsidR="002F2F30" w:rsidRPr="00EB40E8" w:rsidRDefault="002F2F30">
      <w:pPr>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ED42B9" w:rsidRPr="00EB40E8">
        <w:rPr>
          <w:rFonts w:ascii="Arial" w:hAnsi="Arial"/>
          <w:sz w:val="24"/>
          <w:lang w:val="fr-CA"/>
        </w:rPr>
        <w:t>p</w:t>
      </w:r>
      <w:r w:rsidRPr="00EB40E8">
        <w:rPr>
          <w:rFonts w:ascii="Arial" w:hAnsi="Arial"/>
          <w:sz w:val="24"/>
          <w:lang w:val="fr-CA"/>
        </w:rPr>
        <w:t>ipett</w:t>
      </w:r>
      <w:r w:rsidR="00ED42B9" w:rsidRPr="00EB40E8">
        <w:rPr>
          <w:rFonts w:ascii="Arial" w:hAnsi="Arial"/>
          <w:sz w:val="24"/>
          <w:lang w:val="fr-CA"/>
        </w:rPr>
        <w:t>euse</w:t>
      </w:r>
    </w:p>
    <w:p w:rsidR="002F2F30" w:rsidRPr="00EB40E8" w:rsidRDefault="002F2F30">
      <w:pPr>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ED42B9" w:rsidRPr="00EB40E8">
        <w:rPr>
          <w:rFonts w:ascii="Arial" w:hAnsi="Arial"/>
          <w:sz w:val="24"/>
          <w:lang w:val="fr-CA"/>
        </w:rPr>
        <w:t>d</w:t>
      </w:r>
      <w:r w:rsidR="007635AE" w:rsidRPr="00EB40E8">
        <w:rPr>
          <w:rFonts w:ascii="Arial" w:hAnsi="Arial"/>
          <w:sz w:val="24"/>
          <w:lang w:val="fr-CA"/>
        </w:rPr>
        <w:t>istributeur</w:t>
      </w:r>
    </w:p>
    <w:p w:rsidR="002F2F30" w:rsidRPr="00EB40E8" w:rsidRDefault="00ED42B9">
      <w:pPr>
        <w:ind w:left="2160" w:firstLine="720"/>
        <w:rPr>
          <w:rFonts w:ascii="Arial" w:hAnsi="Arial"/>
          <w:sz w:val="24"/>
          <w:lang w:val="fr-CA"/>
        </w:rPr>
      </w:pPr>
      <w:r w:rsidRPr="00EB40E8">
        <w:rPr>
          <w:rFonts w:ascii="Arial" w:hAnsi="Arial"/>
          <w:sz w:val="24"/>
          <w:lang w:val="fr-CA"/>
        </w:rPr>
        <w:t>p</w:t>
      </w:r>
      <w:r w:rsidR="007635AE" w:rsidRPr="00EB40E8">
        <w:rPr>
          <w:rFonts w:ascii="Arial" w:hAnsi="Arial"/>
          <w:sz w:val="24"/>
          <w:lang w:val="fr-CA"/>
        </w:rPr>
        <w:t>oste de préparation, facultatif</w:t>
      </w:r>
    </w:p>
    <w:p w:rsidR="002F2F30" w:rsidRPr="00EB40E8" w:rsidRDefault="002F2F30">
      <w:pPr>
        <w:ind w:left="720"/>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7635AE" w:rsidRPr="00EB40E8">
        <w:rPr>
          <w:rFonts w:ascii="Arial" w:hAnsi="Arial"/>
          <w:sz w:val="24"/>
          <w:lang w:val="fr-CA"/>
        </w:rPr>
        <w:t>centrifugeuse sérologique</w:t>
      </w:r>
    </w:p>
    <w:p w:rsidR="002F2F30" w:rsidRPr="00EB40E8" w:rsidRDefault="002F2F30">
      <w:pPr>
        <w:ind w:left="720"/>
        <w:rPr>
          <w:rFonts w:ascii="Arial" w:hAnsi="Arial"/>
          <w:sz w:val="24"/>
          <w:lang w:val="fr-CA"/>
        </w:rPr>
      </w:pPr>
    </w:p>
    <w:p w:rsidR="002F2F30" w:rsidRPr="00EB40E8" w:rsidRDefault="00ED42B9">
      <w:pPr>
        <w:ind w:left="720"/>
        <w:rPr>
          <w:rFonts w:ascii="Arial" w:hAnsi="Arial"/>
          <w:sz w:val="24"/>
          <w:lang w:val="fr-CA"/>
        </w:rPr>
      </w:pPr>
      <w:r w:rsidRPr="00EB40E8">
        <w:rPr>
          <w:rFonts w:ascii="Arial" w:hAnsi="Arial"/>
          <w:b/>
          <w:sz w:val="24"/>
          <w:lang w:val="fr-CA"/>
        </w:rPr>
        <w:t xml:space="preserve">Fournitures </w:t>
      </w:r>
      <w:r w:rsidR="002F2F30" w:rsidRPr="00EB40E8">
        <w:rPr>
          <w:rFonts w:ascii="Arial" w:hAnsi="Arial"/>
          <w:b/>
          <w:sz w:val="24"/>
          <w:lang w:val="fr-CA"/>
        </w:rPr>
        <w:t>:</w:t>
      </w:r>
      <w:r w:rsidR="002F2F30" w:rsidRPr="00EB40E8">
        <w:rPr>
          <w:rFonts w:ascii="Arial" w:hAnsi="Arial"/>
          <w:sz w:val="24"/>
          <w:lang w:val="fr-CA"/>
        </w:rPr>
        <w:tab/>
      </w:r>
      <w:r w:rsidRPr="00EB40E8">
        <w:rPr>
          <w:rFonts w:ascii="Arial" w:hAnsi="Arial"/>
          <w:sz w:val="24"/>
          <w:lang w:val="fr-CA"/>
        </w:rPr>
        <w:t>embouts de pipette</w:t>
      </w:r>
      <w:r w:rsidR="002F2F30" w:rsidRPr="00EB40E8">
        <w:rPr>
          <w:rFonts w:ascii="Arial" w:hAnsi="Arial"/>
          <w:sz w:val="24"/>
          <w:lang w:val="fr-CA"/>
        </w:rPr>
        <w:t>s</w:t>
      </w:r>
    </w:p>
    <w:p w:rsidR="002F2F30" w:rsidRPr="00EB40E8" w:rsidRDefault="002F2F30">
      <w:pPr>
        <w:ind w:left="720"/>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ED42B9" w:rsidRPr="00EB40E8">
        <w:rPr>
          <w:rFonts w:ascii="Arial" w:hAnsi="Arial"/>
          <w:sz w:val="24"/>
          <w:lang w:val="fr-CA"/>
        </w:rPr>
        <w:t>t</w:t>
      </w:r>
      <w:r w:rsidR="007635AE" w:rsidRPr="00EB40E8">
        <w:rPr>
          <w:rFonts w:ascii="Arial" w:hAnsi="Arial"/>
          <w:sz w:val="24"/>
          <w:lang w:val="fr-CA"/>
        </w:rPr>
        <w:t>ubes 10 x 75 mm</w:t>
      </w:r>
    </w:p>
    <w:p w:rsidR="002F2F30" w:rsidRPr="00EB40E8" w:rsidRDefault="002F2F30">
      <w:pPr>
        <w:ind w:left="720"/>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7635AE" w:rsidRPr="00EB40E8">
        <w:rPr>
          <w:rFonts w:ascii="Arial" w:hAnsi="Arial"/>
          <w:sz w:val="24"/>
          <w:lang w:val="fr-CA"/>
        </w:rPr>
        <w:t>pipettes sérologiques</w:t>
      </w:r>
    </w:p>
    <w:p w:rsidR="002F2F30" w:rsidRPr="00EB40E8" w:rsidRDefault="002F2F30">
      <w:pPr>
        <w:ind w:left="720"/>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7635AE" w:rsidRPr="00EB40E8">
        <w:rPr>
          <w:rFonts w:ascii="Arial" w:hAnsi="Arial"/>
          <w:sz w:val="24"/>
          <w:lang w:val="fr-CA"/>
        </w:rPr>
        <w:t>Dépliant du fournisseur</w:t>
      </w:r>
    </w:p>
    <w:p w:rsidR="002F2F30" w:rsidRPr="00EB40E8" w:rsidRDefault="002F2F30">
      <w:pPr>
        <w:ind w:left="720"/>
        <w:rPr>
          <w:rFonts w:ascii="Arial" w:hAnsi="Arial"/>
          <w:sz w:val="24"/>
          <w:lang w:val="fr-CA"/>
        </w:rPr>
      </w:pPr>
    </w:p>
    <w:p w:rsidR="002F2F30" w:rsidRPr="00EB40E8" w:rsidRDefault="002F2F30">
      <w:pPr>
        <w:tabs>
          <w:tab w:val="left" w:pos="-720"/>
          <w:tab w:val="left" w:pos="0"/>
        </w:tabs>
        <w:suppressAutoHyphens/>
        <w:ind w:left="720" w:hanging="720"/>
        <w:rPr>
          <w:rFonts w:ascii="Arial" w:hAnsi="Arial"/>
          <w:spacing w:val="-2"/>
          <w:sz w:val="24"/>
          <w:lang w:val="fr-CA"/>
        </w:rPr>
      </w:pPr>
      <w:r w:rsidRPr="00EB40E8">
        <w:rPr>
          <w:rFonts w:ascii="Arial" w:hAnsi="Arial"/>
          <w:b/>
          <w:sz w:val="24"/>
          <w:lang w:val="fr-CA"/>
        </w:rPr>
        <w:tab/>
        <w:t>R</w:t>
      </w:r>
      <w:r w:rsidR="00ED42B9" w:rsidRPr="00EB40E8">
        <w:rPr>
          <w:rFonts w:ascii="Arial" w:hAnsi="Arial"/>
          <w:b/>
          <w:sz w:val="24"/>
          <w:lang w:val="fr-CA"/>
        </w:rPr>
        <w:t>éactifs</w:t>
      </w:r>
      <w:r w:rsidR="00ED42B9" w:rsidRPr="00EB40E8">
        <w:rPr>
          <w:rFonts w:ascii="Arial" w:hAnsi="Arial"/>
          <w:sz w:val="24"/>
          <w:lang w:val="fr-CA"/>
        </w:rPr>
        <w:t xml:space="preserve"> </w:t>
      </w:r>
      <w:r w:rsidRPr="00EB40E8">
        <w:rPr>
          <w:rFonts w:ascii="Arial" w:hAnsi="Arial"/>
          <w:sz w:val="24"/>
          <w:lang w:val="fr-CA"/>
        </w:rPr>
        <w:t>:</w:t>
      </w:r>
      <w:r w:rsidRPr="00EB40E8">
        <w:rPr>
          <w:rFonts w:ascii="Arial" w:hAnsi="Arial"/>
          <w:sz w:val="24"/>
          <w:lang w:val="fr-CA"/>
        </w:rPr>
        <w:tab/>
      </w:r>
      <w:r w:rsidRPr="00EB40E8">
        <w:rPr>
          <w:rFonts w:ascii="Arial" w:hAnsi="Arial"/>
          <w:sz w:val="24"/>
          <w:lang w:val="fr-CA"/>
        </w:rPr>
        <w:tab/>
      </w:r>
      <w:r w:rsidRPr="00EB40E8">
        <w:rPr>
          <w:rFonts w:ascii="Arial" w:hAnsi="Arial"/>
          <w:spacing w:val="-2"/>
          <w:sz w:val="24"/>
          <w:lang w:val="fr-CA"/>
        </w:rPr>
        <w:t xml:space="preserve">MTS Diluent 2, </w:t>
      </w:r>
      <w:r w:rsidR="00ED42B9" w:rsidRPr="00EB40E8">
        <w:rPr>
          <w:rFonts w:ascii="Arial" w:hAnsi="Arial"/>
          <w:spacing w:val="-2"/>
          <w:sz w:val="24"/>
          <w:lang w:val="fr-CA"/>
        </w:rPr>
        <w:t>solution saline hypotonique tamponnée</w:t>
      </w:r>
    </w:p>
    <w:p w:rsidR="002F2F30" w:rsidRPr="00EB40E8" w:rsidRDefault="002F2F30">
      <w:pPr>
        <w:ind w:left="720"/>
        <w:rPr>
          <w:rFonts w:ascii="Arial" w:hAnsi="Arial"/>
          <w:sz w:val="24"/>
          <w:lang w:val="fr-CA"/>
        </w:rPr>
      </w:pPr>
      <w:r w:rsidRPr="00EB40E8">
        <w:rPr>
          <w:rFonts w:ascii="Arial" w:hAnsi="Arial"/>
          <w:spacing w:val="-2"/>
          <w:sz w:val="24"/>
          <w:lang w:val="fr-CA"/>
        </w:rPr>
        <w:tab/>
      </w:r>
      <w:r w:rsidRPr="00EB40E8">
        <w:rPr>
          <w:rFonts w:ascii="Arial" w:hAnsi="Arial"/>
          <w:spacing w:val="-2"/>
          <w:sz w:val="24"/>
          <w:lang w:val="fr-CA"/>
        </w:rPr>
        <w:tab/>
      </w:r>
      <w:r w:rsidRPr="00EB40E8">
        <w:rPr>
          <w:rFonts w:ascii="Arial" w:hAnsi="Arial"/>
          <w:spacing w:val="-2"/>
          <w:sz w:val="24"/>
          <w:lang w:val="fr-CA"/>
        </w:rPr>
        <w:tab/>
      </w:r>
      <w:r w:rsidR="00291293" w:rsidRPr="00EB40E8">
        <w:rPr>
          <w:rFonts w:ascii="Arial" w:hAnsi="Arial"/>
          <w:spacing w:val="-2"/>
          <w:sz w:val="24"/>
          <w:lang w:val="fr-CA"/>
        </w:rPr>
        <w:t>Carte MTS anti-IgG, anti-IgG (lapin)</w:t>
      </w:r>
      <w:r w:rsidR="00B57BC3" w:rsidRPr="00EB40E8">
        <w:rPr>
          <w:rFonts w:ascii="Arial" w:hAnsi="Arial"/>
          <w:spacing w:val="-2"/>
          <w:sz w:val="24"/>
          <w:lang w:val="fr-CA"/>
        </w:rPr>
        <w:t xml:space="preserve">, </w:t>
      </w:r>
      <w:r w:rsidR="00291293" w:rsidRPr="00EB40E8">
        <w:rPr>
          <w:rFonts w:ascii="Arial" w:hAnsi="Arial"/>
          <w:spacing w:val="-2"/>
          <w:sz w:val="24"/>
          <w:lang w:val="fr-CA"/>
        </w:rPr>
        <w:t xml:space="preserve">suspension </w:t>
      </w:r>
      <w:r w:rsidR="00B57BC3" w:rsidRPr="00EB40E8">
        <w:rPr>
          <w:rFonts w:ascii="Arial" w:hAnsi="Arial"/>
          <w:spacing w:val="-2"/>
          <w:sz w:val="24"/>
          <w:lang w:val="fr-CA"/>
        </w:rPr>
        <w:t>en gel</w:t>
      </w:r>
      <w:r w:rsidR="00ED42B9" w:rsidRPr="00EB40E8">
        <w:rPr>
          <w:rFonts w:ascii="Arial" w:hAnsi="Arial"/>
          <w:spacing w:val="-2"/>
          <w:sz w:val="24"/>
          <w:lang w:val="fr-CA"/>
        </w:rPr>
        <w:tab/>
      </w:r>
    </w:p>
    <w:p w:rsidR="002F2F30" w:rsidRPr="00EB40E8" w:rsidRDefault="002F2F30">
      <w:pPr>
        <w:ind w:left="720"/>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291293" w:rsidRPr="00EB40E8">
        <w:rPr>
          <w:rFonts w:ascii="Arial" w:hAnsi="Arial"/>
          <w:sz w:val="24"/>
          <w:lang w:val="fr-CA"/>
        </w:rPr>
        <w:t>solution saline</w:t>
      </w:r>
    </w:p>
    <w:p w:rsidR="002F2F30" w:rsidRPr="00EB40E8" w:rsidRDefault="002F2F30">
      <w:pPr>
        <w:ind w:left="720"/>
        <w:rPr>
          <w:rFonts w:ascii="Arial" w:hAnsi="Arial"/>
          <w:sz w:val="24"/>
          <w:lang w:val="fr-CA"/>
        </w:rPr>
      </w:pPr>
      <w:r w:rsidRPr="00EB40E8">
        <w:rPr>
          <w:rFonts w:ascii="Arial" w:hAnsi="Arial"/>
          <w:sz w:val="24"/>
          <w:lang w:val="fr-CA"/>
        </w:rPr>
        <w:tab/>
      </w:r>
      <w:r w:rsidRPr="00EB40E8">
        <w:rPr>
          <w:rFonts w:ascii="Arial" w:hAnsi="Arial"/>
          <w:sz w:val="24"/>
          <w:lang w:val="fr-CA"/>
        </w:rPr>
        <w:tab/>
      </w:r>
      <w:r w:rsidRPr="00EB40E8">
        <w:rPr>
          <w:rFonts w:ascii="Arial" w:hAnsi="Arial"/>
          <w:sz w:val="24"/>
          <w:lang w:val="fr-CA"/>
        </w:rPr>
        <w:tab/>
      </w:r>
      <w:r w:rsidR="00ED42B9" w:rsidRPr="00EB40E8">
        <w:rPr>
          <w:rFonts w:ascii="Arial" w:hAnsi="Arial"/>
          <w:sz w:val="24"/>
          <w:lang w:val="fr-CA"/>
        </w:rPr>
        <w:t>a</w:t>
      </w:r>
      <w:r w:rsidRPr="00EB40E8">
        <w:rPr>
          <w:rFonts w:ascii="Arial" w:hAnsi="Arial"/>
          <w:sz w:val="24"/>
          <w:lang w:val="fr-CA"/>
        </w:rPr>
        <w:t>nti-s</w:t>
      </w:r>
      <w:r w:rsidR="00ED42B9" w:rsidRPr="00EB40E8">
        <w:rPr>
          <w:rFonts w:ascii="Arial" w:hAnsi="Arial"/>
          <w:sz w:val="24"/>
          <w:lang w:val="fr-CA"/>
        </w:rPr>
        <w:t>é</w:t>
      </w:r>
      <w:r w:rsidRPr="00EB40E8">
        <w:rPr>
          <w:rFonts w:ascii="Arial" w:hAnsi="Arial"/>
          <w:sz w:val="24"/>
          <w:lang w:val="fr-CA"/>
        </w:rPr>
        <w:t>r</w:t>
      </w:r>
      <w:r w:rsidR="00ED42B9" w:rsidRPr="00EB40E8">
        <w:rPr>
          <w:rFonts w:ascii="Arial" w:hAnsi="Arial"/>
          <w:sz w:val="24"/>
          <w:lang w:val="fr-CA"/>
        </w:rPr>
        <w:t>um (pour le typage d’an</w:t>
      </w:r>
      <w:r w:rsidRPr="00EB40E8">
        <w:rPr>
          <w:rFonts w:ascii="Arial" w:hAnsi="Arial"/>
          <w:sz w:val="24"/>
          <w:lang w:val="fr-CA"/>
        </w:rPr>
        <w:t>tig</w:t>
      </w:r>
      <w:r w:rsidR="00ED42B9" w:rsidRPr="00EB40E8">
        <w:rPr>
          <w:rFonts w:ascii="Arial" w:hAnsi="Arial"/>
          <w:sz w:val="24"/>
          <w:lang w:val="fr-CA"/>
        </w:rPr>
        <w:t>ène</w:t>
      </w:r>
      <w:r w:rsidRPr="00EB40E8">
        <w:rPr>
          <w:rFonts w:ascii="Arial" w:hAnsi="Arial"/>
          <w:sz w:val="24"/>
          <w:lang w:val="fr-CA"/>
        </w:rPr>
        <w:t>)</w:t>
      </w:r>
    </w:p>
    <w:p w:rsidR="002F2F30" w:rsidRPr="00EB40E8" w:rsidRDefault="002F2F30">
      <w:pPr>
        <w:ind w:left="720"/>
        <w:rPr>
          <w:rFonts w:ascii="Arial" w:hAnsi="Arial"/>
          <w:sz w:val="24"/>
          <w:lang w:val="fr-CA"/>
        </w:rPr>
      </w:pPr>
    </w:p>
    <w:p w:rsidR="002F2F30" w:rsidRPr="00EB40E8" w:rsidRDefault="002F2F30">
      <w:pPr>
        <w:pStyle w:val="BodyTextIndent2"/>
        <w:jc w:val="left"/>
        <w:rPr>
          <w:lang w:val="fr-CA"/>
        </w:rPr>
      </w:pPr>
      <w:r w:rsidRPr="00EB40E8">
        <w:rPr>
          <w:lang w:val="fr-CA"/>
        </w:rPr>
        <w:tab/>
      </w:r>
      <w:r w:rsidR="00291293" w:rsidRPr="00EB40E8">
        <w:rPr>
          <w:lang w:val="fr-CA"/>
        </w:rPr>
        <w:t>Ne pas utiliser après la date de péremption. Entreposer les cartes entre 2 °C et 25 °C. Entreposer les diluants et les globules rouges entre 2 °C et 8 °C. Amener les réactifs à la température ambiante (18 °C à 25 °C) avant l’utilisation.</w:t>
      </w:r>
    </w:p>
    <w:p w:rsidR="002F2F30" w:rsidRPr="00EB40E8" w:rsidRDefault="002F2F30">
      <w:pPr>
        <w:ind w:left="720"/>
        <w:rPr>
          <w:rFonts w:ascii="Arial" w:hAnsi="Arial"/>
          <w:sz w:val="24"/>
          <w:lang w:val="fr-CA"/>
        </w:rPr>
      </w:pPr>
    </w:p>
    <w:p w:rsidR="002F2F30" w:rsidRPr="00EB40E8" w:rsidRDefault="00291293">
      <w:pPr>
        <w:numPr>
          <w:ilvl w:val="0"/>
          <w:numId w:val="1"/>
        </w:numPr>
        <w:rPr>
          <w:rFonts w:ascii="Arial" w:hAnsi="Arial"/>
          <w:b/>
          <w:sz w:val="28"/>
          <w:lang w:val="fr-CA"/>
        </w:rPr>
      </w:pPr>
      <w:r w:rsidRPr="00EB40E8">
        <w:rPr>
          <w:rFonts w:ascii="Arial" w:hAnsi="Arial"/>
          <w:b/>
          <w:sz w:val="28"/>
          <w:lang w:val="fr-CA"/>
        </w:rPr>
        <w:t>Contrôle de la qualité</w:t>
      </w:r>
    </w:p>
    <w:p w:rsidR="002F2F30" w:rsidRPr="00EB40E8" w:rsidRDefault="002F2F30">
      <w:pPr>
        <w:rPr>
          <w:rFonts w:ascii="Arial" w:hAnsi="Arial"/>
          <w:sz w:val="24"/>
          <w:lang w:val="fr-CA"/>
        </w:rPr>
      </w:pPr>
    </w:p>
    <w:p w:rsidR="00367ABF" w:rsidRPr="00EB40E8" w:rsidRDefault="00367ABF">
      <w:pPr>
        <w:numPr>
          <w:ilvl w:val="1"/>
          <w:numId w:val="1"/>
        </w:numPr>
        <w:rPr>
          <w:rFonts w:ascii="Arial" w:hAnsi="Arial"/>
          <w:sz w:val="24"/>
          <w:lang w:val="fr-CA"/>
        </w:rPr>
      </w:pPr>
      <w:r w:rsidRPr="00EB40E8">
        <w:rPr>
          <w:rFonts w:ascii="Arial" w:hAnsi="Arial"/>
          <w:spacing w:val="-2"/>
          <w:sz w:val="24"/>
          <w:lang w:val="fr-CA"/>
        </w:rPr>
        <w:t>Pour confirmer la spécificité et la réactivité des cartes anti-IgG MTS, on recommande de tester chaque lot à chaque jour d’utilisation avec des échantillons d’anticorps positifs et négatifs connus et les globules rouges appropriés.  Il doit y avoir réactivité uniquement avec les échantillons positifs.</w:t>
      </w:r>
    </w:p>
    <w:p w:rsidR="00367ABF" w:rsidRPr="00EB40E8" w:rsidRDefault="00367ABF" w:rsidP="00367ABF">
      <w:pPr>
        <w:ind w:left="1440"/>
        <w:rPr>
          <w:rFonts w:ascii="Arial" w:hAnsi="Arial"/>
          <w:sz w:val="24"/>
          <w:lang w:val="fr-CA"/>
        </w:rPr>
      </w:pPr>
    </w:p>
    <w:p w:rsidR="00367ABF" w:rsidRPr="00EB40E8" w:rsidRDefault="00367ABF">
      <w:pPr>
        <w:numPr>
          <w:ilvl w:val="1"/>
          <w:numId w:val="1"/>
        </w:numPr>
        <w:rPr>
          <w:rFonts w:ascii="Arial" w:hAnsi="Arial"/>
          <w:sz w:val="24"/>
          <w:lang w:val="fr-CA"/>
        </w:rPr>
      </w:pPr>
      <w:r w:rsidRPr="00EB40E8">
        <w:rPr>
          <w:rFonts w:ascii="Arial" w:hAnsi="Arial"/>
          <w:sz w:val="24"/>
          <w:lang w:val="fr-CA"/>
        </w:rPr>
        <w:t>Ne pas congeler ni exposer les cartes à une chaleur excessive. Entreposer en position verticale entre 2 °C et 25 °C. Si les cartes n’ont pas été entreposées en position verticale, il faut les centrifuger avant l’utilisation.</w:t>
      </w:r>
    </w:p>
    <w:p w:rsidR="00367ABF" w:rsidRPr="00EB40E8" w:rsidRDefault="00367ABF" w:rsidP="00367ABF">
      <w:pPr>
        <w:pStyle w:val="ListParagraph"/>
        <w:rPr>
          <w:rFonts w:ascii="Arial" w:hAnsi="Arial"/>
          <w:sz w:val="24"/>
          <w:lang w:val="fr-CA"/>
        </w:rPr>
      </w:pPr>
    </w:p>
    <w:p w:rsidR="00367ABF" w:rsidRPr="00EB40E8" w:rsidRDefault="00367ABF">
      <w:pPr>
        <w:numPr>
          <w:ilvl w:val="1"/>
          <w:numId w:val="1"/>
        </w:numPr>
        <w:rPr>
          <w:rFonts w:ascii="Arial" w:hAnsi="Arial"/>
          <w:sz w:val="24"/>
          <w:lang w:val="fr-CA"/>
        </w:rPr>
      </w:pPr>
      <w:r w:rsidRPr="00EB40E8">
        <w:rPr>
          <w:rFonts w:ascii="Arial" w:hAnsi="Arial"/>
          <w:sz w:val="24"/>
          <w:lang w:val="fr-CA"/>
        </w:rPr>
        <w:t xml:space="preserve">Ne pas utiliser les cartes qui présentent des signes de dessiccation. Il doit y avoir une couche liquide par-dessus le gel dans chaque microtube </w:t>
      </w:r>
    </w:p>
    <w:p w:rsidR="00367ABF" w:rsidRPr="00EB40E8" w:rsidRDefault="00367ABF" w:rsidP="00367ABF">
      <w:pPr>
        <w:pStyle w:val="ListParagraph"/>
        <w:rPr>
          <w:rFonts w:ascii="Arial" w:hAnsi="Arial"/>
          <w:sz w:val="24"/>
          <w:lang w:val="fr-CA"/>
        </w:rPr>
      </w:pPr>
    </w:p>
    <w:p w:rsidR="00367ABF" w:rsidRPr="00EB40E8" w:rsidRDefault="00367ABF" w:rsidP="00367ABF">
      <w:pPr>
        <w:numPr>
          <w:ilvl w:val="1"/>
          <w:numId w:val="1"/>
        </w:numPr>
        <w:rPr>
          <w:rFonts w:ascii="Arial" w:hAnsi="Arial"/>
          <w:sz w:val="24"/>
          <w:lang w:val="fr-CA"/>
        </w:rPr>
      </w:pPr>
      <w:r w:rsidRPr="00EB40E8">
        <w:rPr>
          <w:rFonts w:ascii="Arial" w:hAnsi="Arial"/>
          <w:sz w:val="24"/>
          <w:lang w:val="fr-CA"/>
        </w:rPr>
        <w:t>Ne pas utiliser les cartes en cas de décoloration ou de présence de bulles ou de cristaux dans les microtubes.</w:t>
      </w:r>
    </w:p>
    <w:p w:rsidR="00367ABF" w:rsidRPr="00EB40E8" w:rsidRDefault="00367ABF" w:rsidP="00367ABF">
      <w:pPr>
        <w:rPr>
          <w:rFonts w:ascii="Arial" w:hAnsi="Arial"/>
          <w:sz w:val="24"/>
          <w:lang w:val="fr-CA"/>
        </w:rPr>
      </w:pPr>
    </w:p>
    <w:p w:rsidR="00367ABF" w:rsidRPr="00EB40E8" w:rsidRDefault="00367ABF" w:rsidP="00367ABF">
      <w:pPr>
        <w:numPr>
          <w:ilvl w:val="1"/>
          <w:numId w:val="1"/>
        </w:numPr>
        <w:rPr>
          <w:rFonts w:ascii="Arial" w:hAnsi="Arial"/>
          <w:sz w:val="24"/>
          <w:lang w:val="fr-CA"/>
        </w:rPr>
      </w:pPr>
      <w:r w:rsidRPr="00EB40E8">
        <w:rPr>
          <w:rFonts w:ascii="Arial" w:hAnsi="Arial"/>
          <w:sz w:val="24"/>
          <w:lang w:val="fr-CA"/>
        </w:rPr>
        <w:t xml:space="preserve">Ne pas utiliser les cartes de microtubes si l’opercule du microtube semble endommagé ou ouvert. </w:t>
      </w:r>
    </w:p>
    <w:p w:rsidR="00367ABF" w:rsidRPr="00EB40E8" w:rsidRDefault="00367ABF" w:rsidP="00367ABF">
      <w:pPr>
        <w:ind w:left="720" w:firstLine="720"/>
        <w:rPr>
          <w:rFonts w:ascii="Arial" w:hAnsi="Arial"/>
          <w:sz w:val="24"/>
          <w:lang w:val="fr-CA"/>
        </w:rPr>
      </w:pPr>
    </w:p>
    <w:p w:rsidR="00367ABF" w:rsidRPr="00EB40E8" w:rsidRDefault="00367ABF" w:rsidP="00367ABF">
      <w:pPr>
        <w:numPr>
          <w:ilvl w:val="1"/>
          <w:numId w:val="1"/>
        </w:numPr>
        <w:rPr>
          <w:rFonts w:ascii="Arial" w:hAnsi="Arial"/>
          <w:sz w:val="24"/>
          <w:lang w:val="fr-CA"/>
        </w:rPr>
      </w:pPr>
      <w:r w:rsidRPr="00EB40E8">
        <w:rPr>
          <w:rFonts w:ascii="Arial" w:hAnsi="Arial"/>
          <w:sz w:val="24"/>
          <w:lang w:val="fr-CA"/>
        </w:rPr>
        <w:t>Enlever l’opercule en aluminium des microtubes juste avant leur utilisation.</w:t>
      </w:r>
    </w:p>
    <w:p w:rsidR="00367ABF" w:rsidRPr="00EB40E8" w:rsidRDefault="00367ABF" w:rsidP="00367ABF">
      <w:pPr>
        <w:pStyle w:val="ListParagraph"/>
        <w:rPr>
          <w:rFonts w:ascii="Arial" w:hAnsi="Arial"/>
          <w:sz w:val="24"/>
          <w:lang w:val="fr-CA"/>
        </w:rPr>
      </w:pPr>
    </w:p>
    <w:p w:rsidR="00367ABF" w:rsidRPr="00EB40E8" w:rsidRDefault="00367ABF" w:rsidP="00367ABF">
      <w:pPr>
        <w:numPr>
          <w:ilvl w:val="1"/>
          <w:numId w:val="1"/>
        </w:numPr>
        <w:rPr>
          <w:rFonts w:ascii="Arial" w:hAnsi="Arial"/>
          <w:sz w:val="24"/>
          <w:lang w:val="fr-CA"/>
        </w:rPr>
      </w:pPr>
      <w:r w:rsidRPr="00EB40E8">
        <w:rPr>
          <w:rFonts w:ascii="Arial" w:hAnsi="Arial"/>
          <w:sz w:val="24"/>
          <w:lang w:val="fr-CA"/>
        </w:rPr>
        <w:t>Il faut inspecter à l’œil nu le MTS Diluent 2 Plus</w:t>
      </w:r>
      <w:r w:rsidRPr="00EB40E8">
        <w:rPr>
          <w:rFonts w:ascii="Arial" w:hAnsi="Arial"/>
          <w:sz w:val="24"/>
          <w:vertAlign w:val="superscript"/>
          <w:lang w:val="fr-CA"/>
        </w:rPr>
        <w:t>MC</w:t>
      </w:r>
      <w:r w:rsidRPr="00EB40E8">
        <w:rPr>
          <w:rFonts w:ascii="Arial" w:hAnsi="Arial"/>
          <w:sz w:val="24"/>
          <w:lang w:val="fr-CA"/>
        </w:rPr>
        <w:t xml:space="preserve"> pour s’assurer qu’il n’y a ni décoloration, ni turbidité, ni autre signe de contamination bactérienne. Les globules rouges doivent être en suspension dans le MTS Diluent 2 Plus</w:t>
      </w:r>
      <w:r w:rsidRPr="00EB40E8">
        <w:rPr>
          <w:rFonts w:ascii="Arial" w:hAnsi="Arial"/>
          <w:sz w:val="24"/>
          <w:vertAlign w:val="superscript"/>
          <w:lang w:val="fr-CA"/>
        </w:rPr>
        <w:t>MC</w:t>
      </w:r>
      <w:r w:rsidRPr="00EB40E8">
        <w:rPr>
          <w:rFonts w:ascii="Arial" w:hAnsi="Arial"/>
          <w:sz w:val="24"/>
          <w:lang w:val="fr-CA"/>
        </w:rPr>
        <w:t>; il peut aussi s’agir de globules rouges commerciaux à 0,8 % dans une solution à faible concentration ionique dont l’usage avec le système ID-Micro Typing</w:t>
      </w:r>
      <w:r w:rsidRPr="00EB40E8">
        <w:rPr>
          <w:rFonts w:ascii="Arial" w:hAnsi="Arial"/>
          <w:sz w:val="24"/>
          <w:vertAlign w:val="superscript"/>
          <w:lang w:val="fr-CA"/>
        </w:rPr>
        <w:t>MC</w:t>
      </w:r>
      <w:r w:rsidRPr="00EB40E8">
        <w:rPr>
          <w:rFonts w:ascii="Arial" w:hAnsi="Arial"/>
          <w:sz w:val="24"/>
          <w:lang w:val="fr-CA"/>
        </w:rPr>
        <w:t xml:space="preserve"> est approuvé.</w:t>
      </w:r>
    </w:p>
    <w:p w:rsidR="00367ABF" w:rsidRPr="00EB40E8" w:rsidRDefault="00367ABF" w:rsidP="00367ABF">
      <w:pPr>
        <w:pStyle w:val="ListParagraph"/>
        <w:rPr>
          <w:rFonts w:ascii="Arial" w:hAnsi="Arial"/>
          <w:sz w:val="24"/>
          <w:lang w:val="fr-CA"/>
        </w:rPr>
      </w:pPr>
    </w:p>
    <w:p w:rsidR="00367ABF" w:rsidRPr="00EB40E8" w:rsidRDefault="00367ABF" w:rsidP="00367ABF">
      <w:pPr>
        <w:numPr>
          <w:ilvl w:val="1"/>
          <w:numId w:val="1"/>
        </w:numPr>
        <w:rPr>
          <w:rFonts w:ascii="Arial" w:hAnsi="Arial"/>
          <w:sz w:val="24"/>
          <w:lang w:val="fr-CA"/>
        </w:rPr>
      </w:pPr>
      <w:r w:rsidRPr="00EB40E8">
        <w:rPr>
          <w:rFonts w:ascii="Arial" w:hAnsi="Arial"/>
          <w:spacing w:val="-2"/>
          <w:sz w:val="24"/>
          <w:lang w:val="fr-CA"/>
        </w:rPr>
        <w:t>Le fabricant recommande de faire la lecture des épreuves immédiatement après la centrifugation. La dessiccation du gel, l’hémolyse des globules rouges et l’inclinaison des motifs de réactions due à un entreposage autre qu’à la verticale peuvent modifier les résultats.</w:t>
      </w:r>
    </w:p>
    <w:p w:rsidR="00367ABF" w:rsidRPr="00EB40E8" w:rsidRDefault="00367ABF" w:rsidP="00367ABF">
      <w:pPr>
        <w:pStyle w:val="ListParagraph"/>
        <w:rPr>
          <w:rFonts w:ascii="Arial" w:hAnsi="Arial"/>
          <w:sz w:val="24"/>
          <w:lang w:val="fr-CA"/>
        </w:rPr>
      </w:pPr>
    </w:p>
    <w:p w:rsidR="002F2F30" w:rsidRPr="00EB40E8" w:rsidRDefault="00B63D20" w:rsidP="00367ABF">
      <w:pPr>
        <w:numPr>
          <w:ilvl w:val="1"/>
          <w:numId w:val="1"/>
        </w:numPr>
        <w:rPr>
          <w:rFonts w:ascii="Arial" w:hAnsi="Arial"/>
          <w:sz w:val="24"/>
          <w:lang w:val="fr-CA"/>
        </w:rPr>
      </w:pPr>
      <w:r w:rsidRPr="00EB40E8">
        <w:rPr>
          <w:rFonts w:ascii="Arial" w:hAnsi="Arial"/>
          <w:sz w:val="24"/>
          <w:lang w:val="fr-CA"/>
        </w:rPr>
        <w:t xml:space="preserve">Lorsqu’on se sert de réactifs commerciaux de groupage sanguins qui ne sont pas spécifiquement conçus pour les épreuves sur carte de gel, le laboratoire doit valider les résultats de l’épreuve obtenus avec le réactif avant de recourir à cette procédure. Il faut inscrire au dossier le type de cellules et son numéro de lot. </w:t>
      </w:r>
    </w:p>
    <w:p w:rsidR="002F2F30" w:rsidRPr="00EB40E8" w:rsidRDefault="002F2F30">
      <w:pPr>
        <w:rPr>
          <w:rFonts w:ascii="Arial" w:hAnsi="Arial"/>
          <w:sz w:val="24"/>
          <w:lang w:val="fr-CA"/>
        </w:rPr>
      </w:pPr>
    </w:p>
    <w:p w:rsidR="002F2F30" w:rsidRPr="00EB40E8" w:rsidRDefault="00B63D20">
      <w:pPr>
        <w:numPr>
          <w:ilvl w:val="1"/>
          <w:numId w:val="1"/>
        </w:numPr>
        <w:rPr>
          <w:rFonts w:ascii="Arial" w:hAnsi="Arial"/>
          <w:sz w:val="24"/>
          <w:lang w:val="fr-CA"/>
        </w:rPr>
      </w:pPr>
      <w:r w:rsidRPr="00EB40E8">
        <w:rPr>
          <w:rFonts w:ascii="Arial" w:hAnsi="Arial"/>
          <w:sz w:val="24"/>
          <w:lang w:val="fr-CA"/>
        </w:rPr>
        <w:t xml:space="preserve">Des cellules que l’on sait être positives </w:t>
      </w:r>
      <w:r w:rsidR="00ED42B9" w:rsidRPr="00EB40E8">
        <w:rPr>
          <w:rFonts w:ascii="Arial" w:hAnsi="Arial"/>
          <w:sz w:val="24"/>
          <w:lang w:val="fr-CA"/>
        </w:rPr>
        <w:t>ou</w:t>
      </w:r>
      <w:r w:rsidRPr="00EB40E8">
        <w:rPr>
          <w:rFonts w:ascii="Arial" w:hAnsi="Arial"/>
          <w:sz w:val="24"/>
          <w:lang w:val="fr-CA"/>
        </w:rPr>
        <w:t xml:space="preserve"> négatives pour l’antigène étudié doivent être préparées et testées au même moment que les cellules de donneur et du patient, p. ex. </w:t>
      </w:r>
      <w:r w:rsidR="00ED42B9" w:rsidRPr="00EB40E8">
        <w:rPr>
          <w:rFonts w:ascii="Arial" w:hAnsi="Arial"/>
          <w:sz w:val="24"/>
          <w:lang w:val="fr-CA"/>
        </w:rPr>
        <w:t>lors de l’étude de l’antigène anti-</w:t>
      </w:r>
      <w:r w:rsidR="002F2F30" w:rsidRPr="00EB40E8">
        <w:rPr>
          <w:rFonts w:ascii="Arial" w:hAnsi="Arial"/>
          <w:sz w:val="24"/>
          <w:lang w:val="fr-CA"/>
        </w:rPr>
        <w:t xml:space="preserve"> K1</w:t>
      </w:r>
      <w:r w:rsidR="00ED42B9" w:rsidRPr="00EB40E8">
        <w:rPr>
          <w:rFonts w:ascii="Arial" w:hAnsi="Arial"/>
          <w:sz w:val="24"/>
          <w:lang w:val="fr-CA"/>
        </w:rPr>
        <w:t>, il faut inclure</w:t>
      </w:r>
      <w:r w:rsidR="002F2F30" w:rsidRPr="00EB40E8">
        <w:rPr>
          <w:rFonts w:ascii="Arial" w:hAnsi="Arial"/>
          <w:sz w:val="24"/>
          <w:lang w:val="fr-CA"/>
        </w:rPr>
        <w:t xml:space="preserve"> </w:t>
      </w:r>
      <w:r w:rsidR="00ED42B9" w:rsidRPr="00EB40E8">
        <w:rPr>
          <w:rFonts w:ascii="Arial" w:hAnsi="Arial"/>
          <w:sz w:val="24"/>
          <w:lang w:val="fr-CA"/>
        </w:rPr>
        <w:t xml:space="preserve">à la fois des cellules </w:t>
      </w:r>
      <w:r w:rsidR="002F2F30" w:rsidRPr="00EB40E8">
        <w:rPr>
          <w:rFonts w:ascii="Arial" w:hAnsi="Arial"/>
          <w:sz w:val="24"/>
          <w:lang w:val="fr-CA"/>
        </w:rPr>
        <w:t xml:space="preserve">K1+ </w:t>
      </w:r>
      <w:r w:rsidR="00ED42B9" w:rsidRPr="00EB40E8">
        <w:rPr>
          <w:rFonts w:ascii="Arial" w:hAnsi="Arial"/>
          <w:sz w:val="24"/>
          <w:lang w:val="fr-CA"/>
        </w:rPr>
        <w:t xml:space="preserve">et des cellules </w:t>
      </w:r>
      <w:r w:rsidR="002F2F30" w:rsidRPr="00EB40E8">
        <w:rPr>
          <w:rFonts w:ascii="Arial" w:hAnsi="Arial"/>
          <w:sz w:val="24"/>
          <w:lang w:val="fr-CA"/>
        </w:rPr>
        <w:t xml:space="preserve">K1-. </w:t>
      </w:r>
      <w:r w:rsidR="00ED42B9" w:rsidRPr="00EB40E8">
        <w:rPr>
          <w:rFonts w:ascii="Arial" w:hAnsi="Arial"/>
          <w:sz w:val="24"/>
          <w:lang w:val="fr-CA"/>
        </w:rPr>
        <w:t>Les réactions attendues doivent être obtenues pour que le test soit valide</w:t>
      </w:r>
      <w:r w:rsidR="002F2F30" w:rsidRPr="00EB40E8">
        <w:rPr>
          <w:rFonts w:ascii="Arial" w:hAnsi="Arial"/>
          <w:sz w:val="24"/>
          <w:lang w:val="fr-CA"/>
        </w:rPr>
        <w:t xml:space="preserve">. </w:t>
      </w:r>
    </w:p>
    <w:p w:rsidR="002F2F30" w:rsidRPr="00EB40E8" w:rsidRDefault="002F2F30" w:rsidP="00367ABF">
      <w:pPr>
        <w:rPr>
          <w:rFonts w:ascii="Arial" w:hAnsi="Arial"/>
          <w:sz w:val="24"/>
          <w:lang w:val="fr-CA"/>
        </w:rPr>
      </w:pPr>
    </w:p>
    <w:p w:rsidR="002F2F30" w:rsidRPr="00EB40E8" w:rsidRDefault="002F2F30">
      <w:pPr>
        <w:rPr>
          <w:rFonts w:ascii="Arial" w:hAnsi="Arial"/>
          <w:sz w:val="24"/>
          <w:lang w:val="fr-CA"/>
        </w:rPr>
      </w:pPr>
    </w:p>
    <w:p w:rsidR="002F2F30" w:rsidRPr="00EB40E8" w:rsidRDefault="002F2F30">
      <w:pPr>
        <w:numPr>
          <w:ilvl w:val="0"/>
          <w:numId w:val="1"/>
        </w:numPr>
        <w:rPr>
          <w:rFonts w:ascii="Arial" w:hAnsi="Arial"/>
          <w:b/>
          <w:sz w:val="28"/>
          <w:lang w:val="fr-CA"/>
        </w:rPr>
      </w:pPr>
      <w:r w:rsidRPr="00EB40E8">
        <w:rPr>
          <w:rFonts w:ascii="Arial" w:hAnsi="Arial"/>
          <w:b/>
          <w:sz w:val="28"/>
          <w:lang w:val="fr-CA"/>
        </w:rPr>
        <w:t>Proc</w:t>
      </w:r>
      <w:r w:rsidR="00967DCD" w:rsidRPr="00EB40E8">
        <w:rPr>
          <w:rFonts w:ascii="Arial" w:hAnsi="Arial"/>
          <w:b/>
          <w:sz w:val="28"/>
          <w:lang w:val="fr-CA"/>
        </w:rPr>
        <w:t>é</w:t>
      </w:r>
      <w:r w:rsidRPr="00EB40E8">
        <w:rPr>
          <w:rFonts w:ascii="Arial" w:hAnsi="Arial"/>
          <w:b/>
          <w:sz w:val="28"/>
          <w:lang w:val="fr-CA"/>
        </w:rPr>
        <w:t>dures</w:t>
      </w:r>
    </w:p>
    <w:p w:rsidR="002F2F30" w:rsidRPr="00EB40E8" w:rsidRDefault="002F2F30">
      <w:pPr>
        <w:rPr>
          <w:rFonts w:ascii="Arial" w:hAnsi="Arial"/>
          <w:sz w:val="24"/>
          <w:lang w:val="fr-CA"/>
        </w:rPr>
      </w:pPr>
    </w:p>
    <w:p w:rsidR="002F2F30" w:rsidRPr="00EB40E8" w:rsidRDefault="00967DCD">
      <w:pPr>
        <w:numPr>
          <w:ilvl w:val="1"/>
          <w:numId w:val="1"/>
        </w:numPr>
        <w:rPr>
          <w:rFonts w:ascii="Arial" w:hAnsi="Arial"/>
          <w:sz w:val="24"/>
          <w:lang w:val="fr-CA"/>
        </w:rPr>
      </w:pPr>
      <w:r w:rsidRPr="00EB40E8">
        <w:rPr>
          <w:rFonts w:ascii="Arial" w:hAnsi="Arial"/>
          <w:spacing w:val="-2"/>
          <w:sz w:val="24"/>
          <w:lang w:val="fr-CA"/>
        </w:rPr>
        <w:t xml:space="preserve">Préparation à </w:t>
      </w:r>
      <w:r w:rsidR="00B57BC3" w:rsidRPr="00EB40E8">
        <w:rPr>
          <w:rFonts w:ascii="Arial" w:hAnsi="Arial"/>
          <w:spacing w:val="-2"/>
          <w:sz w:val="24"/>
          <w:lang w:val="fr-CA"/>
        </w:rPr>
        <w:t>0,8 </w:t>
      </w:r>
      <w:r w:rsidRPr="00EB40E8">
        <w:rPr>
          <w:rFonts w:ascii="Arial" w:hAnsi="Arial"/>
          <w:spacing w:val="-2"/>
          <w:sz w:val="24"/>
          <w:lang w:val="fr-CA"/>
        </w:rPr>
        <w:t>% de cellules du patient, de donneur ou témoin, à partir de globules rouges concentrés de l’échantillon du patient ou de segments des unités de donneur</w:t>
      </w:r>
      <w:r w:rsidR="002F2F30" w:rsidRPr="00EB40E8">
        <w:rPr>
          <w:rFonts w:ascii="Arial" w:hAnsi="Arial"/>
          <w:spacing w:val="-2"/>
          <w:sz w:val="24"/>
          <w:lang w:val="fr-CA"/>
        </w:rPr>
        <w:t>.</w:t>
      </w:r>
    </w:p>
    <w:p w:rsidR="002F2F30" w:rsidRPr="00EB40E8" w:rsidRDefault="002F2F30">
      <w:pPr>
        <w:ind w:left="720"/>
        <w:rPr>
          <w:rFonts w:ascii="Arial" w:hAnsi="Arial"/>
          <w:sz w:val="24"/>
          <w:lang w:val="fr-CA"/>
        </w:rPr>
      </w:pPr>
    </w:p>
    <w:p w:rsidR="002F2F30" w:rsidRPr="00EB40E8" w:rsidRDefault="00967DCD">
      <w:pPr>
        <w:numPr>
          <w:ilvl w:val="2"/>
          <w:numId w:val="1"/>
        </w:numPr>
        <w:rPr>
          <w:rFonts w:ascii="Arial" w:hAnsi="Arial"/>
          <w:sz w:val="24"/>
          <w:lang w:val="fr-CA"/>
        </w:rPr>
      </w:pPr>
      <w:r w:rsidRPr="00EB40E8">
        <w:rPr>
          <w:rFonts w:ascii="Arial" w:hAnsi="Arial"/>
          <w:spacing w:val="-2"/>
          <w:sz w:val="24"/>
          <w:lang w:val="fr-CA"/>
        </w:rPr>
        <w:t>Étiqueter un tube</w:t>
      </w:r>
    </w:p>
    <w:p w:rsidR="002F2F30" w:rsidRPr="00EB40E8" w:rsidRDefault="00367ABF" w:rsidP="002100B8">
      <w:pPr>
        <w:numPr>
          <w:ilvl w:val="3"/>
          <w:numId w:val="12"/>
        </w:numPr>
        <w:rPr>
          <w:rFonts w:ascii="Arial" w:hAnsi="Arial"/>
          <w:sz w:val="24"/>
          <w:lang w:val="fr-CA"/>
        </w:rPr>
      </w:pPr>
      <w:r w:rsidRPr="00EB40E8">
        <w:rPr>
          <w:rFonts w:ascii="Arial" w:hAnsi="Arial"/>
          <w:spacing w:val="-2"/>
          <w:sz w:val="24"/>
          <w:lang w:val="fr-CA"/>
        </w:rPr>
        <w:t>p</w:t>
      </w:r>
      <w:r w:rsidR="00967DCD" w:rsidRPr="00EB40E8">
        <w:rPr>
          <w:rFonts w:ascii="Arial" w:hAnsi="Arial"/>
          <w:spacing w:val="-2"/>
          <w:sz w:val="24"/>
          <w:lang w:val="fr-CA"/>
        </w:rPr>
        <w:t>our chaque donneur à tester</w:t>
      </w:r>
    </w:p>
    <w:p w:rsidR="002F2F30" w:rsidRPr="00EB40E8" w:rsidRDefault="00367ABF" w:rsidP="002100B8">
      <w:pPr>
        <w:numPr>
          <w:ilvl w:val="3"/>
          <w:numId w:val="13"/>
        </w:numPr>
        <w:rPr>
          <w:rFonts w:ascii="Arial" w:hAnsi="Arial"/>
          <w:sz w:val="24"/>
          <w:lang w:val="fr-CA"/>
        </w:rPr>
      </w:pPr>
      <w:r w:rsidRPr="00EB40E8">
        <w:rPr>
          <w:rFonts w:ascii="Arial" w:hAnsi="Arial"/>
          <w:spacing w:val="-2"/>
          <w:sz w:val="24"/>
          <w:lang w:val="fr-CA"/>
        </w:rPr>
        <w:t>p</w:t>
      </w:r>
      <w:r w:rsidR="00967DCD" w:rsidRPr="00EB40E8">
        <w:rPr>
          <w:rFonts w:ascii="Arial" w:hAnsi="Arial"/>
          <w:spacing w:val="-2"/>
          <w:sz w:val="24"/>
          <w:lang w:val="fr-CA"/>
        </w:rPr>
        <w:t>our le patient à tester</w:t>
      </w:r>
    </w:p>
    <w:p w:rsidR="002F2F30" w:rsidRPr="00EB40E8" w:rsidRDefault="00367ABF" w:rsidP="002100B8">
      <w:pPr>
        <w:numPr>
          <w:ilvl w:val="3"/>
          <w:numId w:val="14"/>
        </w:numPr>
        <w:tabs>
          <w:tab w:val="left" w:pos="2430"/>
        </w:tabs>
        <w:rPr>
          <w:rFonts w:ascii="Arial" w:hAnsi="Arial"/>
          <w:sz w:val="24"/>
          <w:lang w:val="fr-CA"/>
        </w:rPr>
      </w:pPr>
      <w:r w:rsidRPr="00EB40E8">
        <w:rPr>
          <w:rFonts w:ascii="Arial" w:hAnsi="Arial"/>
          <w:spacing w:val="-2"/>
          <w:sz w:val="24"/>
          <w:lang w:val="fr-CA"/>
        </w:rPr>
        <w:t>p</w:t>
      </w:r>
      <w:r w:rsidR="00967DCD" w:rsidRPr="00EB40E8">
        <w:rPr>
          <w:rFonts w:ascii="Arial" w:hAnsi="Arial"/>
          <w:spacing w:val="-2"/>
          <w:sz w:val="24"/>
          <w:lang w:val="fr-CA"/>
        </w:rPr>
        <w:t>our chaque témoin positif ou négatif</w:t>
      </w:r>
      <w:r w:rsidR="002F2F30" w:rsidRPr="00EB40E8">
        <w:rPr>
          <w:rFonts w:ascii="Arial" w:hAnsi="Arial"/>
          <w:spacing w:val="-2"/>
          <w:sz w:val="24"/>
          <w:lang w:val="fr-CA"/>
        </w:rPr>
        <w:t xml:space="preserve"> </w:t>
      </w:r>
    </w:p>
    <w:p w:rsidR="002F2F30" w:rsidRPr="00EB40E8" w:rsidRDefault="002F2F30" w:rsidP="001C45C0">
      <w:pPr>
        <w:ind w:left="2430"/>
        <w:rPr>
          <w:rFonts w:ascii="Arial" w:hAnsi="Arial"/>
          <w:sz w:val="24"/>
          <w:lang w:val="fr-CA"/>
        </w:rPr>
      </w:pPr>
      <w:r w:rsidRPr="00EB40E8">
        <w:rPr>
          <w:rFonts w:ascii="Arial" w:hAnsi="Arial"/>
          <w:spacing w:val="-2"/>
          <w:sz w:val="24"/>
          <w:lang w:val="fr-CA"/>
        </w:rPr>
        <w:t>(</w:t>
      </w:r>
      <w:r w:rsidR="00967DCD" w:rsidRPr="00EB40E8">
        <w:rPr>
          <w:rFonts w:ascii="Arial" w:hAnsi="Arial"/>
          <w:spacing w:val="-2"/>
          <w:sz w:val="24"/>
          <w:lang w:val="fr-CA"/>
        </w:rPr>
        <w:t xml:space="preserve">inutile si l’on se sert de cellules de dépistage commerciales à </w:t>
      </w:r>
      <w:r w:rsidRPr="00EB40E8">
        <w:rPr>
          <w:rFonts w:ascii="Arial" w:hAnsi="Arial"/>
          <w:spacing w:val="-2"/>
          <w:sz w:val="24"/>
          <w:lang w:val="fr-CA"/>
        </w:rPr>
        <w:t>0</w:t>
      </w:r>
      <w:r w:rsidR="00967DCD" w:rsidRPr="00EB40E8">
        <w:rPr>
          <w:rFonts w:ascii="Arial" w:hAnsi="Arial"/>
          <w:spacing w:val="-2"/>
          <w:sz w:val="24"/>
          <w:lang w:val="fr-CA"/>
        </w:rPr>
        <w:t>,</w:t>
      </w:r>
      <w:r w:rsidRPr="00EB40E8">
        <w:rPr>
          <w:rFonts w:ascii="Arial" w:hAnsi="Arial"/>
          <w:spacing w:val="-2"/>
          <w:sz w:val="24"/>
          <w:lang w:val="fr-CA"/>
        </w:rPr>
        <w:t>8</w:t>
      </w:r>
      <w:r w:rsidR="00967DCD" w:rsidRPr="00EB40E8">
        <w:rPr>
          <w:rFonts w:ascii="Arial" w:hAnsi="Arial"/>
          <w:spacing w:val="-2"/>
          <w:sz w:val="24"/>
          <w:lang w:val="fr-CA"/>
        </w:rPr>
        <w:t> </w:t>
      </w:r>
      <w:r w:rsidRPr="00EB40E8">
        <w:rPr>
          <w:rFonts w:ascii="Arial" w:hAnsi="Arial"/>
          <w:spacing w:val="-2"/>
          <w:sz w:val="24"/>
          <w:lang w:val="fr-CA"/>
        </w:rPr>
        <w:t>%).</w:t>
      </w:r>
    </w:p>
    <w:p w:rsidR="002F2F30" w:rsidRPr="00EB40E8" w:rsidRDefault="002F2F30">
      <w:pPr>
        <w:ind w:left="1440"/>
        <w:rPr>
          <w:rFonts w:ascii="Arial" w:hAnsi="Arial"/>
          <w:sz w:val="24"/>
          <w:lang w:val="fr-CA"/>
        </w:rPr>
      </w:pPr>
    </w:p>
    <w:p w:rsidR="002F2F30" w:rsidRPr="00EB40E8" w:rsidRDefault="00291293">
      <w:pPr>
        <w:numPr>
          <w:ilvl w:val="2"/>
          <w:numId w:val="1"/>
        </w:numPr>
        <w:rPr>
          <w:rFonts w:ascii="Arial" w:hAnsi="Arial"/>
          <w:sz w:val="24"/>
          <w:lang w:val="fr-CA"/>
        </w:rPr>
      </w:pPr>
      <w:r w:rsidRPr="00EB40E8">
        <w:rPr>
          <w:rFonts w:ascii="Arial" w:hAnsi="Arial"/>
          <w:spacing w:val="-2"/>
          <w:sz w:val="24"/>
          <w:lang w:val="fr-CA"/>
        </w:rPr>
        <w:t>Mettre 1,0 m</w:t>
      </w:r>
      <w:r w:rsidR="00967DCD" w:rsidRPr="00EB40E8">
        <w:rPr>
          <w:rFonts w:ascii="Arial" w:hAnsi="Arial"/>
          <w:spacing w:val="-2"/>
          <w:sz w:val="24"/>
          <w:lang w:val="fr-CA"/>
        </w:rPr>
        <w:t>L</w:t>
      </w:r>
      <w:r w:rsidRPr="00EB40E8">
        <w:rPr>
          <w:rFonts w:ascii="Arial" w:hAnsi="Arial"/>
          <w:spacing w:val="-2"/>
          <w:sz w:val="24"/>
          <w:lang w:val="fr-CA"/>
        </w:rPr>
        <w:t xml:space="preserve"> de </w:t>
      </w:r>
      <w:r w:rsidR="00967DCD" w:rsidRPr="00EB40E8">
        <w:rPr>
          <w:rFonts w:ascii="Arial" w:hAnsi="Arial"/>
          <w:spacing w:val="-2"/>
          <w:sz w:val="24"/>
          <w:lang w:val="fr-CA"/>
        </w:rPr>
        <w:t>D</w:t>
      </w:r>
      <w:r w:rsidRPr="00EB40E8">
        <w:rPr>
          <w:rFonts w:ascii="Arial" w:hAnsi="Arial"/>
          <w:spacing w:val="-2"/>
          <w:sz w:val="24"/>
          <w:lang w:val="fr-CA"/>
        </w:rPr>
        <w:t>iluent 2 de MTS dans le ou les tubes étiquetés.</w:t>
      </w:r>
      <w:r w:rsidR="002F2F30" w:rsidRPr="00EB40E8">
        <w:rPr>
          <w:rFonts w:ascii="Arial" w:hAnsi="Arial"/>
          <w:spacing w:val="-2"/>
          <w:sz w:val="24"/>
          <w:lang w:val="fr-CA"/>
        </w:rPr>
        <w:t xml:space="preserve">  </w:t>
      </w:r>
      <w:r w:rsidR="00967DCD" w:rsidRPr="00EB40E8">
        <w:rPr>
          <w:rFonts w:ascii="Arial" w:hAnsi="Arial"/>
          <w:spacing w:val="-2"/>
          <w:sz w:val="24"/>
          <w:lang w:val="fr-CA"/>
        </w:rPr>
        <w:t>Ajouter 1</w:t>
      </w:r>
      <w:r w:rsidR="002F2F30" w:rsidRPr="00EB40E8">
        <w:rPr>
          <w:rFonts w:ascii="Arial" w:hAnsi="Arial"/>
          <w:spacing w:val="-2"/>
          <w:sz w:val="24"/>
          <w:lang w:val="fr-CA"/>
        </w:rPr>
        <w:t>0</w:t>
      </w:r>
      <w:r w:rsidR="00967DCD" w:rsidRPr="00EB40E8">
        <w:rPr>
          <w:rFonts w:ascii="Arial" w:hAnsi="Arial"/>
          <w:spacing w:val="-2"/>
          <w:sz w:val="24"/>
          <w:lang w:val="fr-CA"/>
        </w:rPr>
        <w:t> </w:t>
      </w:r>
      <w:r w:rsidR="002F2F30" w:rsidRPr="00EB40E8">
        <w:rPr>
          <w:rFonts w:ascii="Arial" w:hAnsi="Arial"/>
          <w:spacing w:val="-2"/>
          <w:sz w:val="24"/>
          <w:lang w:val="fr-CA"/>
        </w:rPr>
        <w:t xml:space="preserve">µL </w:t>
      </w:r>
      <w:r w:rsidR="00967DCD" w:rsidRPr="00EB40E8">
        <w:rPr>
          <w:rFonts w:ascii="Arial" w:hAnsi="Arial"/>
          <w:spacing w:val="-2"/>
          <w:sz w:val="24"/>
          <w:lang w:val="fr-CA"/>
        </w:rPr>
        <w:t>de globules rouges concentrés du patient ou du donneur au tube étiqueté correspondant</w:t>
      </w:r>
      <w:r w:rsidR="002F2F30" w:rsidRPr="00EB40E8">
        <w:rPr>
          <w:rFonts w:ascii="Arial" w:hAnsi="Arial"/>
          <w:spacing w:val="-2"/>
          <w:sz w:val="24"/>
          <w:lang w:val="fr-CA"/>
        </w:rPr>
        <w:t>.</w:t>
      </w:r>
    </w:p>
    <w:p w:rsidR="002F2F30" w:rsidRPr="00EB40E8" w:rsidRDefault="002F2F30">
      <w:pPr>
        <w:rPr>
          <w:rFonts w:ascii="Arial" w:hAnsi="Arial"/>
          <w:sz w:val="24"/>
          <w:lang w:val="fr-CA"/>
        </w:rPr>
      </w:pPr>
    </w:p>
    <w:p w:rsidR="002F2F30" w:rsidRPr="00EB40E8" w:rsidRDefault="00291293">
      <w:pPr>
        <w:numPr>
          <w:ilvl w:val="2"/>
          <w:numId w:val="1"/>
        </w:numPr>
        <w:rPr>
          <w:rFonts w:ascii="Arial" w:hAnsi="Arial"/>
          <w:sz w:val="24"/>
          <w:lang w:val="fr-CA"/>
        </w:rPr>
      </w:pPr>
      <w:r w:rsidRPr="00EB40E8">
        <w:rPr>
          <w:rFonts w:ascii="Arial" w:hAnsi="Arial"/>
          <w:spacing w:val="-2"/>
          <w:sz w:val="24"/>
          <w:lang w:val="fr-CA"/>
        </w:rPr>
        <w:t>Mélanger doucement.</w:t>
      </w:r>
      <w:r w:rsidR="005152A1" w:rsidRPr="00EB40E8">
        <w:rPr>
          <w:rFonts w:ascii="Arial" w:hAnsi="Arial"/>
          <w:spacing w:val="-2"/>
          <w:sz w:val="24"/>
          <w:lang w:val="fr-CA"/>
        </w:rPr>
        <w:t xml:space="preserve"> </w:t>
      </w:r>
      <w:r w:rsidRPr="00EB40E8">
        <w:rPr>
          <w:rFonts w:ascii="Arial" w:hAnsi="Arial"/>
          <w:spacing w:val="-2"/>
          <w:sz w:val="24"/>
          <w:lang w:val="fr-CA"/>
        </w:rPr>
        <w:t>Les suspensions cellulaires finales devraient avoir une concentration d'environ 0,8 %; elles sont stables pendant 24 heures. Pour de meilleurs résultats, la concentration des suspensions d</w:t>
      </w:r>
      <w:r w:rsidR="00B57BC3" w:rsidRPr="00EB40E8">
        <w:rPr>
          <w:rFonts w:ascii="Arial" w:hAnsi="Arial"/>
          <w:spacing w:val="-2"/>
          <w:sz w:val="24"/>
          <w:lang w:val="fr-CA"/>
        </w:rPr>
        <w:t>oit</w:t>
      </w:r>
      <w:r w:rsidRPr="00EB40E8">
        <w:rPr>
          <w:rFonts w:ascii="Arial" w:hAnsi="Arial"/>
          <w:spacing w:val="-2"/>
          <w:sz w:val="24"/>
          <w:lang w:val="fr-CA"/>
        </w:rPr>
        <w:t xml:space="preserve"> se situer entre 0,6 % et 1,0 %.</w:t>
      </w:r>
    </w:p>
    <w:p w:rsidR="002F2F30" w:rsidRPr="00EB40E8" w:rsidRDefault="002F2F30">
      <w:pPr>
        <w:rPr>
          <w:rFonts w:ascii="Arial" w:hAnsi="Arial"/>
          <w:sz w:val="24"/>
          <w:lang w:val="fr-CA"/>
        </w:rPr>
      </w:pPr>
    </w:p>
    <w:p w:rsidR="002F2F30" w:rsidRPr="00EB40E8" w:rsidRDefault="00F53C76">
      <w:pPr>
        <w:numPr>
          <w:ilvl w:val="1"/>
          <w:numId w:val="1"/>
        </w:numPr>
        <w:rPr>
          <w:rFonts w:ascii="Arial" w:hAnsi="Arial"/>
          <w:sz w:val="24"/>
          <w:lang w:val="fr-CA"/>
        </w:rPr>
      </w:pPr>
      <w:r w:rsidRPr="00EB40E8">
        <w:rPr>
          <w:rFonts w:ascii="Arial" w:hAnsi="Arial"/>
          <w:spacing w:val="-2"/>
          <w:sz w:val="24"/>
          <w:lang w:val="fr-CA"/>
        </w:rPr>
        <w:t>Procédure du test</w:t>
      </w:r>
    </w:p>
    <w:p w:rsidR="002F2F30" w:rsidRPr="00EB40E8" w:rsidRDefault="002F2F30">
      <w:pPr>
        <w:ind w:left="720"/>
        <w:rPr>
          <w:rFonts w:ascii="Arial" w:hAnsi="Arial"/>
          <w:sz w:val="24"/>
          <w:lang w:val="fr-CA"/>
        </w:rPr>
      </w:pPr>
    </w:p>
    <w:p w:rsidR="002F2F30" w:rsidRPr="00EB40E8" w:rsidRDefault="00B57BC3">
      <w:pPr>
        <w:numPr>
          <w:ilvl w:val="2"/>
          <w:numId w:val="1"/>
        </w:numPr>
        <w:rPr>
          <w:rFonts w:ascii="Arial" w:hAnsi="Arial"/>
          <w:sz w:val="24"/>
          <w:lang w:val="fr-CA"/>
        </w:rPr>
      </w:pPr>
      <w:r w:rsidRPr="00EB40E8">
        <w:rPr>
          <w:rFonts w:ascii="Arial" w:hAnsi="Arial"/>
          <w:spacing w:val="-2"/>
          <w:sz w:val="24"/>
          <w:lang w:val="fr-CA"/>
        </w:rPr>
        <w:t xml:space="preserve">Noter sur </w:t>
      </w:r>
      <w:r w:rsidR="00291293" w:rsidRPr="00EB40E8">
        <w:rPr>
          <w:rFonts w:ascii="Arial" w:hAnsi="Arial"/>
          <w:spacing w:val="-2"/>
          <w:sz w:val="24"/>
          <w:lang w:val="fr-CA"/>
        </w:rPr>
        <w:t>la carte anti-</w:t>
      </w:r>
      <w:r w:rsidR="00967DCD" w:rsidRPr="00EB40E8">
        <w:rPr>
          <w:rFonts w:ascii="Arial" w:hAnsi="Arial"/>
          <w:spacing w:val="-2"/>
          <w:sz w:val="24"/>
          <w:lang w:val="fr-CA"/>
        </w:rPr>
        <w:t>I</w:t>
      </w:r>
      <w:r w:rsidR="00291293" w:rsidRPr="00EB40E8">
        <w:rPr>
          <w:rFonts w:ascii="Arial" w:hAnsi="Arial"/>
          <w:spacing w:val="-2"/>
          <w:sz w:val="24"/>
          <w:lang w:val="fr-CA"/>
        </w:rPr>
        <w:t>g</w:t>
      </w:r>
      <w:r w:rsidR="00967DCD" w:rsidRPr="00EB40E8">
        <w:rPr>
          <w:rFonts w:ascii="Arial" w:hAnsi="Arial"/>
          <w:spacing w:val="-2"/>
          <w:sz w:val="24"/>
          <w:lang w:val="fr-CA"/>
        </w:rPr>
        <w:t>G</w:t>
      </w:r>
      <w:r w:rsidR="00291293" w:rsidRPr="00EB40E8">
        <w:rPr>
          <w:rFonts w:ascii="Arial" w:hAnsi="Arial"/>
          <w:spacing w:val="-2"/>
          <w:sz w:val="24"/>
          <w:lang w:val="fr-CA"/>
        </w:rPr>
        <w:t xml:space="preserve"> </w:t>
      </w:r>
      <w:r w:rsidR="00967DCD" w:rsidRPr="00EB40E8">
        <w:rPr>
          <w:rFonts w:ascii="Arial" w:hAnsi="Arial"/>
          <w:spacing w:val="-2"/>
          <w:sz w:val="24"/>
          <w:lang w:val="fr-CA"/>
        </w:rPr>
        <w:t>MTS</w:t>
      </w:r>
      <w:r w:rsidR="00291293" w:rsidRPr="00EB40E8">
        <w:rPr>
          <w:rFonts w:ascii="Arial" w:hAnsi="Arial"/>
          <w:spacing w:val="-2"/>
          <w:sz w:val="24"/>
          <w:lang w:val="fr-CA"/>
        </w:rPr>
        <w:t xml:space="preserve"> les renseignements appropriés concernant l'identification du patient et l'épreuve.</w:t>
      </w:r>
    </w:p>
    <w:p w:rsidR="002F2F30" w:rsidRPr="00EB40E8" w:rsidRDefault="00367ABF" w:rsidP="00367ABF">
      <w:pPr>
        <w:numPr>
          <w:ilvl w:val="3"/>
          <w:numId w:val="12"/>
        </w:numPr>
        <w:rPr>
          <w:rFonts w:ascii="Arial" w:hAnsi="Arial"/>
          <w:spacing w:val="-2"/>
          <w:sz w:val="24"/>
          <w:lang w:val="fr-CA"/>
        </w:rPr>
      </w:pPr>
      <w:r w:rsidRPr="00EB40E8">
        <w:rPr>
          <w:rFonts w:ascii="Arial" w:hAnsi="Arial"/>
          <w:spacing w:val="-2"/>
          <w:sz w:val="24"/>
          <w:lang w:val="fr-CA"/>
        </w:rPr>
        <w:t>l</w:t>
      </w:r>
      <w:r w:rsidR="00967DCD" w:rsidRPr="00EB40E8">
        <w:rPr>
          <w:rFonts w:ascii="Arial" w:hAnsi="Arial"/>
          <w:spacing w:val="-2"/>
          <w:sz w:val="24"/>
          <w:lang w:val="fr-CA"/>
        </w:rPr>
        <w:t>e nom de famille du patient</w:t>
      </w:r>
    </w:p>
    <w:p w:rsidR="002F2F30" w:rsidRPr="00EB40E8" w:rsidRDefault="00367ABF" w:rsidP="00367ABF">
      <w:pPr>
        <w:numPr>
          <w:ilvl w:val="3"/>
          <w:numId w:val="12"/>
        </w:numPr>
        <w:rPr>
          <w:rFonts w:ascii="Arial" w:hAnsi="Arial"/>
          <w:spacing w:val="-2"/>
          <w:sz w:val="24"/>
          <w:lang w:val="fr-CA"/>
        </w:rPr>
      </w:pPr>
      <w:r w:rsidRPr="00EB40E8">
        <w:rPr>
          <w:rFonts w:ascii="Arial" w:hAnsi="Arial"/>
          <w:spacing w:val="-2"/>
          <w:sz w:val="24"/>
          <w:lang w:val="fr-CA"/>
        </w:rPr>
        <w:t>l</w:t>
      </w:r>
      <w:r w:rsidR="00967DCD" w:rsidRPr="00EB40E8">
        <w:rPr>
          <w:rFonts w:ascii="Arial" w:hAnsi="Arial"/>
          <w:spacing w:val="-2"/>
          <w:sz w:val="24"/>
          <w:lang w:val="fr-CA"/>
        </w:rPr>
        <w:t>es 4 derniers chiffres du numéro de donneu</w:t>
      </w:r>
      <w:r w:rsidR="002F2F30" w:rsidRPr="00EB40E8">
        <w:rPr>
          <w:rFonts w:ascii="Arial" w:hAnsi="Arial"/>
          <w:spacing w:val="-2"/>
          <w:sz w:val="24"/>
          <w:lang w:val="fr-CA"/>
        </w:rPr>
        <w:t>r</w:t>
      </w:r>
      <w:r w:rsidR="00967DCD" w:rsidRPr="00EB40E8">
        <w:rPr>
          <w:rFonts w:ascii="Arial" w:hAnsi="Arial"/>
          <w:spacing w:val="-2"/>
          <w:sz w:val="24"/>
          <w:lang w:val="fr-CA"/>
        </w:rPr>
        <w:br/>
      </w:r>
      <w:r w:rsidRPr="00EB40E8">
        <w:rPr>
          <w:rFonts w:ascii="Arial" w:hAnsi="Arial"/>
          <w:spacing w:val="-2"/>
          <w:sz w:val="24"/>
          <w:lang w:val="fr-CA"/>
        </w:rPr>
        <w:t>l</w:t>
      </w:r>
      <w:r w:rsidR="00F53C76" w:rsidRPr="00EB40E8">
        <w:rPr>
          <w:rFonts w:ascii="Arial" w:hAnsi="Arial"/>
          <w:spacing w:val="-2"/>
          <w:sz w:val="24"/>
          <w:lang w:val="fr-CA"/>
        </w:rPr>
        <w:t xml:space="preserve">e réactif utilisé et son numéro de lot </w:t>
      </w:r>
      <w:r w:rsidR="002F2F30" w:rsidRPr="00EB40E8">
        <w:rPr>
          <w:rFonts w:ascii="Arial" w:hAnsi="Arial"/>
          <w:spacing w:val="-2"/>
          <w:sz w:val="24"/>
          <w:lang w:val="fr-CA"/>
        </w:rPr>
        <w:t>(</w:t>
      </w:r>
      <w:r w:rsidR="00F53C76" w:rsidRPr="00EB40E8">
        <w:rPr>
          <w:rFonts w:ascii="Arial" w:hAnsi="Arial"/>
          <w:spacing w:val="-2"/>
          <w:sz w:val="24"/>
          <w:lang w:val="fr-CA"/>
        </w:rPr>
        <w:t>p. ex.</w:t>
      </w:r>
      <w:r w:rsidR="002F2F30" w:rsidRPr="00EB40E8">
        <w:rPr>
          <w:rFonts w:ascii="Arial" w:hAnsi="Arial"/>
          <w:spacing w:val="-2"/>
          <w:sz w:val="24"/>
          <w:lang w:val="fr-CA"/>
        </w:rPr>
        <w:t xml:space="preserve"> anti-Fya Lot 123)</w:t>
      </w:r>
    </w:p>
    <w:p w:rsidR="002F2F30" w:rsidRPr="00EB40E8" w:rsidRDefault="002F2F30">
      <w:pPr>
        <w:rPr>
          <w:rFonts w:ascii="Arial" w:hAnsi="Arial"/>
          <w:sz w:val="24"/>
          <w:lang w:val="fr-CA"/>
        </w:rPr>
      </w:pPr>
    </w:p>
    <w:p w:rsidR="002F2F30" w:rsidRPr="00EB40E8" w:rsidRDefault="00F53C76">
      <w:pPr>
        <w:numPr>
          <w:ilvl w:val="2"/>
          <w:numId w:val="1"/>
        </w:numPr>
        <w:rPr>
          <w:rFonts w:ascii="Arial" w:hAnsi="Arial"/>
          <w:sz w:val="24"/>
          <w:lang w:val="fr-CA"/>
        </w:rPr>
      </w:pPr>
      <w:r w:rsidRPr="00EB40E8">
        <w:rPr>
          <w:rFonts w:ascii="Arial" w:hAnsi="Arial"/>
          <w:spacing w:val="-2"/>
          <w:sz w:val="24"/>
          <w:lang w:val="fr-CA"/>
        </w:rPr>
        <w:t>Enlever l'opercule en aluminium des microtubes à utiliser.</w:t>
      </w:r>
    </w:p>
    <w:p w:rsidR="00367ABF" w:rsidRPr="00EB40E8" w:rsidRDefault="00367ABF" w:rsidP="00367ABF">
      <w:pPr>
        <w:tabs>
          <w:tab w:val="left" w:pos="-720"/>
          <w:tab w:val="left" w:pos="0"/>
          <w:tab w:val="left" w:pos="720"/>
        </w:tabs>
        <w:suppressAutoHyphens/>
        <w:ind w:left="2160"/>
        <w:rPr>
          <w:rFonts w:ascii="Arial" w:hAnsi="Arial"/>
          <w:spacing w:val="-2"/>
          <w:sz w:val="24"/>
          <w:lang w:val="fr-CA"/>
        </w:rPr>
      </w:pPr>
      <w:r w:rsidRPr="00EB40E8">
        <w:rPr>
          <w:rFonts w:ascii="Arial" w:hAnsi="Arial"/>
          <w:b/>
          <w:spacing w:val="-2"/>
          <w:sz w:val="24"/>
          <w:lang w:val="fr-CA"/>
        </w:rPr>
        <w:t>Remarque</w:t>
      </w:r>
      <w:r w:rsidRPr="00EB40E8">
        <w:rPr>
          <w:rFonts w:ascii="Arial" w:hAnsi="Arial"/>
          <w:spacing w:val="-2"/>
          <w:sz w:val="24"/>
          <w:lang w:val="fr-CA"/>
        </w:rPr>
        <w:t> : l’opercule doit être retiré juste avant le test ou dans l’heure qui le précède. Une fois l’aluminium retiré, le gel peut commencer à sécher, ce qui affecterait les résultats. On doit s’assurer qu’il ne reste aucun morceau d’aluminium obstruant l’ouverture d’un microtube</w:t>
      </w:r>
    </w:p>
    <w:p w:rsidR="002F2F30" w:rsidRPr="00EB40E8" w:rsidRDefault="002F2F30">
      <w:pPr>
        <w:rPr>
          <w:rFonts w:ascii="Arial" w:hAnsi="Arial"/>
          <w:sz w:val="24"/>
          <w:lang w:val="fr-CA"/>
        </w:rPr>
      </w:pPr>
    </w:p>
    <w:p w:rsidR="002F2F30" w:rsidRPr="00EB40E8" w:rsidRDefault="00F53C76">
      <w:pPr>
        <w:numPr>
          <w:ilvl w:val="2"/>
          <w:numId w:val="1"/>
        </w:numPr>
        <w:rPr>
          <w:rFonts w:ascii="Arial" w:hAnsi="Arial"/>
          <w:sz w:val="24"/>
          <w:lang w:val="fr-CA"/>
        </w:rPr>
      </w:pPr>
      <w:r w:rsidRPr="00EB40E8">
        <w:rPr>
          <w:rFonts w:ascii="Arial" w:hAnsi="Arial"/>
          <w:spacing w:val="-2"/>
          <w:sz w:val="24"/>
          <w:lang w:val="fr-CA"/>
        </w:rPr>
        <w:t>Au bon microtube</w:t>
      </w:r>
      <w:r w:rsidR="002F2F30" w:rsidRPr="00EB40E8">
        <w:rPr>
          <w:rFonts w:ascii="Arial" w:hAnsi="Arial"/>
          <w:spacing w:val="-2"/>
          <w:sz w:val="24"/>
          <w:lang w:val="fr-CA"/>
        </w:rPr>
        <w:t xml:space="preserve">, </w:t>
      </w:r>
      <w:r w:rsidRPr="00EB40E8">
        <w:rPr>
          <w:rFonts w:ascii="Arial" w:hAnsi="Arial"/>
          <w:spacing w:val="-2"/>
          <w:sz w:val="24"/>
          <w:lang w:val="fr-CA"/>
        </w:rPr>
        <w:t>à l’aide d’une pipette appropriée</w:t>
      </w:r>
      <w:r w:rsidR="002F2F30" w:rsidRPr="00EB40E8">
        <w:rPr>
          <w:rFonts w:ascii="Arial" w:hAnsi="Arial"/>
          <w:spacing w:val="-2"/>
          <w:sz w:val="24"/>
          <w:lang w:val="fr-CA"/>
        </w:rPr>
        <w:t xml:space="preserve">, </w:t>
      </w:r>
      <w:r w:rsidRPr="00EB40E8">
        <w:rPr>
          <w:rFonts w:ascii="Arial" w:hAnsi="Arial"/>
          <w:spacing w:val="-2"/>
          <w:sz w:val="24"/>
          <w:lang w:val="fr-CA"/>
        </w:rPr>
        <w:t>ajouter</w:t>
      </w:r>
      <w:r w:rsidR="002F2F30" w:rsidRPr="00EB40E8">
        <w:rPr>
          <w:rFonts w:ascii="Arial" w:hAnsi="Arial"/>
          <w:spacing w:val="-2"/>
          <w:sz w:val="24"/>
          <w:lang w:val="fr-CA"/>
        </w:rPr>
        <w:t xml:space="preserve"> 50</w:t>
      </w:r>
      <w:r w:rsidR="002F2F30" w:rsidRPr="00EB40E8">
        <w:rPr>
          <w:rFonts w:ascii="Arial" w:hAnsi="Arial"/>
          <w:spacing w:val="-2"/>
          <w:sz w:val="24"/>
          <w:lang w:val="fr-CA"/>
        </w:rPr>
        <w:sym w:font="Symbol" w:char="F06D"/>
      </w:r>
      <w:r w:rsidR="002F2F30" w:rsidRPr="00EB40E8">
        <w:rPr>
          <w:rFonts w:ascii="Arial" w:hAnsi="Arial"/>
          <w:spacing w:val="-2"/>
          <w:sz w:val="24"/>
          <w:lang w:val="fr-CA"/>
        </w:rPr>
        <w:t xml:space="preserve">L </w:t>
      </w:r>
      <w:r w:rsidRPr="00EB40E8">
        <w:rPr>
          <w:rFonts w:ascii="Arial" w:hAnsi="Arial"/>
          <w:spacing w:val="-2"/>
          <w:sz w:val="24"/>
          <w:lang w:val="fr-CA"/>
        </w:rPr>
        <w:t xml:space="preserve">d’une suspension à </w:t>
      </w:r>
      <w:r w:rsidR="002F2F30" w:rsidRPr="00EB40E8">
        <w:rPr>
          <w:rFonts w:ascii="Arial" w:hAnsi="Arial"/>
          <w:spacing w:val="-2"/>
          <w:sz w:val="24"/>
          <w:lang w:val="fr-CA"/>
        </w:rPr>
        <w:t>0</w:t>
      </w:r>
      <w:r w:rsidRPr="00EB40E8">
        <w:rPr>
          <w:rFonts w:ascii="Arial" w:hAnsi="Arial"/>
          <w:spacing w:val="-2"/>
          <w:sz w:val="24"/>
          <w:lang w:val="fr-CA"/>
        </w:rPr>
        <w:t>,</w:t>
      </w:r>
      <w:r w:rsidR="002F2F30" w:rsidRPr="00EB40E8">
        <w:rPr>
          <w:rFonts w:ascii="Arial" w:hAnsi="Arial"/>
          <w:spacing w:val="-2"/>
          <w:sz w:val="24"/>
          <w:lang w:val="fr-CA"/>
        </w:rPr>
        <w:t>8</w:t>
      </w:r>
      <w:r w:rsidRPr="00EB40E8">
        <w:rPr>
          <w:rFonts w:ascii="Arial" w:hAnsi="Arial"/>
          <w:spacing w:val="-2"/>
          <w:sz w:val="24"/>
          <w:lang w:val="fr-CA"/>
        </w:rPr>
        <w:t> </w:t>
      </w:r>
      <w:r w:rsidR="002F2F30" w:rsidRPr="00EB40E8">
        <w:rPr>
          <w:rFonts w:ascii="Arial" w:hAnsi="Arial"/>
          <w:spacing w:val="-2"/>
          <w:sz w:val="24"/>
          <w:lang w:val="fr-CA"/>
        </w:rPr>
        <w:t xml:space="preserve">% </w:t>
      </w:r>
      <w:r w:rsidRPr="00EB40E8">
        <w:rPr>
          <w:rFonts w:ascii="Arial" w:hAnsi="Arial"/>
          <w:spacing w:val="-2"/>
          <w:sz w:val="24"/>
          <w:lang w:val="fr-CA"/>
        </w:rPr>
        <w:t xml:space="preserve">de globules rouges : </w:t>
      </w:r>
      <w:r w:rsidR="002F2F30" w:rsidRPr="00EB40E8">
        <w:rPr>
          <w:rFonts w:ascii="Arial" w:hAnsi="Arial"/>
          <w:spacing w:val="-2"/>
          <w:sz w:val="24"/>
          <w:lang w:val="fr-CA"/>
        </w:rPr>
        <w:t xml:space="preserve"> </w:t>
      </w:r>
    </w:p>
    <w:p w:rsidR="002F2F30" w:rsidRPr="00EB40E8" w:rsidRDefault="00F53C76">
      <w:pPr>
        <w:numPr>
          <w:ilvl w:val="0"/>
          <w:numId w:val="11"/>
        </w:numPr>
        <w:tabs>
          <w:tab w:val="clear" w:pos="360"/>
          <w:tab w:val="num" w:pos="2520"/>
        </w:tabs>
        <w:ind w:left="2520"/>
        <w:rPr>
          <w:rFonts w:ascii="Arial" w:hAnsi="Arial"/>
          <w:spacing w:val="-2"/>
          <w:sz w:val="24"/>
          <w:lang w:val="fr-CA"/>
        </w:rPr>
      </w:pPr>
      <w:r w:rsidRPr="00EB40E8">
        <w:rPr>
          <w:rFonts w:ascii="Arial" w:hAnsi="Arial"/>
          <w:spacing w:val="-2"/>
          <w:sz w:val="24"/>
          <w:lang w:val="fr-CA"/>
        </w:rPr>
        <w:t>de c</w:t>
      </w:r>
      <w:r w:rsidR="002B32DC" w:rsidRPr="00EB40E8">
        <w:rPr>
          <w:rFonts w:ascii="Arial" w:hAnsi="Arial"/>
          <w:spacing w:val="-2"/>
          <w:sz w:val="24"/>
          <w:lang w:val="fr-CA"/>
        </w:rPr>
        <w:t>ellules du patient</w:t>
      </w:r>
    </w:p>
    <w:p w:rsidR="002F2F30" w:rsidRPr="00EB40E8" w:rsidRDefault="00F53C76">
      <w:pPr>
        <w:numPr>
          <w:ilvl w:val="0"/>
          <w:numId w:val="11"/>
        </w:numPr>
        <w:tabs>
          <w:tab w:val="clear" w:pos="360"/>
          <w:tab w:val="num" w:pos="2520"/>
        </w:tabs>
        <w:ind w:left="2520"/>
        <w:rPr>
          <w:rFonts w:ascii="Arial" w:hAnsi="Arial"/>
          <w:spacing w:val="-2"/>
          <w:sz w:val="24"/>
          <w:lang w:val="fr-CA"/>
        </w:rPr>
      </w:pPr>
      <w:r w:rsidRPr="00EB40E8">
        <w:rPr>
          <w:rFonts w:ascii="Arial" w:hAnsi="Arial"/>
          <w:spacing w:val="-2"/>
          <w:sz w:val="24"/>
          <w:lang w:val="fr-CA"/>
        </w:rPr>
        <w:t>de c</w:t>
      </w:r>
      <w:r w:rsidR="002B32DC" w:rsidRPr="00EB40E8">
        <w:rPr>
          <w:rFonts w:ascii="Arial" w:hAnsi="Arial"/>
          <w:spacing w:val="-2"/>
          <w:sz w:val="24"/>
          <w:lang w:val="fr-CA"/>
        </w:rPr>
        <w:t>ellules témoins positives et négatives</w:t>
      </w:r>
      <w:r w:rsidR="00697EFA" w:rsidRPr="00EB40E8">
        <w:rPr>
          <w:rFonts w:ascii="Arial" w:hAnsi="Arial"/>
          <w:spacing w:val="-2"/>
          <w:sz w:val="24"/>
          <w:lang w:val="fr-CA"/>
        </w:rPr>
        <w:t>. Utiliser des globules rouges ayant une expression simple de l’antigène testé pour les témoins positifs</w:t>
      </w:r>
      <w:r w:rsidR="00697EFA" w:rsidRPr="00EB40E8">
        <w:rPr>
          <w:rFonts w:ascii="Arial" w:hAnsi="Arial"/>
          <w:spacing w:val="-2"/>
          <w:sz w:val="24"/>
          <w:vertAlign w:val="superscript"/>
          <w:lang w:val="fr-CA"/>
        </w:rPr>
        <w:t>9.1</w:t>
      </w:r>
      <w:r w:rsidR="00697EFA" w:rsidRPr="00EB40E8">
        <w:rPr>
          <w:rFonts w:ascii="Arial" w:hAnsi="Arial"/>
          <w:spacing w:val="-2"/>
          <w:sz w:val="24"/>
          <w:lang w:val="fr-CA"/>
        </w:rPr>
        <w:t>.</w:t>
      </w:r>
    </w:p>
    <w:p w:rsidR="002F2F30" w:rsidRPr="00EB40E8" w:rsidRDefault="00F53C76">
      <w:pPr>
        <w:numPr>
          <w:ilvl w:val="0"/>
          <w:numId w:val="11"/>
        </w:numPr>
        <w:tabs>
          <w:tab w:val="clear" w:pos="360"/>
          <w:tab w:val="num" w:pos="2520"/>
        </w:tabs>
        <w:ind w:left="2520"/>
        <w:rPr>
          <w:rFonts w:ascii="Arial" w:hAnsi="Arial"/>
          <w:spacing w:val="-2"/>
          <w:sz w:val="24"/>
          <w:lang w:val="fr-CA"/>
        </w:rPr>
      </w:pPr>
      <w:r w:rsidRPr="00EB40E8">
        <w:rPr>
          <w:rFonts w:ascii="Arial" w:hAnsi="Arial"/>
          <w:spacing w:val="-2"/>
          <w:sz w:val="24"/>
          <w:lang w:val="fr-CA"/>
        </w:rPr>
        <w:t>de chaque unité de donneur</w:t>
      </w:r>
    </w:p>
    <w:p w:rsidR="002F2F30" w:rsidRPr="00EB40E8" w:rsidRDefault="002F2F30">
      <w:pPr>
        <w:ind w:left="2160"/>
        <w:rPr>
          <w:rFonts w:ascii="Arial" w:hAnsi="Arial"/>
          <w:spacing w:val="-2"/>
          <w:sz w:val="24"/>
          <w:lang w:val="fr-CA"/>
        </w:rPr>
      </w:pPr>
    </w:p>
    <w:p w:rsidR="002F2F30" w:rsidRPr="00EB40E8" w:rsidRDefault="00291293">
      <w:pPr>
        <w:pStyle w:val="BodyTextIndent3"/>
        <w:rPr>
          <w:lang w:val="fr-CA"/>
        </w:rPr>
      </w:pPr>
      <w:r w:rsidRPr="00EB40E8">
        <w:rPr>
          <w:lang w:val="fr-CA"/>
        </w:rPr>
        <w:t>La pipette ne doit pas toucher la carte de gel.</w:t>
      </w:r>
      <w:r w:rsidR="002F2F30" w:rsidRPr="00EB40E8">
        <w:rPr>
          <w:lang w:val="fr-CA"/>
        </w:rPr>
        <w:t xml:space="preserve"> </w:t>
      </w:r>
      <w:r w:rsidR="002B32DC" w:rsidRPr="00EB40E8">
        <w:rPr>
          <w:lang w:val="fr-CA"/>
        </w:rPr>
        <w:t xml:space="preserve">Un témoin positif et un témoin </w:t>
      </w:r>
      <w:r w:rsidR="00697EFA" w:rsidRPr="00EB40E8">
        <w:rPr>
          <w:lang w:val="fr-CA"/>
        </w:rPr>
        <w:t>négatif</w:t>
      </w:r>
      <w:r w:rsidR="002B32DC" w:rsidRPr="00EB40E8">
        <w:rPr>
          <w:lang w:val="fr-CA"/>
        </w:rPr>
        <w:t xml:space="preserve"> doivent être utilisés pour chaque lot incubé.</w:t>
      </w:r>
    </w:p>
    <w:p w:rsidR="002F2F30" w:rsidRPr="00EB40E8" w:rsidRDefault="002F2F30">
      <w:pPr>
        <w:rPr>
          <w:rFonts w:ascii="Arial" w:hAnsi="Arial"/>
          <w:sz w:val="24"/>
          <w:lang w:val="fr-CA"/>
        </w:rPr>
      </w:pPr>
    </w:p>
    <w:p w:rsidR="002F2F30" w:rsidRPr="00EB40E8" w:rsidRDefault="002B32DC">
      <w:pPr>
        <w:numPr>
          <w:ilvl w:val="2"/>
          <w:numId w:val="1"/>
        </w:numPr>
        <w:rPr>
          <w:rFonts w:ascii="Arial" w:hAnsi="Arial"/>
          <w:sz w:val="24"/>
          <w:lang w:val="fr-CA"/>
        </w:rPr>
      </w:pPr>
      <w:r w:rsidRPr="00EB40E8">
        <w:rPr>
          <w:rFonts w:ascii="Arial" w:hAnsi="Arial"/>
          <w:spacing w:val="-2"/>
          <w:sz w:val="24"/>
          <w:lang w:val="fr-CA"/>
        </w:rPr>
        <w:t xml:space="preserve">À l’aide d’une pipette appropriée, ajouter </w:t>
      </w:r>
      <w:r w:rsidR="002F2F30" w:rsidRPr="00EB40E8">
        <w:rPr>
          <w:rFonts w:ascii="Arial" w:hAnsi="Arial"/>
          <w:spacing w:val="-2"/>
          <w:sz w:val="24"/>
          <w:lang w:val="fr-CA"/>
        </w:rPr>
        <w:t xml:space="preserve">25µL </w:t>
      </w:r>
      <w:r w:rsidRPr="00EB40E8">
        <w:rPr>
          <w:rFonts w:ascii="Arial" w:hAnsi="Arial"/>
          <w:spacing w:val="-2"/>
          <w:sz w:val="24"/>
          <w:lang w:val="fr-CA"/>
        </w:rPr>
        <w:t>d’antisérum au bon microtube</w:t>
      </w:r>
      <w:r w:rsidR="002F2F30" w:rsidRPr="00EB40E8">
        <w:rPr>
          <w:rFonts w:ascii="Arial" w:hAnsi="Arial"/>
          <w:spacing w:val="-2"/>
          <w:sz w:val="24"/>
          <w:lang w:val="fr-CA"/>
        </w:rPr>
        <w:t>.</w:t>
      </w:r>
    </w:p>
    <w:p w:rsidR="002F2F30" w:rsidRPr="00EB40E8" w:rsidRDefault="002F2F30">
      <w:pPr>
        <w:rPr>
          <w:rFonts w:ascii="Arial" w:hAnsi="Arial"/>
          <w:sz w:val="24"/>
          <w:lang w:val="fr-CA"/>
        </w:rPr>
      </w:pPr>
    </w:p>
    <w:p w:rsidR="002F2F30" w:rsidRPr="00EB40E8" w:rsidRDefault="00291293">
      <w:pPr>
        <w:numPr>
          <w:ilvl w:val="2"/>
          <w:numId w:val="1"/>
        </w:numPr>
        <w:rPr>
          <w:rFonts w:ascii="Arial" w:hAnsi="Arial"/>
          <w:sz w:val="24"/>
          <w:lang w:val="fr-CA"/>
        </w:rPr>
      </w:pPr>
      <w:r w:rsidRPr="00EB40E8">
        <w:rPr>
          <w:rFonts w:ascii="Arial" w:hAnsi="Arial"/>
          <w:spacing w:val="-2"/>
          <w:sz w:val="24"/>
          <w:lang w:val="fr-CA"/>
        </w:rPr>
        <w:t>Incuber à 37±2 c pendant 15 minutes</w:t>
      </w:r>
      <w:r w:rsidR="002F5528" w:rsidRPr="00EB40E8">
        <w:rPr>
          <w:rFonts w:ascii="Arial" w:hAnsi="Arial"/>
          <w:spacing w:val="-2"/>
          <w:sz w:val="24"/>
          <w:lang w:val="fr-CA"/>
        </w:rPr>
        <w:t>.</w:t>
      </w:r>
      <w:r w:rsidR="002F2F30" w:rsidRPr="00EB40E8">
        <w:rPr>
          <w:rFonts w:ascii="Arial" w:hAnsi="Arial"/>
          <w:spacing w:val="-2"/>
          <w:sz w:val="24"/>
          <w:lang w:val="fr-CA"/>
        </w:rPr>
        <w:t xml:space="preserve"> </w:t>
      </w:r>
      <w:r w:rsidR="002F5528" w:rsidRPr="00EB40E8">
        <w:rPr>
          <w:rFonts w:ascii="Arial" w:hAnsi="Arial"/>
          <w:spacing w:val="-2"/>
          <w:sz w:val="24"/>
          <w:lang w:val="fr-CA"/>
        </w:rPr>
        <w:t>C</w:t>
      </w:r>
      <w:r w:rsidRPr="00EB40E8">
        <w:rPr>
          <w:rFonts w:ascii="Arial" w:hAnsi="Arial"/>
          <w:spacing w:val="-2"/>
          <w:sz w:val="24"/>
          <w:lang w:val="fr-CA"/>
        </w:rPr>
        <w:t>onsulter le dépliant pour des détails sur la prolongation du temps d'incubation.</w:t>
      </w:r>
      <w:r w:rsidR="00697EFA" w:rsidRPr="00EB40E8">
        <w:rPr>
          <w:rFonts w:ascii="Arial" w:hAnsi="Arial"/>
          <w:spacing w:val="-2"/>
          <w:sz w:val="24"/>
          <w:lang w:val="fr-CA"/>
        </w:rPr>
        <w:t xml:space="preserve"> Voir la Remarque 8.11</w:t>
      </w:r>
    </w:p>
    <w:p w:rsidR="002F2F30" w:rsidRPr="00EB40E8" w:rsidRDefault="002F2F30">
      <w:pPr>
        <w:rPr>
          <w:rFonts w:ascii="Arial" w:hAnsi="Arial"/>
          <w:sz w:val="24"/>
          <w:lang w:val="fr-CA"/>
        </w:rPr>
      </w:pPr>
    </w:p>
    <w:p w:rsidR="002F2F30" w:rsidRPr="00EB40E8" w:rsidRDefault="00291293">
      <w:pPr>
        <w:numPr>
          <w:ilvl w:val="2"/>
          <w:numId w:val="1"/>
        </w:numPr>
        <w:rPr>
          <w:rFonts w:ascii="Arial" w:hAnsi="Arial"/>
          <w:sz w:val="24"/>
          <w:lang w:val="fr-CA"/>
        </w:rPr>
      </w:pPr>
      <w:r w:rsidRPr="00EB40E8">
        <w:rPr>
          <w:rFonts w:ascii="Arial" w:hAnsi="Arial"/>
          <w:spacing w:val="-2"/>
          <w:sz w:val="24"/>
          <w:lang w:val="fr-CA"/>
        </w:rPr>
        <w:t>Centrifuger la carte de gel à la valeur prédéfinie de 895±25 rpm pendant 10 minutes.</w:t>
      </w:r>
    </w:p>
    <w:p w:rsidR="002F2F30" w:rsidRPr="00EB40E8" w:rsidRDefault="002F2F30">
      <w:pPr>
        <w:rPr>
          <w:rFonts w:ascii="Arial" w:hAnsi="Arial"/>
          <w:sz w:val="24"/>
          <w:lang w:val="fr-CA"/>
        </w:rPr>
      </w:pPr>
    </w:p>
    <w:p w:rsidR="00697EFA" w:rsidRPr="00EB40E8" w:rsidRDefault="00697EFA" w:rsidP="00697EFA">
      <w:pPr>
        <w:numPr>
          <w:ilvl w:val="2"/>
          <w:numId w:val="1"/>
        </w:numPr>
        <w:rPr>
          <w:rFonts w:ascii="Arial" w:hAnsi="Arial"/>
          <w:sz w:val="24"/>
          <w:lang w:val="fr-CA"/>
        </w:rPr>
      </w:pPr>
      <w:r w:rsidRPr="00EB40E8">
        <w:rPr>
          <w:rFonts w:ascii="Arial" w:hAnsi="Arial"/>
          <w:sz w:val="24"/>
          <w:lang w:val="fr-CA"/>
        </w:rPr>
        <w:t xml:space="preserve">Après la centrifugation, retirer la ou les </w:t>
      </w:r>
      <w:r w:rsidRPr="00EB40E8">
        <w:rPr>
          <w:rFonts w:ascii="Arial" w:hAnsi="Arial"/>
          <w:spacing w:val="-2"/>
          <w:sz w:val="24"/>
          <w:lang w:val="fr-CA"/>
        </w:rPr>
        <w:t xml:space="preserve">cartes de la centrifugeuse et faire une lecture de chaque carte à la recherche des signes suivants : </w:t>
      </w:r>
    </w:p>
    <w:p w:rsidR="00697EFA" w:rsidRPr="00EB40E8" w:rsidRDefault="00697EFA" w:rsidP="00697EFA">
      <w:pPr>
        <w:numPr>
          <w:ilvl w:val="0"/>
          <w:numId w:val="23"/>
        </w:numPr>
        <w:rPr>
          <w:rFonts w:ascii="Arial" w:hAnsi="Arial"/>
          <w:sz w:val="24"/>
          <w:lang w:val="fr-CA"/>
        </w:rPr>
      </w:pPr>
      <w:r w:rsidRPr="00EB40E8">
        <w:rPr>
          <w:rFonts w:ascii="Arial" w:hAnsi="Arial"/>
          <w:spacing w:val="-2"/>
          <w:sz w:val="24"/>
          <w:lang w:val="fr-CA"/>
        </w:rPr>
        <w:t xml:space="preserve">La présence </w:t>
      </w:r>
      <w:r w:rsidRPr="00EB40E8">
        <w:rPr>
          <w:rFonts w:ascii="Arial" w:hAnsi="Arial"/>
          <w:sz w:val="24"/>
          <w:lang w:val="fr-CA"/>
        </w:rPr>
        <w:t>de globules rouges non agglutinés dans le gel est habituellement due à une interruption du cycle de centrifugation. Ces globules rouges sont rose foncé et flous.</w:t>
      </w:r>
    </w:p>
    <w:p w:rsidR="00697EFA" w:rsidRPr="00EB40E8" w:rsidRDefault="00697EFA" w:rsidP="00697EFA">
      <w:pPr>
        <w:numPr>
          <w:ilvl w:val="0"/>
          <w:numId w:val="23"/>
        </w:numPr>
        <w:rPr>
          <w:rFonts w:ascii="Arial" w:hAnsi="Arial"/>
          <w:sz w:val="24"/>
          <w:lang w:val="fr-CA"/>
        </w:rPr>
      </w:pPr>
      <w:r w:rsidRPr="00EB40E8">
        <w:rPr>
          <w:rFonts w:ascii="Arial" w:hAnsi="Arial"/>
          <w:spacing w:val="-2"/>
          <w:sz w:val="24"/>
          <w:lang w:val="fr-CA"/>
        </w:rPr>
        <w:t>La présence d’une traînée de globules rouges qui forme une sorte de « J » le long d’une paroi est due à une mauvaise disposition des cartes dans le support à cartes.</w:t>
      </w:r>
    </w:p>
    <w:p w:rsidR="00697EFA" w:rsidRPr="00EB40E8" w:rsidRDefault="00697EFA" w:rsidP="00697EFA">
      <w:pPr>
        <w:ind w:left="2160"/>
        <w:rPr>
          <w:rFonts w:ascii="Arial" w:hAnsi="Arial"/>
          <w:spacing w:val="-2"/>
          <w:sz w:val="24"/>
          <w:lang w:val="fr-CA"/>
        </w:rPr>
      </w:pPr>
      <w:r w:rsidRPr="00EB40E8">
        <w:rPr>
          <w:rFonts w:ascii="Arial" w:hAnsi="Arial"/>
          <w:spacing w:val="-2"/>
          <w:sz w:val="24"/>
          <w:lang w:val="fr-CA"/>
        </w:rPr>
        <w:t>Si la ou les cartes semblent mal centrifugées, répéter le test. Ne jamais centrifuger une autre fois la ou les cartes.</w:t>
      </w:r>
      <w:r w:rsidRPr="00EB40E8">
        <w:rPr>
          <w:rFonts w:ascii="Arial" w:hAnsi="Arial"/>
          <w:spacing w:val="-2"/>
          <w:sz w:val="24"/>
          <w:lang w:val="fr-CA"/>
        </w:rPr>
        <w:br/>
      </w:r>
    </w:p>
    <w:p w:rsidR="00697EFA" w:rsidRPr="00EB40E8" w:rsidRDefault="00291293" w:rsidP="00697EFA">
      <w:pPr>
        <w:numPr>
          <w:ilvl w:val="2"/>
          <w:numId w:val="1"/>
        </w:numPr>
        <w:rPr>
          <w:rFonts w:ascii="Arial" w:hAnsi="Arial"/>
          <w:sz w:val="24"/>
          <w:lang w:val="fr-CA"/>
        </w:rPr>
      </w:pPr>
      <w:r w:rsidRPr="00EB40E8">
        <w:rPr>
          <w:rFonts w:ascii="Arial" w:hAnsi="Arial"/>
          <w:spacing w:val="-2"/>
          <w:sz w:val="24"/>
          <w:lang w:val="fr-CA"/>
        </w:rPr>
        <w:t>Lire l'avant et l'arrière de chaque microtube</w:t>
      </w:r>
      <w:r w:rsidR="00697EFA" w:rsidRPr="00EB40E8">
        <w:rPr>
          <w:rFonts w:ascii="Arial" w:hAnsi="Arial"/>
          <w:spacing w:val="-2"/>
          <w:sz w:val="24"/>
          <w:lang w:val="fr-CA"/>
        </w:rPr>
        <w:t>.</w:t>
      </w:r>
      <w:r w:rsidR="00697EFA" w:rsidRPr="00EB40E8">
        <w:rPr>
          <w:rFonts w:ascii="Arial" w:hAnsi="Arial"/>
          <w:spacing w:val="-2"/>
          <w:sz w:val="24"/>
          <w:lang w:val="fr-CA"/>
        </w:rPr>
        <w:br/>
      </w:r>
    </w:p>
    <w:p w:rsidR="00697EFA" w:rsidRPr="00EB40E8" w:rsidRDefault="00697EFA" w:rsidP="00697EFA">
      <w:pPr>
        <w:numPr>
          <w:ilvl w:val="2"/>
          <w:numId w:val="1"/>
        </w:numPr>
        <w:rPr>
          <w:rFonts w:ascii="Arial" w:hAnsi="Arial"/>
          <w:sz w:val="24"/>
          <w:lang w:val="fr-CA"/>
        </w:rPr>
      </w:pPr>
      <w:r w:rsidRPr="00EB40E8">
        <w:rPr>
          <w:rFonts w:ascii="Arial" w:hAnsi="Arial"/>
          <w:spacing w:val="-2"/>
          <w:sz w:val="24"/>
          <w:lang w:val="fr-CA"/>
        </w:rPr>
        <w:t>I</w:t>
      </w:r>
      <w:r w:rsidR="00291293" w:rsidRPr="00EB40E8">
        <w:rPr>
          <w:rFonts w:ascii="Arial" w:hAnsi="Arial"/>
          <w:spacing w:val="-2"/>
          <w:sz w:val="24"/>
          <w:lang w:val="fr-CA"/>
        </w:rPr>
        <w:t xml:space="preserve">nscrire les réactions conformément </w:t>
      </w:r>
      <w:r w:rsidRPr="00EB40E8">
        <w:rPr>
          <w:rFonts w:ascii="Arial" w:hAnsi="Arial"/>
          <w:spacing w:val="-2"/>
          <w:sz w:val="24"/>
          <w:lang w:val="fr-CA"/>
        </w:rPr>
        <w:t xml:space="preserve">au tableau suivant. </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5822"/>
      </w:tblGrid>
      <w:tr w:rsidR="00697EFA" w:rsidRPr="00EB40E8" w:rsidTr="00322F8A">
        <w:trPr>
          <w:trHeight w:val="218"/>
          <w:jc w:val="center"/>
        </w:trPr>
        <w:tc>
          <w:tcPr>
            <w:tcW w:w="1306" w:type="dxa"/>
          </w:tcPr>
          <w:p w:rsidR="00697EFA" w:rsidRPr="00EB40E8" w:rsidRDefault="00697EFA" w:rsidP="00322F8A">
            <w:pPr>
              <w:keepNext/>
              <w:jc w:val="center"/>
              <w:rPr>
                <w:rFonts w:ascii="Arial" w:hAnsi="Arial"/>
                <w:b/>
                <w:lang w:val="fr-CA"/>
              </w:rPr>
            </w:pPr>
            <w:r w:rsidRPr="00EB40E8">
              <w:rPr>
                <w:rFonts w:ascii="Arial" w:hAnsi="Arial"/>
                <w:b/>
                <w:lang w:val="fr-CA"/>
              </w:rPr>
              <w:t>Code</w:t>
            </w:r>
          </w:p>
        </w:tc>
        <w:tc>
          <w:tcPr>
            <w:tcW w:w="5822" w:type="dxa"/>
          </w:tcPr>
          <w:p w:rsidR="00697EFA" w:rsidRPr="00EB40E8" w:rsidRDefault="00697EFA" w:rsidP="00322F8A">
            <w:pPr>
              <w:keepNext/>
              <w:jc w:val="center"/>
              <w:rPr>
                <w:rFonts w:ascii="Arial" w:hAnsi="Arial"/>
                <w:b/>
                <w:lang w:val="fr-CA"/>
              </w:rPr>
            </w:pPr>
            <w:r w:rsidRPr="00EB40E8">
              <w:rPr>
                <w:rFonts w:ascii="Arial" w:hAnsi="Arial"/>
                <w:b/>
                <w:lang w:val="fr-CA"/>
              </w:rPr>
              <w:t>Description de la réaction*</w:t>
            </w:r>
          </w:p>
        </w:tc>
      </w:tr>
      <w:tr w:rsidR="00697EFA" w:rsidRPr="00EB40E8" w:rsidTr="00322F8A">
        <w:trPr>
          <w:trHeight w:val="1088"/>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Nég</w:t>
            </w:r>
          </w:p>
        </w:tc>
        <w:tc>
          <w:tcPr>
            <w:tcW w:w="5822" w:type="dxa"/>
          </w:tcPr>
          <w:p w:rsidR="00697EFA" w:rsidRPr="00EB40E8" w:rsidRDefault="00697EFA" w:rsidP="00322F8A">
            <w:pPr>
              <w:keepNext/>
              <w:rPr>
                <w:rFonts w:ascii="Arial" w:hAnsi="Arial"/>
                <w:lang w:val="fr-CA"/>
              </w:rPr>
            </w:pPr>
            <w:r w:rsidRPr="00EB40E8">
              <w:rPr>
                <w:rFonts w:ascii="Arial" w:hAnsi="Arial"/>
                <w:lang w:val="fr-CA"/>
              </w:rPr>
              <w:t>Pas d’agglutination ni d’hémolyse; des globules rouges non agglutinés forment un culot bien défini au fond du microtube. Voir Remarque 8.1 si quelques cellules non agglutinées sont piégées à la surface ou sur les côtés du gel.</w:t>
            </w:r>
          </w:p>
        </w:tc>
      </w:tr>
      <w:tr w:rsidR="00697EFA" w:rsidRPr="00EB40E8" w:rsidTr="00322F8A">
        <w:trPr>
          <w:trHeight w:val="662"/>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 xml:space="preserve">1 </w:t>
            </w:r>
          </w:p>
        </w:tc>
        <w:tc>
          <w:tcPr>
            <w:tcW w:w="5822" w:type="dxa"/>
          </w:tcPr>
          <w:p w:rsidR="00697EFA" w:rsidRPr="00EB40E8" w:rsidRDefault="00697EFA" w:rsidP="00322F8A">
            <w:pPr>
              <w:keepNext/>
              <w:rPr>
                <w:rFonts w:ascii="Arial" w:hAnsi="Arial"/>
                <w:lang w:val="fr-CA"/>
              </w:rPr>
            </w:pPr>
            <w:r w:rsidRPr="00EB40E8">
              <w:rPr>
                <w:rFonts w:ascii="Arial" w:hAnsi="Arial"/>
                <w:lang w:val="fr-CA"/>
              </w:rPr>
              <w:t>Agglutination surtout observée dans la moitié inférieure du microtube. Les globules rouges non agglutinés forment un culot au fond du microtube.</w:t>
            </w:r>
          </w:p>
        </w:tc>
      </w:tr>
      <w:tr w:rsidR="00697EFA" w:rsidRPr="00EB40E8" w:rsidTr="00322F8A">
        <w:trPr>
          <w:trHeight w:val="653"/>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 xml:space="preserve">2 </w:t>
            </w:r>
          </w:p>
        </w:tc>
        <w:tc>
          <w:tcPr>
            <w:tcW w:w="5822" w:type="dxa"/>
          </w:tcPr>
          <w:p w:rsidR="00697EFA" w:rsidRPr="00EB40E8" w:rsidRDefault="00697EFA" w:rsidP="00322F8A">
            <w:pPr>
              <w:keepNext/>
              <w:rPr>
                <w:rFonts w:ascii="Arial" w:hAnsi="Arial"/>
                <w:lang w:val="fr-CA"/>
              </w:rPr>
            </w:pPr>
            <w:r w:rsidRPr="00EB40E8">
              <w:rPr>
                <w:rFonts w:ascii="Arial" w:hAnsi="Arial"/>
                <w:lang w:val="fr-CA"/>
              </w:rPr>
              <w:t xml:space="preserve">Agglutinats dispersés tout le long de la colonne de gel. Quelques agglutinats peuvent être présents au fond du microtube. </w:t>
            </w:r>
          </w:p>
        </w:tc>
      </w:tr>
      <w:tr w:rsidR="00697EFA" w:rsidRPr="00EB40E8" w:rsidTr="00322F8A">
        <w:trPr>
          <w:trHeight w:val="653"/>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 xml:space="preserve">3 </w:t>
            </w:r>
          </w:p>
        </w:tc>
        <w:tc>
          <w:tcPr>
            <w:tcW w:w="5822" w:type="dxa"/>
          </w:tcPr>
          <w:p w:rsidR="00697EFA" w:rsidRPr="00EB40E8" w:rsidRDefault="00697EFA" w:rsidP="00322F8A">
            <w:pPr>
              <w:keepNext/>
              <w:rPr>
                <w:rFonts w:ascii="Arial" w:hAnsi="Arial"/>
                <w:lang w:val="fr-CA"/>
              </w:rPr>
            </w:pPr>
            <w:r w:rsidRPr="00EB40E8">
              <w:rPr>
                <w:rFonts w:ascii="Arial" w:hAnsi="Arial"/>
                <w:lang w:val="fr-CA"/>
              </w:rPr>
              <w:t>La plupart des agglutinats sont piégés dans la moitié supérieure du microtube. Voir Remarque 8.3.</w:t>
            </w:r>
          </w:p>
        </w:tc>
      </w:tr>
      <w:tr w:rsidR="00697EFA" w:rsidRPr="00EB40E8" w:rsidTr="00322F8A">
        <w:trPr>
          <w:trHeight w:val="870"/>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 xml:space="preserve">4 </w:t>
            </w:r>
          </w:p>
        </w:tc>
        <w:tc>
          <w:tcPr>
            <w:tcW w:w="5822" w:type="dxa"/>
          </w:tcPr>
          <w:p w:rsidR="00697EFA" w:rsidRPr="00EB40E8" w:rsidRDefault="00697EFA" w:rsidP="00322F8A">
            <w:pPr>
              <w:keepNext/>
              <w:rPr>
                <w:rFonts w:ascii="Arial" w:hAnsi="Arial"/>
                <w:lang w:val="fr-CA"/>
              </w:rPr>
            </w:pPr>
            <w:r w:rsidRPr="00EB40E8">
              <w:rPr>
                <w:rFonts w:ascii="Arial" w:hAnsi="Arial"/>
                <w:lang w:val="fr-CA"/>
              </w:rPr>
              <w:t xml:space="preserve">Bande solide de globules rouges agglutinés à la surface du gel. Quelques agglutinats peuvent descendre dans le gel, mais restent à proximité de la bande principale. </w:t>
            </w:r>
          </w:p>
        </w:tc>
      </w:tr>
      <w:tr w:rsidR="00697EFA" w:rsidRPr="00EB40E8" w:rsidTr="00322F8A">
        <w:trPr>
          <w:trHeight w:val="870"/>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H</w:t>
            </w:r>
          </w:p>
        </w:tc>
        <w:tc>
          <w:tcPr>
            <w:tcW w:w="5822" w:type="dxa"/>
          </w:tcPr>
          <w:p w:rsidR="00697EFA" w:rsidRPr="00EB40E8" w:rsidRDefault="00697EFA" w:rsidP="00322F8A">
            <w:pPr>
              <w:keepNext/>
              <w:rPr>
                <w:rFonts w:ascii="Arial" w:hAnsi="Arial"/>
                <w:lang w:val="fr-CA"/>
              </w:rPr>
            </w:pPr>
            <w:r w:rsidRPr="00EB40E8">
              <w:rPr>
                <w:rFonts w:ascii="Arial" w:hAnsi="Arial"/>
                <w:lang w:val="fr-CA"/>
              </w:rPr>
              <w:t xml:space="preserve">Hémolyse et absence ou presque de globules rouges dans le gel. Inscrivez la présence d’hémolyse dans le microtube, mais non dans l’échantillon. </w:t>
            </w:r>
          </w:p>
        </w:tc>
      </w:tr>
      <w:tr w:rsidR="00697EFA" w:rsidRPr="00EB40E8" w:rsidTr="00322F8A">
        <w:trPr>
          <w:trHeight w:val="653"/>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cm</w:t>
            </w:r>
          </w:p>
        </w:tc>
        <w:tc>
          <w:tcPr>
            <w:tcW w:w="5822" w:type="dxa"/>
          </w:tcPr>
          <w:p w:rsidR="00697EFA" w:rsidRPr="00EB40E8" w:rsidRDefault="00697EFA" w:rsidP="00322F8A">
            <w:pPr>
              <w:keepNext/>
              <w:rPr>
                <w:rFonts w:ascii="Arial" w:hAnsi="Arial"/>
                <w:lang w:val="fr-CA"/>
              </w:rPr>
            </w:pPr>
            <w:r w:rsidRPr="00EB40E8">
              <w:rPr>
                <w:rFonts w:ascii="Arial" w:hAnsi="Arial"/>
                <w:lang w:val="fr-CA"/>
              </w:rPr>
              <w:t xml:space="preserve">Bande de globules rouges agglutinés à la surface du gel et culot de globules rouges non agglutinés au fond du microtube. </w:t>
            </w:r>
          </w:p>
        </w:tc>
      </w:tr>
      <w:tr w:rsidR="00697EFA" w:rsidRPr="00EB40E8" w:rsidTr="00322F8A">
        <w:trPr>
          <w:trHeight w:val="218"/>
          <w:jc w:val="center"/>
        </w:trPr>
        <w:tc>
          <w:tcPr>
            <w:tcW w:w="1306" w:type="dxa"/>
          </w:tcPr>
          <w:p w:rsidR="00697EFA" w:rsidRPr="00EB40E8" w:rsidRDefault="00697EFA" w:rsidP="00322F8A">
            <w:pPr>
              <w:keepNext/>
              <w:jc w:val="center"/>
              <w:rPr>
                <w:rFonts w:ascii="Arial" w:hAnsi="Arial"/>
                <w:lang w:val="fr-CA"/>
              </w:rPr>
            </w:pPr>
            <w:r w:rsidRPr="00EB40E8">
              <w:rPr>
                <w:rFonts w:ascii="Arial" w:hAnsi="Arial"/>
                <w:lang w:val="fr-CA"/>
              </w:rPr>
              <w:t>NT ou NF</w:t>
            </w:r>
          </w:p>
        </w:tc>
        <w:tc>
          <w:tcPr>
            <w:tcW w:w="5822" w:type="dxa"/>
          </w:tcPr>
          <w:p w:rsidR="00697EFA" w:rsidRPr="00EB40E8" w:rsidRDefault="00697EFA" w:rsidP="00322F8A">
            <w:pPr>
              <w:keepNext/>
              <w:rPr>
                <w:rFonts w:ascii="Arial" w:hAnsi="Arial"/>
                <w:lang w:val="fr-CA"/>
              </w:rPr>
            </w:pPr>
            <w:r w:rsidRPr="00EB40E8">
              <w:rPr>
                <w:rFonts w:ascii="Arial" w:hAnsi="Arial"/>
                <w:lang w:val="fr-CA"/>
              </w:rPr>
              <w:t>Non testé ou non fait</w:t>
            </w:r>
          </w:p>
        </w:tc>
      </w:tr>
      <w:tr w:rsidR="00697EFA" w:rsidRPr="00EB40E8" w:rsidTr="00322F8A">
        <w:trPr>
          <w:trHeight w:val="445"/>
          <w:jc w:val="center"/>
        </w:trPr>
        <w:tc>
          <w:tcPr>
            <w:tcW w:w="7128" w:type="dxa"/>
            <w:gridSpan w:val="2"/>
          </w:tcPr>
          <w:p w:rsidR="00697EFA" w:rsidRPr="00EB40E8" w:rsidRDefault="00697EFA" w:rsidP="00322F8A">
            <w:pPr>
              <w:rPr>
                <w:rFonts w:ascii="Arial" w:hAnsi="Arial"/>
                <w:lang w:val="fr-CA"/>
              </w:rPr>
            </w:pPr>
            <w:r w:rsidRPr="00BC720D">
              <w:rPr>
                <w:rFonts w:ascii="Arial" w:hAnsi="Arial"/>
                <w:lang w:val="fr-CA"/>
              </w:rPr>
              <w:t>*</w:t>
            </w:r>
            <w:r w:rsidRPr="00EB40E8">
              <w:rPr>
                <w:rFonts w:ascii="Arial" w:hAnsi="Arial"/>
                <w:lang w:val="fr-CA"/>
              </w:rPr>
              <w:t xml:space="preserve"> Ne pas utiliser de demi-niveau, d’exposant ou de signes « plus ». </w:t>
            </w:r>
          </w:p>
          <w:p w:rsidR="00697EFA" w:rsidRPr="00EB40E8" w:rsidRDefault="00697EFA" w:rsidP="00322F8A">
            <w:pPr>
              <w:rPr>
                <w:rFonts w:ascii="Arial" w:hAnsi="Arial"/>
                <w:lang w:val="fr-CA"/>
              </w:rPr>
            </w:pPr>
          </w:p>
        </w:tc>
      </w:tr>
    </w:tbl>
    <w:p w:rsidR="00697EFA" w:rsidRPr="00EB40E8" w:rsidRDefault="00697EFA" w:rsidP="00697EFA">
      <w:pPr>
        <w:ind w:left="720"/>
        <w:rPr>
          <w:rFonts w:ascii="Arial" w:hAnsi="Arial"/>
          <w:color w:val="000000"/>
          <w:spacing w:val="-2"/>
          <w:sz w:val="24"/>
          <w:lang w:val="fr-CA"/>
        </w:rPr>
      </w:pPr>
    </w:p>
    <w:p w:rsidR="00697EFA" w:rsidRPr="00EB40E8" w:rsidRDefault="00697EFA" w:rsidP="00697EFA">
      <w:pPr>
        <w:ind w:left="720"/>
        <w:rPr>
          <w:rFonts w:ascii="Arial" w:hAnsi="Arial"/>
          <w:color w:val="000000"/>
          <w:spacing w:val="-2"/>
          <w:sz w:val="24"/>
          <w:lang w:val="fr-CA"/>
        </w:rPr>
      </w:pPr>
      <w:r w:rsidRPr="00EB40E8">
        <w:rPr>
          <w:rFonts w:ascii="Arial" w:hAnsi="Arial"/>
          <w:color w:val="000000"/>
          <w:spacing w:val="-2"/>
          <w:sz w:val="24"/>
          <w:lang w:val="fr-CA"/>
        </w:rPr>
        <w:t>Voir la section de discussion sur chaque niveau dans le guide d’interprétation MTS pour plus d’information.</w:t>
      </w:r>
    </w:p>
    <w:p w:rsidR="00697EFA" w:rsidRPr="00EB40E8" w:rsidRDefault="00697EFA" w:rsidP="00697EFA">
      <w:pPr>
        <w:ind w:left="720"/>
        <w:rPr>
          <w:rFonts w:ascii="Arial" w:hAnsi="Arial"/>
          <w:color w:val="000000"/>
          <w:spacing w:val="-2"/>
          <w:sz w:val="24"/>
          <w:lang w:val="fr-CA"/>
        </w:rPr>
      </w:pPr>
    </w:p>
    <w:p w:rsidR="00697EFA" w:rsidRPr="00EB40E8" w:rsidRDefault="00697EFA" w:rsidP="00697EFA">
      <w:pPr>
        <w:numPr>
          <w:ilvl w:val="1"/>
          <w:numId w:val="1"/>
        </w:numPr>
        <w:rPr>
          <w:rFonts w:ascii="Arial" w:hAnsi="Arial"/>
          <w:sz w:val="24"/>
          <w:lang w:val="fr-CA"/>
        </w:rPr>
      </w:pPr>
      <w:r w:rsidRPr="00EB40E8">
        <w:rPr>
          <w:rFonts w:ascii="Arial" w:hAnsi="Arial"/>
          <w:spacing w:val="-2"/>
          <w:sz w:val="24"/>
          <w:lang w:val="fr-CA"/>
        </w:rPr>
        <w:t>Inscrire les résultats</w:t>
      </w:r>
    </w:p>
    <w:p w:rsidR="00697EFA" w:rsidRPr="00EB40E8" w:rsidRDefault="00CC2C4F" w:rsidP="00697EFA">
      <w:pPr>
        <w:numPr>
          <w:ilvl w:val="2"/>
          <w:numId w:val="1"/>
        </w:numPr>
        <w:rPr>
          <w:rFonts w:ascii="Arial" w:hAnsi="Arial"/>
          <w:sz w:val="24"/>
          <w:lang w:val="fr-CA"/>
        </w:rPr>
      </w:pPr>
      <w:r w:rsidRPr="00EB40E8">
        <w:rPr>
          <w:rFonts w:ascii="Arial" w:hAnsi="Arial"/>
          <w:sz w:val="24"/>
          <w:lang w:val="fr-CA"/>
        </w:rPr>
        <w:t>Mettre ses initiales ou sa signature et noter la date et l’heure de la fin de l’épreuve sur le formulaire approprié ou à l’ordinateur.</w:t>
      </w:r>
    </w:p>
    <w:p w:rsidR="00CC2C4F" w:rsidRPr="00EB40E8" w:rsidRDefault="00CC2C4F" w:rsidP="00697EFA">
      <w:pPr>
        <w:numPr>
          <w:ilvl w:val="2"/>
          <w:numId w:val="1"/>
        </w:numPr>
        <w:rPr>
          <w:rFonts w:ascii="Arial" w:hAnsi="Arial"/>
          <w:sz w:val="24"/>
          <w:lang w:val="fr-CA"/>
        </w:rPr>
      </w:pPr>
      <w:r w:rsidRPr="00EB40E8">
        <w:rPr>
          <w:rFonts w:ascii="Arial" w:hAnsi="Arial"/>
          <w:sz w:val="24"/>
          <w:lang w:val="fr-CA"/>
        </w:rPr>
        <w:t>La vérification des résultats doit être notée.</w:t>
      </w:r>
    </w:p>
    <w:p w:rsidR="00697EFA" w:rsidRPr="00EB40E8" w:rsidRDefault="00697EFA" w:rsidP="00697EFA">
      <w:pPr>
        <w:ind w:left="720"/>
        <w:rPr>
          <w:rFonts w:ascii="Arial" w:hAnsi="Arial"/>
          <w:color w:val="000000"/>
          <w:spacing w:val="-2"/>
          <w:sz w:val="24"/>
          <w:lang w:val="fr-CA"/>
        </w:rPr>
      </w:pPr>
    </w:p>
    <w:p w:rsidR="002F2F30" w:rsidRPr="00EB40E8" w:rsidRDefault="002F2F30">
      <w:pPr>
        <w:ind w:left="720"/>
        <w:rPr>
          <w:rFonts w:ascii="Arial" w:hAnsi="Arial"/>
          <w:sz w:val="24"/>
          <w:lang w:val="fr-CA"/>
        </w:rPr>
      </w:pPr>
    </w:p>
    <w:p w:rsidR="002F2F30" w:rsidRPr="00EB40E8" w:rsidRDefault="00291293">
      <w:pPr>
        <w:numPr>
          <w:ilvl w:val="0"/>
          <w:numId w:val="1"/>
        </w:numPr>
        <w:rPr>
          <w:rFonts w:ascii="Arial" w:hAnsi="Arial"/>
          <w:b/>
          <w:sz w:val="28"/>
          <w:lang w:val="fr-CA"/>
        </w:rPr>
      </w:pPr>
      <w:r w:rsidRPr="00EB40E8">
        <w:rPr>
          <w:rFonts w:ascii="Arial" w:hAnsi="Arial"/>
          <w:b/>
          <w:sz w:val="28"/>
          <w:lang w:val="fr-CA"/>
        </w:rPr>
        <w:t>Documentation</w:t>
      </w:r>
    </w:p>
    <w:p w:rsidR="002F2F30" w:rsidRPr="00EB40E8" w:rsidRDefault="002F2F30">
      <w:pPr>
        <w:ind w:left="720"/>
        <w:rPr>
          <w:rFonts w:ascii="Arial" w:hAnsi="Arial"/>
          <w:sz w:val="24"/>
          <w:lang w:val="fr-CA"/>
        </w:rPr>
      </w:pPr>
    </w:p>
    <w:p w:rsidR="00CC2C4F" w:rsidRPr="00EB40E8" w:rsidRDefault="00CC2C4F">
      <w:pPr>
        <w:numPr>
          <w:ilvl w:val="1"/>
          <w:numId w:val="1"/>
        </w:numPr>
        <w:rPr>
          <w:rFonts w:ascii="Arial" w:hAnsi="Arial"/>
          <w:sz w:val="24"/>
          <w:lang w:val="fr-CA"/>
        </w:rPr>
      </w:pPr>
      <w:r w:rsidRPr="00EB40E8">
        <w:rPr>
          <w:rFonts w:ascii="Arial" w:hAnsi="Arial"/>
          <w:spacing w:val="-2"/>
          <w:sz w:val="24"/>
          <w:lang w:val="fr-CA"/>
        </w:rPr>
        <w:t xml:space="preserve">Si les cellules témoins positives et négatives ont produit les réactions attendues : </w:t>
      </w:r>
    </w:p>
    <w:p w:rsidR="002F2F30" w:rsidRPr="00EB40E8" w:rsidRDefault="002F5528" w:rsidP="00CC2C4F">
      <w:pPr>
        <w:numPr>
          <w:ilvl w:val="2"/>
          <w:numId w:val="1"/>
        </w:numPr>
        <w:rPr>
          <w:rFonts w:ascii="Arial" w:hAnsi="Arial"/>
          <w:sz w:val="24"/>
          <w:lang w:val="fr-CA"/>
        </w:rPr>
      </w:pPr>
      <w:r w:rsidRPr="00EB40E8">
        <w:rPr>
          <w:rFonts w:ascii="Arial" w:hAnsi="Arial"/>
          <w:spacing w:val="-2"/>
          <w:sz w:val="24"/>
          <w:lang w:val="fr-CA"/>
        </w:rPr>
        <w:t>L’absence d’agglutination des globules rouges est un résultat négatif qui indique l’absence de réaction antigène</w:t>
      </w:r>
      <w:r w:rsidR="00B57BC3" w:rsidRPr="00EB40E8">
        <w:rPr>
          <w:rFonts w:ascii="Arial" w:hAnsi="Arial"/>
          <w:spacing w:val="-2"/>
          <w:sz w:val="24"/>
          <w:lang w:val="fr-CA"/>
        </w:rPr>
        <w:t>-</w:t>
      </w:r>
      <w:r w:rsidRPr="00EB40E8">
        <w:rPr>
          <w:rFonts w:ascii="Arial" w:hAnsi="Arial"/>
          <w:spacing w:val="-2"/>
          <w:sz w:val="24"/>
          <w:lang w:val="fr-CA"/>
        </w:rPr>
        <w:t xml:space="preserve"> anticorps. Les unités de donneur et</w:t>
      </w:r>
      <w:r w:rsidR="00D764B4" w:rsidRPr="00EB40E8">
        <w:rPr>
          <w:rFonts w:ascii="Arial" w:hAnsi="Arial"/>
          <w:spacing w:val="-2"/>
          <w:sz w:val="24"/>
          <w:lang w:val="fr-CA"/>
        </w:rPr>
        <w:t>/ou</w:t>
      </w:r>
      <w:r w:rsidRPr="00EB40E8">
        <w:rPr>
          <w:rFonts w:ascii="Arial" w:hAnsi="Arial"/>
          <w:spacing w:val="-2"/>
          <w:sz w:val="24"/>
          <w:lang w:val="fr-CA"/>
        </w:rPr>
        <w:t xml:space="preserve"> </w:t>
      </w:r>
      <w:r w:rsidR="00D764B4" w:rsidRPr="00EB40E8">
        <w:rPr>
          <w:rFonts w:ascii="Arial" w:hAnsi="Arial"/>
          <w:spacing w:val="-2"/>
          <w:sz w:val="24"/>
          <w:lang w:val="fr-CA"/>
        </w:rPr>
        <w:t xml:space="preserve">les cellules </w:t>
      </w:r>
      <w:r w:rsidRPr="00EB40E8">
        <w:rPr>
          <w:rFonts w:ascii="Arial" w:hAnsi="Arial"/>
          <w:spacing w:val="-2"/>
          <w:sz w:val="24"/>
          <w:lang w:val="fr-CA"/>
        </w:rPr>
        <w:t xml:space="preserve">du patient sont négatives pour l’antigène étudié. </w:t>
      </w:r>
    </w:p>
    <w:p w:rsidR="002F2F30" w:rsidRPr="00EB40E8" w:rsidRDefault="002F2F30">
      <w:pPr>
        <w:rPr>
          <w:rFonts w:ascii="Arial" w:hAnsi="Arial"/>
          <w:sz w:val="24"/>
          <w:lang w:val="fr-CA"/>
        </w:rPr>
      </w:pPr>
    </w:p>
    <w:p w:rsidR="00CC2C4F" w:rsidRPr="00EB40E8" w:rsidRDefault="002F5528" w:rsidP="00CC2C4F">
      <w:pPr>
        <w:numPr>
          <w:ilvl w:val="2"/>
          <w:numId w:val="1"/>
        </w:numPr>
        <w:rPr>
          <w:rFonts w:ascii="Arial" w:hAnsi="Arial"/>
          <w:sz w:val="24"/>
          <w:lang w:val="fr-CA"/>
        </w:rPr>
      </w:pPr>
      <w:r w:rsidRPr="00EB40E8">
        <w:rPr>
          <w:rFonts w:ascii="Arial" w:hAnsi="Arial"/>
          <w:sz w:val="24"/>
          <w:lang w:val="fr-CA"/>
        </w:rPr>
        <w:t>L’</w:t>
      </w:r>
      <w:r w:rsidRPr="00EB40E8">
        <w:rPr>
          <w:rFonts w:ascii="Arial" w:hAnsi="Arial"/>
          <w:spacing w:val="-2"/>
          <w:sz w:val="24"/>
          <w:lang w:val="fr-CA"/>
        </w:rPr>
        <w:t xml:space="preserve">agglutination des globules rouges est un résultat positif. Les unités de donneur </w:t>
      </w:r>
      <w:r w:rsidR="00D764B4" w:rsidRPr="00EB40E8">
        <w:rPr>
          <w:rFonts w:ascii="Arial" w:hAnsi="Arial"/>
          <w:spacing w:val="-2"/>
          <w:sz w:val="24"/>
          <w:lang w:val="fr-CA"/>
        </w:rPr>
        <w:t xml:space="preserve">et/ou les cellules du patient </w:t>
      </w:r>
      <w:r w:rsidRPr="00EB40E8">
        <w:rPr>
          <w:rFonts w:ascii="Arial" w:hAnsi="Arial"/>
          <w:spacing w:val="-2"/>
          <w:sz w:val="24"/>
          <w:lang w:val="fr-CA"/>
        </w:rPr>
        <w:t>sont positives pour l’antigène étudié.</w:t>
      </w:r>
    </w:p>
    <w:p w:rsidR="00CC2C4F" w:rsidRPr="00EB40E8" w:rsidRDefault="00CC2C4F" w:rsidP="00CC2C4F">
      <w:pPr>
        <w:pStyle w:val="ListParagraph"/>
        <w:rPr>
          <w:rFonts w:ascii="Arial" w:hAnsi="Arial"/>
          <w:spacing w:val="-2"/>
          <w:sz w:val="24"/>
          <w:lang w:val="fr-CA"/>
        </w:rPr>
      </w:pPr>
    </w:p>
    <w:p w:rsidR="002F2F30" w:rsidRPr="00EB40E8" w:rsidRDefault="00CC2C4F" w:rsidP="00CC2C4F">
      <w:pPr>
        <w:numPr>
          <w:ilvl w:val="1"/>
          <w:numId w:val="1"/>
        </w:numPr>
        <w:rPr>
          <w:rFonts w:ascii="Arial" w:hAnsi="Arial"/>
          <w:sz w:val="24"/>
          <w:lang w:val="fr-CA"/>
        </w:rPr>
      </w:pPr>
      <w:r w:rsidRPr="00EB40E8">
        <w:rPr>
          <w:rFonts w:ascii="Arial" w:hAnsi="Arial"/>
          <w:spacing w:val="-2"/>
          <w:sz w:val="24"/>
          <w:lang w:val="fr-CA"/>
        </w:rPr>
        <w:t xml:space="preserve">L’hémolyse en l’absence d’un échantillon hémolysé ou l’agglutination de tout globule rouge dans un microtube de la carte de gel signale la présence d’un anticorps contre l’antigène correspondant présent sur les cellules de donneur. </w:t>
      </w:r>
    </w:p>
    <w:p w:rsidR="00CC2C4F" w:rsidRPr="00EB40E8" w:rsidRDefault="00CC2C4F" w:rsidP="00CC2C4F">
      <w:pPr>
        <w:ind w:left="1440"/>
        <w:rPr>
          <w:rFonts w:ascii="Arial" w:hAnsi="Arial"/>
          <w:spacing w:val="-2"/>
          <w:sz w:val="24"/>
          <w:lang w:val="fr-CA"/>
        </w:rPr>
      </w:pPr>
    </w:p>
    <w:p w:rsidR="00CC2C4F" w:rsidRPr="00EB40E8" w:rsidRDefault="00CC2C4F" w:rsidP="00CC2C4F">
      <w:pPr>
        <w:ind w:left="1440"/>
        <w:rPr>
          <w:rFonts w:ascii="Arial" w:hAnsi="Arial"/>
          <w:sz w:val="24"/>
          <w:lang w:val="fr-CA"/>
        </w:rPr>
      </w:pPr>
    </w:p>
    <w:p w:rsidR="002F2F30" w:rsidRPr="00EB40E8" w:rsidRDefault="00291293">
      <w:pPr>
        <w:numPr>
          <w:ilvl w:val="0"/>
          <w:numId w:val="1"/>
        </w:numPr>
        <w:rPr>
          <w:rFonts w:ascii="Arial" w:hAnsi="Arial"/>
          <w:b/>
          <w:sz w:val="28"/>
          <w:lang w:val="fr-CA"/>
        </w:rPr>
      </w:pPr>
      <w:r w:rsidRPr="00EB40E8">
        <w:rPr>
          <w:rFonts w:ascii="Arial" w:hAnsi="Arial"/>
          <w:b/>
          <w:sz w:val="28"/>
          <w:lang w:val="fr-CA"/>
        </w:rPr>
        <w:t>Remarques</w:t>
      </w:r>
    </w:p>
    <w:p w:rsidR="002F2F30" w:rsidRPr="00EB40E8" w:rsidRDefault="002F2F30">
      <w:pPr>
        <w:rPr>
          <w:rFonts w:ascii="Arial" w:hAnsi="Arial"/>
          <w:sz w:val="24"/>
          <w:lang w:val="fr-CA"/>
        </w:rPr>
      </w:pPr>
    </w:p>
    <w:p w:rsidR="002C0DEC" w:rsidRPr="00EB40E8" w:rsidRDefault="002C0DEC" w:rsidP="002C0DEC">
      <w:pPr>
        <w:numPr>
          <w:ilvl w:val="1"/>
          <w:numId w:val="1"/>
        </w:numPr>
        <w:rPr>
          <w:rFonts w:ascii="Arial" w:hAnsi="Arial"/>
          <w:sz w:val="24"/>
          <w:lang w:val="fr-CA"/>
        </w:rPr>
      </w:pPr>
      <w:r w:rsidRPr="00EB40E8">
        <w:rPr>
          <w:rFonts w:ascii="Arial" w:hAnsi="Arial"/>
          <w:sz w:val="24"/>
          <w:lang w:val="fr-CA"/>
        </w:rPr>
        <w:t>Présence de segments coagulés sur une unité de donneur :</w:t>
      </w:r>
    </w:p>
    <w:p w:rsidR="002C0DEC" w:rsidRPr="00EB40E8" w:rsidRDefault="002C0DEC" w:rsidP="002C0DEC">
      <w:pPr>
        <w:ind w:left="144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4068"/>
      </w:tblGrid>
      <w:tr w:rsidR="002C0DEC" w:rsidRPr="00EB40E8" w:rsidTr="002C0DEC">
        <w:tc>
          <w:tcPr>
            <w:tcW w:w="3262" w:type="dxa"/>
          </w:tcPr>
          <w:p w:rsidR="002C0DEC" w:rsidRPr="00EB40E8" w:rsidRDefault="002C0DEC" w:rsidP="00322F8A">
            <w:pPr>
              <w:rPr>
                <w:rFonts w:ascii="Arial" w:hAnsi="Arial"/>
                <w:i/>
                <w:lang w:val="fr-CA"/>
              </w:rPr>
            </w:pPr>
            <w:r w:rsidRPr="00EB40E8">
              <w:rPr>
                <w:rFonts w:ascii="Arial" w:hAnsi="Arial"/>
                <w:i/>
                <w:lang w:val="fr-CA"/>
              </w:rPr>
              <w:t>Si…</w:t>
            </w:r>
          </w:p>
        </w:tc>
        <w:tc>
          <w:tcPr>
            <w:tcW w:w="4068" w:type="dxa"/>
          </w:tcPr>
          <w:p w:rsidR="002C0DEC" w:rsidRPr="00EB40E8" w:rsidRDefault="002C0DEC" w:rsidP="00322F8A">
            <w:pPr>
              <w:rPr>
                <w:rFonts w:ascii="Arial" w:hAnsi="Arial"/>
                <w:i/>
                <w:lang w:val="fr-CA"/>
              </w:rPr>
            </w:pPr>
            <w:r w:rsidRPr="00EB40E8">
              <w:rPr>
                <w:rFonts w:ascii="Arial" w:hAnsi="Arial"/>
                <w:i/>
                <w:lang w:val="fr-CA"/>
              </w:rPr>
              <w:t>vous devez…</w:t>
            </w:r>
          </w:p>
        </w:tc>
      </w:tr>
      <w:tr w:rsidR="002C0DEC" w:rsidRPr="00EB40E8" w:rsidTr="002C0DEC">
        <w:tc>
          <w:tcPr>
            <w:tcW w:w="3262" w:type="dxa"/>
          </w:tcPr>
          <w:p w:rsidR="002C0DEC" w:rsidRPr="00EB40E8" w:rsidRDefault="002C0DEC" w:rsidP="00322F8A">
            <w:pPr>
              <w:rPr>
                <w:rFonts w:ascii="Arial" w:hAnsi="Arial"/>
                <w:sz w:val="22"/>
                <w:lang w:val="fr-CA"/>
              </w:rPr>
            </w:pPr>
            <w:r w:rsidRPr="00EB40E8">
              <w:rPr>
                <w:rFonts w:ascii="Arial" w:hAnsi="Arial"/>
                <w:sz w:val="22"/>
                <w:lang w:val="fr-CA"/>
              </w:rPr>
              <w:t>des segments coagulés sont trouvés sur une unité de donneur,</w:t>
            </w:r>
          </w:p>
        </w:tc>
        <w:tc>
          <w:tcPr>
            <w:tcW w:w="4068" w:type="dxa"/>
          </w:tcPr>
          <w:p w:rsidR="002C0DEC" w:rsidRPr="00EB40E8" w:rsidRDefault="002C0DEC" w:rsidP="00322F8A">
            <w:pPr>
              <w:rPr>
                <w:rFonts w:ascii="Arial" w:hAnsi="Arial"/>
                <w:sz w:val="22"/>
                <w:lang w:val="fr-CA"/>
              </w:rPr>
            </w:pPr>
            <w:r w:rsidRPr="00EB40E8">
              <w:rPr>
                <w:rFonts w:ascii="Arial" w:hAnsi="Arial"/>
                <w:sz w:val="22"/>
                <w:lang w:val="fr-CA"/>
              </w:rPr>
              <w:t>ouvrir les segments suivants attachés au sac, jusqu’à ce que vous trouviez un segment qui ne soit pas coagulé</w:t>
            </w:r>
          </w:p>
        </w:tc>
      </w:tr>
      <w:tr w:rsidR="002C0DEC" w:rsidRPr="00EB40E8" w:rsidTr="002C0DEC">
        <w:tc>
          <w:tcPr>
            <w:tcW w:w="3262" w:type="dxa"/>
          </w:tcPr>
          <w:p w:rsidR="002C0DEC" w:rsidRPr="00EB40E8" w:rsidRDefault="002C0DEC" w:rsidP="00322F8A">
            <w:pPr>
              <w:rPr>
                <w:rFonts w:ascii="Arial" w:hAnsi="Arial"/>
                <w:sz w:val="22"/>
                <w:lang w:val="fr-CA"/>
              </w:rPr>
            </w:pPr>
            <w:r w:rsidRPr="00EB40E8">
              <w:rPr>
                <w:rFonts w:ascii="Arial" w:hAnsi="Arial"/>
                <w:sz w:val="22"/>
                <w:lang w:val="fr-CA"/>
              </w:rPr>
              <w:t>tous les segments sont coagulés,</w:t>
            </w:r>
          </w:p>
        </w:tc>
        <w:tc>
          <w:tcPr>
            <w:tcW w:w="4068" w:type="dxa"/>
          </w:tcPr>
          <w:p w:rsidR="002C0DEC" w:rsidRPr="00EB40E8" w:rsidRDefault="002C0DEC" w:rsidP="00322F8A">
            <w:pPr>
              <w:rPr>
                <w:rFonts w:ascii="Arial" w:hAnsi="Arial"/>
                <w:sz w:val="22"/>
                <w:lang w:val="fr-CA"/>
              </w:rPr>
            </w:pPr>
            <w:r w:rsidRPr="00EB40E8">
              <w:rPr>
                <w:rFonts w:ascii="Arial" w:hAnsi="Arial"/>
                <w:sz w:val="22"/>
                <w:lang w:val="fr-CA"/>
              </w:rPr>
              <w:t>en aviser le fournisseur de sang. Voir GS.005 - Disposition finale du sang, des composants sanguins et des produits connexes qui ne sont pas en état d’être transfusés - procédure manuelle.</w:t>
            </w:r>
          </w:p>
        </w:tc>
      </w:tr>
    </w:tbl>
    <w:p w:rsidR="002C0DEC" w:rsidRPr="00EB40E8" w:rsidRDefault="002C0DEC" w:rsidP="002C0DEC">
      <w:pPr>
        <w:ind w:left="1440"/>
        <w:rPr>
          <w:rFonts w:ascii="Arial" w:hAnsi="Arial"/>
          <w:sz w:val="24"/>
          <w:lang w:val="fr-CA"/>
        </w:rPr>
      </w:pPr>
    </w:p>
    <w:p w:rsidR="002C0DEC" w:rsidRPr="00EB40E8" w:rsidRDefault="002C0DEC" w:rsidP="002C0DEC">
      <w:pPr>
        <w:ind w:left="1440"/>
        <w:rPr>
          <w:rFonts w:ascii="Arial" w:hAnsi="Arial"/>
          <w:sz w:val="24"/>
          <w:lang w:val="fr-CA"/>
        </w:rPr>
      </w:pPr>
    </w:p>
    <w:p w:rsidR="002C0DEC" w:rsidRPr="00EB40E8" w:rsidRDefault="002C0DEC">
      <w:pPr>
        <w:numPr>
          <w:ilvl w:val="1"/>
          <w:numId w:val="1"/>
        </w:numPr>
        <w:rPr>
          <w:rFonts w:ascii="Arial" w:hAnsi="Arial"/>
          <w:sz w:val="24"/>
          <w:lang w:val="fr-CA"/>
        </w:rPr>
      </w:pPr>
      <w:r w:rsidRPr="00EB40E8">
        <w:rPr>
          <w:rFonts w:ascii="Arial" w:hAnsi="Arial"/>
          <w:sz w:val="24"/>
          <w:lang w:val="fr-CA"/>
        </w:rPr>
        <w:t>Présence de segments hémolysés au moment du lavage du segment (c.-à-d. surnageant rougeâtre) </w:t>
      </w:r>
    </w:p>
    <w:p w:rsidR="002C0DEC" w:rsidRPr="00EB40E8" w:rsidRDefault="002C0DEC" w:rsidP="002C0DEC">
      <w:pPr>
        <w:ind w:left="144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4068"/>
      </w:tblGrid>
      <w:tr w:rsidR="002C0DEC" w:rsidRPr="00EB40E8" w:rsidTr="002C0DEC">
        <w:tc>
          <w:tcPr>
            <w:tcW w:w="3262" w:type="dxa"/>
          </w:tcPr>
          <w:p w:rsidR="002C0DEC" w:rsidRPr="00EB40E8" w:rsidRDefault="002C0DEC" w:rsidP="00322F8A">
            <w:pPr>
              <w:rPr>
                <w:rFonts w:ascii="Arial" w:hAnsi="Arial"/>
                <w:i/>
                <w:lang w:val="fr-CA"/>
              </w:rPr>
            </w:pPr>
            <w:r w:rsidRPr="00EB40E8">
              <w:rPr>
                <w:rFonts w:ascii="Arial" w:hAnsi="Arial"/>
                <w:i/>
                <w:lang w:val="fr-CA"/>
              </w:rPr>
              <w:t>Si…</w:t>
            </w:r>
          </w:p>
        </w:tc>
        <w:tc>
          <w:tcPr>
            <w:tcW w:w="4068" w:type="dxa"/>
          </w:tcPr>
          <w:p w:rsidR="002C0DEC" w:rsidRPr="00EB40E8" w:rsidRDefault="002C0DEC" w:rsidP="00322F8A">
            <w:pPr>
              <w:rPr>
                <w:rFonts w:ascii="Arial" w:hAnsi="Arial"/>
                <w:i/>
                <w:lang w:val="fr-CA"/>
              </w:rPr>
            </w:pPr>
            <w:r w:rsidRPr="00EB40E8">
              <w:rPr>
                <w:rFonts w:ascii="Arial" w:hAnsi="Arial"/>
                <w:i/>
                <w:lang w:val="fr-CA"/>
              </w:rPr>
              <w:t>vous devez…</w:t>
            </w:r>
          </w:p>
        </w:tc>
      </w:tr>
      <w:tr w:rsidR="002C0DEC" w:rsidRPr="00EB40E8" w:rsidTr="002C0DEC">
        <w:tc>
          <w:tcPr>
            <w:tcW w:w="3262" w:type="dxa"/>
          </w:tcPr>
          <w:p w:rsidR="002C0DEC" w:rsidRPr="00EB40E8" w:rsidRDefault="002C0DEC" w:rsidP="00322F8A">
            <w:pPr>
              <w:rPr>
                <w:rFonts w:ascii="Arial" w:hAnsi="Arial"/>
                <w:sz w:val="22"/>
                <w:lang w:val="fr-CA"/>
              </w:rPr>
            </w:pPr>
            <w:r w:rsidRPr="00EB40E8">
              <w:rPr>
                <w:rFonts w:ascii="Arial" w:hAnsi="Arial"/>
                <w:sz w:val="22"/>
                <w:lang w:val="fr-CA"/>
              </w:rPr>
              <w:t>Un segment hémolysé est trouvé,</w:t>
            </w:r>
          </w:p>
        </w:tc>
        <w:tc>
          <w:tcPr>
            <w:tcW w:w="4068" w:type="dxa"/>
          </w:tcPr>
          <w:p w:rsidR="002C0DEC" w:rsidRPr="00EB40E8" w:rsidRDefault="002C0DEC" w:rsidP="00322F8A">
            <w:pPr>
              <w:rPr>
                <w:rFonts w:ascii="Arial" w:hAnsi="Arial"/>
                <w:sz w:val="22"/>
                <w:lang w:val="fr-CA"/>
              </w:rPr>
            </w:pPr>
            <w:r w:rsidRPr="00EB40E8">
              <w:rPr>
                <w:rFonts w:ascii="Arial" w:hAnsi="Arial"/>
                <w:sz w:val="22"/>
                <w:lang w:val="fr-CA"/>
              </w:rPr>
              <w:t>ouvrir les segments suivants attachés au sac, jusqu’à ce que vous trouviez un segment qui ne soit pas hémolysé</w:t>
            </w:r>
          </w:p>
        </w:tc>
      </w:tr>
      <w:tr w:rsidR="002C0DEC" w:rsidRPr="00EB40E8" w:rsidTr="002C0DEC">
        <w:tc>
          <w:tcPr>
            <w:tcW w:w="3262" w:type="dxa"/>
          </w:tcPr>
          <w:p w:rsidR="002C0DEC" w:rsidRPr="00EB40E8" w:rsidRDefault="002C0DEC" w:rsidP="00322F8A">
            <w:pPr>
              <w:rPr>
                <w:rFonts w:ascii="Arial" w:hAnsi="Arial"/>
                <w:sz w:val="22"/>
                <w:lang w:val="fr-CA"/>
              </w:rPr>
            </w:pPr>
            <w:r w:rsidRPr="00EB40E8">
              <w:rPr>
                <w:rFonts w:ascii="Arial" w:hAnsi="Arial"/>
                <w:sz w:val="22"/>
                <w:lang w:val="fr-CA"/>
              </w:rPr>
              <w:t>tous les segments sont hémolysés,</w:t>
            </w:r>
          </w:p>
        </w:tc>
        <w:tc>
          <w:tcPr>
            <w:tcW w:w="4068" w:type="dxa"/>
          </w:tcPr>
          <w:p w:rsidR="002C0DEC" w:rsidRPr="00EB40E8" w:rsidRDefault="002C0DEC" w:rsidP="00322F8A">
            <w:pPr>
              <w:rPr>
                <w:rFonts w:ascii="Arial" w:hAnsi="Arial"/>
                <w:sz w:val="22"/>
                <w:lang w:val="fr-CA"/>
              </w:rPr>
            </w:pPr>
            <w:r w:rsidRPr="00EB40E8">
              <w:rPr>
                <w:rFonts w:ascii="Arial" w:hAnsi="Arial"/>
                <w:sz w:val="22"/>
                <w:lang w:val="fr-CA"/>
              </w:rPr>
              <w:t>en aviser le fournisseur de sang. Voir GS.005 - Disposition finale du sang, des composants sanguins et des produits connexes qui ne sont pas en état d’être transfusés - procédure manuelle.</w:t>
            </w:r>
          </w:p>
        </w:tc>
      </w:tr>
    </w:tbl>
    <w:p w:rsidR="002C0DEC" w:rsidRPr="00EB40E8" w:rsidRDefault="002C0DEC" w:rsidP="002C0DEC">
      <w:pPr>
        <w:ind w:left="1440"/>
        <w:rPr>
          <w:rFonts w:ascii="Arial" w:hAnsi="Arial"/>
          <w:sz w:val="24"/>
          <w:lang w:val="fr-CA"/>
        </w:rPr>
      </w:pPr>
    </w:p>
    <w:p w:rsidR="002F2F30" w:rsidRPr="00EB40E8" w:rsidRDefault="002F5528">
      <w:pPr>
        <w:numPr>
          <w:ilvl w:val="1"/>
          <w:numId w:val="1"/>
        </w:numPr>
        <w:rPr>
          <w:rFonts w:ascii="Arial" w:hAnsi="Arial"/>
          <w:sz w:val="24"/>
          <w:lang w:val="fr-CA"/>
        </w:rPr>
      </w:pPr>
      <w:r w:rsidRPr="00EB40E8">
        <w:rPr>
          <w:rFonts w:ascii="Arial" w:hAnsi="Arial"/>
          <w:spacing w:val="-2"/>
          <w:sz w:val="24"/>
          <w:lang w:val="fr-CA"/>
        </w:rPr>
        <w:t xml:space="preserve">On doit procéder avec soin à l'interprétation des réactions de type champ mixte. La présence de fibrine, de caillots ou de particules peut entraîner la formation d'une couche de cellules par-dessus le gel. </w:t>
      </w:r>
      <w:r w:rsidR="00291293" w:rsidRPr="00EB40E8">
        <w:rPr>
          <w:rFonts w:ascii="Arial" w:hAnsi="Arial"/>
          <w:spacing w:val="-2"/>
          <w:sz w:val="24"/>
          <w:lang w:val="fr-CA"/>
        </w:rPr>
        <w:t>Habituellement, on observe des réactions de type champ mixte uniquement dans les épreuves qui contiennent deux populations de globules rouges, comme chez les transfusés et les receveurs de moelle osseuse ou quand on utilise un échantillon de cellules mises en pool.</w:t>
      </w:r>
      <w:r w:rsidR="002F2F30" w:rsidRPr="00EB40E8">
        <w:rPr>
          <w:rFonts w:ascii="Arial" w:hAnsi="Arial"/>
          <w:spacing w:val="-2"/>
          <w:sz w:val="24"/>
          <w:lang w:val="fr-CA"/>
        </w:rPr>
        <w:t xml:space="preserve"> </w:t>
      </w:r>
      <w:r w:rsidRPr="00EB40E8">
        <w:rPr>
          <w:rFonts w:ascii="Arial" w:hAnsi="Arial"/>
          <w:spacing w:val="-2"/>
          <w:sz w:val="24"/>
          <w:lang w:val="fr-CA"/>
        </w:rPr>
        <w:t>T</w:t>
      </w:r>
      <w:r w:rsidR="00291293" w:rsidRPr="00EB40E8">
        <w:rPr>
          <w:rFonts w:ascii="Arial" w:hAnsi="Arial"/>
          <w:spacing w:val="-2"/>
          <w:sz w:val="24"/>
          <w:lang w:val="fr-CA"/>
        </w:rPr>
        <w:t>outefois, on ne peut pas détecter toutes les situations où il y a présence de cellules mixtes, car la population mineure est parfois trop petite.</w:t>
      </w:r>
    </w:p>
    <w:p w:rsidR="002C0DEC" w:rsidRPr="00EB40E8" w:rsidRDefault="002C0DEC">
      <w:pPr>
        <w:ind w:left="720"/>
        <w:rPr>
          <w:rFonts w:ascii="Arial" w:hAnsi="Arial"/>
          <w:sz w:val="24"/>
          <w:lang w:val="fr-CA"/>
        </w:rPr>
      </w:pPr>
    </w:p>
    <w:p w:rsidR="002C0DEC" w:rsidRPr="00EB40E8" w:rsidRDefault="002C0DEC" w:rsidP="002C0DEC">
      <w:pPr>
        <w:numPr>
          <w:ilvl w:val="1"/>
          <w:numId w:val="26"/>
        </w:numPr>
        <w:spacing w:line="228" w:lineRule="auto"/>
        <w:rPr>
          <w:rFonts w:ascii="Arial" w:hAnsi="Arial"/>
          <w:sz w:val="24"/>
          <w:lang w:val="fr-CA"/>
        </w:rPr>
      </w:pPr>
      <w:r w:rsidRPr="00EB40E8">
        <w:rPr>
          <w:rFonts w:ascii="Arial" w:hAnsi="Arial"/>
          <w:spacing w:val="-2"/>
          <w:sz w:val="24"/>
          <w:lang w:val="fr-CA"/>
        </w:rPr>
        <w:t xml:space="preserve">La présence de trop ou de trop peu de cellules </w:t>
      </w:r>
      <w:r w:rsidRPr="00EB40E8">
        <w:rPr>
          <w:rFonts w:ascii="Arial" w:hAnsi="Arial"/>
          <w:sz w:val="24"/>
          <w:lang w:val="fr-CA"/>
        </w:rPr>
        <w:t>dans le microtube peut susciter des réactions faussement positives ou faussement négatives. Cette situation peut être due à l’une ou aux deux erreurs suivantes :</w:t>
      </w:r>
    </w:p>
    <w:p w:rsidR="007B0195" w:rsidRPr="00EB40E8" w:rsidRDefault="002C0DEC" w:rsidP="007B0195">
      <w:pPr>
        <w:numPr>
          <w:ilvl w:val="0"/>
          <w:numId w:val="29"/>
        </w:numPr>
        <w:rPr>
          <w:rFonts w:ascii="Arial" w:hAnsi="Arial"/>
          <w:sz w:val="24"/>
          <w:lang w:val="fr-CA"/>
        </w:rPr>
      </w:pPr>
      <w:r w:rsidRPr="00EB40E8">
        <w:rPr>
          <w:rFonts w:ascii="Arial" w:hAnsi="Arial"/>
          <w:sz w:val="24"/>
          <w:lang w:val="fr-CA"/>
        </w:rPr>
        <w:t>suspension de cellules mal préparée</w:t>
      </w:r>
    </w:p>
    <w:p w:rsidR="002F2F30" w:rsidRPr="00EB40E8" w:rsidRDefault="002C0DEC" w:rsidP="007B0195">
      <w:pPr>
        <w:numPr>
          <w:ilvl w:val="0"/>
          <w:numId w:val="29"/>
        </w:numPr>
        <w:rPr>
          <w:rFonts w:ascii="Arial" w:hAnsi="Arial"/>
          <w:sz w:val="24"/>
          <w:lang w:val="fr-CA"/>
        </w:rPr>
      </w:pPr>
      <w:r w:rsidRPr="00EB40E8">
        <w:rPr>
          <w:rFonts w:ascii="Arial" w:hAnsi="Arial"/>
          <w:sz w:val="24"/>
          <w:lang w:val="fr-CA"/>
        </w:rPr>
        <w:t>ajout d’une mauvaise quantité de cellules dans la partie supérieure du microtube</w:t>
      </w:r>
    </w:p>
    <w:p w:rsidR="007B0195" w:rsidRPr="00EB40E8" w:rsidRDefault="007B0195" w:rsidP="007B0195">
      <w:pPr>
        <w:ind w:left="1440"/>
        <w:rPr>
          <w:rFonts w:ascii="Arial" w:hAnsi="Arial"/>
          <w:sz w:val="24"/>
          <w:lang w:val="fr-CA"/>
        </w:rPr>
      </w:pPr>
      <w:r w:rsidRPr="00EB40E8">
        <w:rPr>
          <w:rFonts w:ascii="Arial" w:hAnsi="Arial"/>
          <w:sz w:val="24"/>
          <w:lang w:val="fr-CA"/>
        </w:rPr>
        <w:t>Si c’est le cas, répéter le ou les tests en s’assurant que les quantités sont bonnes et à l’aide de nouvelles suspensions de cellules.</w:t>
      </w:r>
    </w:p>
    <w:p w:rsidR="007B0195" w:rsidRPr="00EB40E8" w:rsidRDefault="007B0195" w:rsidP="007B0195">
      <w:pPr>
        <w:ind w:left="1440"/>
        <w:rPr>
          <w:rFonts w:ascii="Arial" w:hAnsi="Arial"/>
          <w:sz w:val="24"/>
          <w:lang w:val="fr-CA"/>
        </w:rPr>
      </w:pPr>
    </w:p>
    <w:p w:rsidR="007B0195" w:rsidRPr="00EB40E8" w:rsidRDefault="007B0195" w:rsidP="007B0195">
      <w:pPr>
        <w:numPr>
          <w:ilvl w:val="1"/>
          <w:numId w:val="26"/>
        </w:numPr>
        <w:rPr>
          <w:rFonts w:ascii="Arial" w:hAnsi="Arial"/>
          <w:sz w:val="24"/>
          <w:lang w:val="fr-CA"/>
        </w:rPr>
      </w:pPr>
      <w:r w:rsidRPr="00EB40E8">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 d’hémagglutination en tube et d’un remplacement par une solution saline, au</w:t>
      </w:r>
      <w:r w:rsidRPr="00EB40E8">
        <w:rPr>
          <w:rFonts w:ascii="Arial" w:hAnsi="Arial"/>
          <w:spacing w:val="-2"/>
          <w:sz w:val="24"/>
          <w:lang w:val="fr-CA"/>
        </w:rPr>
        <w:t xml:space="preserve"> besoin.</w:t>
      </w:r>
    </w:p>
    <w:p w:rsidR="00642361" w:rsidRPr="00EB40E8" w:rsidRDefault="00642361" w:rsidP="00642361">
      <w:pPr>
        <w:ind w:left="1440"/>
        <w:rPr>
          <w:rFonts w:ascii="Arial" w:hAnsi="Arial"/>
          <w:sz w:val="24"/>
          <w:lang w:val="fr-CA"/>
        </w:rPr>
      </w:pPr>
    </w:p>
    <w:p w:rsidR="00642361" w:rsidRPr="00EB40E8" w:rsidRDefault="00642361" w:rsidP="007B0195">
      <w:pPr>
        <w:numPr>
          <w:ilvl w:val="1"/>
          <w:numId w:val="26"/>
        </w:numPr>
        <w:rPr>
          <w:rFonts w:ascii="Arial" w:hAnsi="Arial"/>
          <w:sz w:val="24"/>
          <w:lang w:val="fr-CA"/>
        </w:rPr>
      </w:pPr>
      <w:r w:rsidRPr="00EB40E8">
        <w:rPr>
          <w:rFonts w:ascii="Arial" w:hAnsi="Arial"/>
          <w:sz w:val="24"/>
          <w:lang w:val="fr-CA"/>
        </w:rPr>
        <w:t>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gel.</w:t>
      </w:r>
    </w:p>
    <w:p w:rsidR="00642361" w:rsidRPr="00EB40E8" w:rsidRDefault="00642361" w:rsidP="00642361">
      <w:pPr>
        <w:pStyle w:val="ListParagraph"/>
        <w:rPr>
          <w:rFonts w:ascii="Arial" w:hAnsi="Arial"/>
          <w:sz w:val="24"/>
          <w:lang w:val="fr-CA"/>
        </w:rPr>
      </w:pPr>
    </w:p>
    <w:p w:rsidR="00642361" w:rsidRPr="00EB40E8" w:rsidRDefault="00642361" w:rsidP="007B0195">
      <w:pPr>
        <w:numPr>
          <w:ilvl w:val="1"/>
          <w:numId w:val="26"/>
        </w:numPr>
        <w:rPr>
          <w:rFonts w:ascii="Arial" w:hAnsi="Arial"/>
          <w:sz w:val="24"/>
          <w:lang w:val="fr-CA"/>
        </w:rPr>
      </w:pPr>
      <w:r w:rsidRPr="00EB40E8">
        <w:rPr>
          <w:rFonts w:ascii="Arial" w:hAnsi="Arial"/>
          <w:sz w:val="24"/>
          <w:lang w:val="fr-CA"/>
        </w:rPr>
        <w:t>De faux résultats positifs ou négatifs peuvent survenir dans les situations suivantes : contamination bactérienne du matériel de l’épreuve, température ou durée d’incubation inadéquate, mauvaise centrifugation, mauvais entreposage du matériel.</w:t>
      </w:r>
    </w:p>
    <w:p w:rsidR="00642361" w:rsidRPr="00EB40E8" w:rsidRDefault="00642361" w:rsidP="00642361">
      <w:pPr>
        <w:pStyle w:val="ListParagraph"/>
        <w:rPr>
          <w:rFonts w:ascii="Arial" w:hAnsi="Arial"/>
          <w:sz w:val="24"/>
          <w:lang w:val="fr-CA"/>
        </w:rPr>
      </w:pPr>
    </w:p>
    <w:p w:rsidR="00642361" w:rsidRPr="00EB40E8" w:rsidRDefault="00642361" w:rsidP="007B0195">
      <w:pPr>
        <w:numPr>
          <w:ilvl w:val="1"/>
          <w:numId w:val="26"/>
        </w:numPr>
        <w:rPr>
          <w:rFonts w:ascii="Arial" w:hAnsi="Arial"/>
          <w:sz w:val="24"/>
          <w:lang w:val="fr-CA"/>
        </w:rPr>
      </w:pPr>
      <w:r w:rsidRPr="00EB40E8">
        <w:rPr>
          <w:rFonts w:ascii="Arial" w:hAnsi="Arial"/>
          <w:spacing w:val="-2"/>
          <w:sz w:val="24"/>
          <w:lang w:val="fr-CA"/>
        </w:rPr>
        <w:t>De faux résultats positifs peuvent survenir dans le cas de cartes de gel qui présentent des signes de dessiccation.</w:t>
      </w:r>
    </w:p>
    <w:p w:rsidR="00642361" w:rsidRPr="00EB40E8" w:rsidRDefault="00642361" w:rsidP="00642361">
      <w:pPr>
        <w:pStyle w:val="ListParagraph"/>
        <w:rPr>
          <w:rFonts w:ascii="Arial" w:hAnsi="Arial"/>
          <w:sz w:val="24"/>
          <w:lang w:val="fr-CA"/>
        </w:rPr>
      </w:pPr>
    </w:p>
    <w:p w:rsidR="00642361" w:rsidRPr="00EB40E8" w:rsidRDefault="00642361" w:rsidP="007B0195">
      <w:pPr>
        <w:numPr>
          <w:ilvl w:val="1"/>
          <w:numId w:val="26"/>
        </w:numPr>
        <w:rPr>
          <w:rFonts w:ascii="Arial" w:hAnsi="Arial"/>
          <w:sz w:val="24"/>
          <w:lang w:val="fr-CA"/>
        </w:rPr>
      </w:pPr>
      <w:r w:rsidRPr="00EB40E8">
        <w:rPr>
          <w:rFonts w:ascii="Arial" w:hAnsi="Arial"/>
          <w:spacing w:val="-2"/>
          <w:sz w:val="24"/>
          <w:lang w:val="fr-CA"/>
        </w:rPr>
        <w:t>Le sérum frais, la présence de fibrine ou de particules dans le plasma, ou l’adhérence de globules rouges aux parois du microtube peuvent entraîner des résultats anormaux. Le recours à du plasma avec EDTA minimisera le problème.</w:t>
      </w:r>
    </w:p>
    <w:p w:rsidR="00642361" w:rsidRPr="00EB40E8" w:rsidRDefault="00642361" w:rsidP="00642361">
      <w:pPr>
        <w:pStyle w:val="ListParagraph"/>
        <w:rPr>
          <w:rFonts w:ascii="Arial" w:hAnsi="Arial"/>
          <w:sz w:val="24"/>
          <w:lang w:val="fr-CA"/>
        </w:rPr>
      </w:pPr>
    </w:p>
    <w:p w:rsidR="00642361" w:rsidRPr="00EB40E8" w:rsidRDefault="00642361" w:rsidP="007B0195">
      <w:pPr>
        <w:numPr>
          <w:ilvl w:val="1"/>
          <w:numId w:val="26"/>
        </w:numPr>
        <w:rPr>
          <w:rFonts w:ascii="Arial" w:hAnsi="Arial"/>
          <w:sz w:val="24"/>
          <w:lang w:val="fr-CA"/>
        </w:rPr>
      </w:pPr>
      <w:r w:rsidRPr="00EB40E8">
        <w:rPr>
          <w:rFonts w:ascii="Arial" w:hAnsi="Arial"/>
          <w:sz w:val="24"/>
          <w:lang w:val="fr-CA"/>
        </w:rPr>
        <w:t>Ajout de cellules et de plasma ou de sérum :</w:t>
      </w:r>
    </w:p>
    <w:p w:rsidR="00642361" w:rsidRPr="00EB40E8" w:rsidRDefault="00642361" w:rsidP="00642361">
      <w:pPr>
        <w:pStyle w:val="ListParagraph"/>
        <w:rPr>
          <w:rFonts w:ascii="Arial" w:hAnsi="Arial"/>
          <w:sz w:val="24"/>
          <w:lang w:val="fr-CA"/>
        </w:rPr>
      </w:pPr>
    </w:p>
    <w:p w:rsidR="00642361" w:rsidRPr="00EB40E8" w:rsidRDefault="00642361" w:rsidP="00642361">
      <w:pPr>
        <w:numPr>
          <w:ilvl w:val="2"/>
          <w:numId w:val="26"/>
        </w:numPr>
        <w:rPr>
          <w:rFonts w:ascii="Arial" w:hAnsi="Arial"/>
          <w:sz w:val="24"/>
          <w:lang w:val="fr-CA"/>
        </w:rPr>
      </w:pPr>
      <w:r w:rsidRPr="00EB40E8">
        <w:rPr>
          <w:rFonts w:ascii="Arial" w:hAnsi="Arial"/>
          <w:sz w:val="24"/>
          <w:lang w:val="fr-CA"/>
        </w:rPr>
        <w:t>On doit ajouter la suspension de globules rouges avant le plasma ou le sérum, car le volume de la suspension de globules rouges est plus grand que le volume de plasma. Si on ajoute le plus petit volume de plasma avant la suspension de globules rouges, le mélange pourrait être inadéquat.</w:t>
      </w:r>
    </w:p>
    <w:p w:rsidR="00642361" w:rsidRPr="00EB40E8" w:rsidRDefault="00642361" w:rsidP="00642361">
      <w:pPr>
        <w:numPr>
          <w:ilvl w:val="2"/>
          <w:numId w:val="26"/>
        </w:numPr>
        <w:rPr>
          <w:rFonts w:ascii="Arial" w:hAnsi="Arial"/>
          <w:sz w:val="24"/>
          <w:lang w:val="fr-CA"/>
        </w:rPr>
      </w:pPr>
      <w:r w:rsidRPr="00EB40E8">
        <w:rPr>
          <w:rFonts w:ascii="Arial" w:hAnsi="Arial"/>
          <w:sz w:val="24"/>
          <w:lang w:val="fr-CA"/>
        </w:rPr>
        <w:t>On doit ajouter le plasma ou le sérum dans les 10 à 15 minutes suivant l’ajout de la suspension de globules rouges aux chambres de réaction. Tout globule rouge qui entre en contact avec la colonne de gel avant la centrifugation pourrait ne pas avoir l’occasion d’entrer en contact avec le plasma et ainsi commencer à migrer dans le gel et possiblement entraîner une réaction plus faible après la centrifugation.</w:t>
      </w:r>
    </w:p>
    <w:p w:rsidR="00642361" w:rsidRPr="00EB40E8" w:rsidRDefault="00642361" w:rsidP="00642361">
      <w:pPr>
        <w:ind w:left="2160"/>
        <w:rPr>
          <w:rFonts w:ascii="Arial" w:hAnsi="Arial"/>
          <w:sz w:val="24"/>
          <w:lang w:val="fr-CA"/>
        </w:rPr>
      </w:pPr>
    </w:p>
    <w:p w:rsidR="00642361" w:rsidRPr="00EB40E8" w:rsidRDefault="00642361" w:rsidP="00642361">
      <w:pPr>
        <w:numPr>
          <w:ilvl w:val="1"/>
          <w:numId w:val="26"/>
        </w:numPr>
        <w:rPr>
          <w:rFonts w:ascii="Arial" w:hAnsi="Arial"/>
          <w:sz w:val="24"/>
          <w:lang w:val="fr-CA"/>
        </w:rPr>
      </w:pPr>
      <w:r w:rsidRPr="00EB40E8">
        <w:rPr>
          <w:rFonts w:ascii="Arial" w:hAnsi="Arial"/>
          <w:sz w:val="24"/>
          <w:lang w:val="fr-CA"/>
        </w:rPr>
        <w:t>Dans la documentation, on recommande une incubation d’une durée de 5 à 40 minutes dans des solutions à faible concentration ionique. Il n’y a pas de durée d’incubation optimale unique pour tous les anticorps. Si on change la durée d’incubation recommandée par le fabricant, il faut mener des études de validation.</w:t>
      </w:r>
    </w:p>
    <w:p w:rsidR="00642361" w:rsidRPr="00EB40E8" w:rsidRDefault="00642361" w:rsidP="00642361">
      <w:pPr>
        <w:ind w:left="1440"/>
        <w:rPr>
          <w:rFonts w:ascii="Arial" w:hAnsi="Arial"/>
          <w:sz w:val="24"/>
          <w:lang w:val="fr-CA"/>
        </w:rPr>
      </w:pPr>
    </w:p>
    <w:p w:rsidR="00642361" w:rsidRPr="00EB40E8" w:rsidRDefault="00642361" w:rsidP="00642361">
      <w:pPr>
        <w:numPr>
          <w:ilvl w:val="1"/>
          <w:numId w:val="26"/>
        </w:numPr>
        <w:rPr>
          <w:rFonts w:ascii="Arial" w:hAnsi="Arial"/>
          <w:sz w:val="24"/>
          <w:lang w:val="fr-CA"/>
        </w:rPr>
      </w:pPr>
      <w:r w:rsidRPr="00EB40E8">
        <w:rPr>
          <w:rFonts w:ascii="Arial" w:hAnsi="Arial"/>
          <w:spacing w:val="-2"/>
          <w:sz w:val="24"/>
          <w:szCs w:val="24"/>
          <w:lang w:val="fr-CA"/>
        </w:rPr>
        <w:t>La présence dans le sérum d’anticorps réagissant à des composants de la solution de conservation pourrait entraîner de faux résultats positifs.</w:t>
      </w:r>
    </w:p>
    <w:p w:rsidR="00642361" w:rsidRPr="00EB40E8" w:rsidRDefault="00642361" w:rsidP="00642361">
      <w:pPr>
        <w:pStyle w:val="ListParagraph"/>
        <w:rPr>
          <w:rFonts w:ascii="Arial" w:hAnsi="Arial"/>
          <w:sz w:val="24"/>
          <w:lang w:val="fr-CA"/>
        </w:rPr>
      </w:pPr>
    </w:p>
    <w:p w:rsidR="00642361" w:rsidRPr="00EB40E8" w:rsidRDefault="00642361" w:rsidP="00642361">
      <w:pPr>
        <w:numPr>
          <w:ilvl w:val="1"/>
          <w:numId w:val="26"/>
        </w:numPr>
        <w:rPr>
          <w:rFonts w:ascii="Arial" w:hAnsi="Arial"/>
          <w:sz w:val="24"/>
          <w:lang w:val="fr-CA"/>
        </w:rPr>
      </w:pPr>
      <w:r w:rsidRPr="00EB40E8">
        <w:rPr>
          <w:rFonts w:ascii="Arial" w:hAnsi="Arial"/>
          <w:spacing w:val="-2"/>
          <w:sz w:val="24"/>
          <w:szCs w:val="24"/>
          <w:lang w:val="fr-CA"/>
        </w:rPr>
        <w:t>Pour assurer le bon déroulement de l’épreuve, il est essentiel de respecter les directives du dépliant du fournisseur.</w:t>
      </w:r>
    </w:p>
    <w:p w:rsidR="00642361" w:rsidRPr="00EB40E8" w:rsidRDefault="00642361" w:rsidP="00642361">
      <w:pPr>
        <w:ind w:left="1440"/>
        <w:rPr>
          <w:rFonts w:ascii="Arial" w:hAnsi="Arial"/>
          <w:sz w:val="24"/>
          <w:lang w:val="fr-CA"/>
        </w:rPr>
      </w:pPr>
    </w:p>
    <w:p w:rsidR="002F2F30" w:rsidRPr="00EB40E8" w:rsidRDefault="002F2F30">
      <w:pPr>
        <w:rPr>
          <w:rFonts w:ascii="Arial" w:hAnsi="Arial"/>
          <w:sz w:val="24"/>
          <w:lang w:val="fr-CA"/>
        </w:rPr>
      </w:pPr>
    </w:p>
    <w:p w:rsidR="002F2F30" w:rsidRPr="00EB40E8" w:rsidRDefault="002F2F30">
      <w:pPr>
        <w:numPr>
          <w:ilvl w:val="0"/>
          <w:numId w:val="1"/>
        </w:numPr>
        <w:rPr>
          <w:rFonts w:ascii="Arial" w:hAnsi="Arial"/>
          <w:b/>
          <w:sz w:val="28"/>
          <w:lang w:val="fr-CA"/>
        </w:rPr>
      </w:pPr>
      <w:r w:rsidRPr="00EB40E8">
        <w:rPr>
          <w:rFonts w:ascii="Arial" w:hAnsi="Arial"/>
          <w:b/>
          <w:sz w:val="28"/>
          <w:lang w:val="fr-CA"/>
        </w:rPr>
        <w:t>R</w:t>
      </w:r>
      <w:r w:rsidR="007635AE" w:rsidRPr="00EB40E8">
        <w:rPr>
          <w:rFonts w:ascii="Arial" w:hAnsi="Arial"/>
          <w:b/>
          <w:sz w:val="28"/>
          <w:lang w:val="fr-CA"/>
        </w:rPr>
        <w:t>é</w:t>
      </w:r>
      <w:r w:rsidRPr="00EB40E8">
        <w:rPr>
          <w:rFonts w:ascii="Arial" w:hAnsi="Arial"/>
          <w:b/>
          <w:sz w:val="28"/>
          <w:lang w:val="fr-CA"/>
        </w:rPr>
        <w:t>f</w:t>
      </w:r>
      <w:r w:rsidR="007635AE" w:rsidRPr="00EB40E8">
        <w:rPr>
          <w:rFonts w:ascii="Arial" w:hAnsi="Arial"/>
          <w:b/>
          <w:sz w:val="28"/>
          <w:lang w:val="fr-CA"/>
        </w:rPr>
        <w:t>é</w:t>
      </w:r>
      <w:r w:rsidRPr="00EB40E8">
        <w:rPr>
          <w:rFonts w:ascii="Arial" w:hAnsi="Arial"/>
          <w:b/>
          <w:sz w:val="28"/>
          <w:lang w:val="fr-CA"/>
        </w:rPr>
        <w:t>rences</w:t>
      </w:r>
    </w:p>
    <w:p w:rsidR="002F2F30" w:rsidRPr="00EB40E8" w:rsidRDefault="002F2F30">
      <w:pPr>
        <w:tabs>
          <w:tab w:val="left" w:pos="-720"/>
          <w:tab w:val="left" w:pos="0"/>
        </w:tabs>
        <w:suppressAutoHyphens/>
        <w:rPr>
          <w:rFonts w:ascii="Arial" w:hAnsi="Arial"/>
          <w:spacing w:val="-2"/>
          <w:sz w:val="24"/>
          <w:lang w:val="fr-CA"/>
        </w:rPr>
      </w:pPr>
    </w:p>
    <w:p w:rsidR="00330C7B" w:rsidRPr="00EB40E8" w:rsidRDefault="00330C7B" w:rsidP="00330C7B">
      <w:pPr>
        <w:numPr>
          <w:ilvl w:val="0"/>
          <w:numId w:val="21"/>
        </w:numPr>
        <w:tabs>
          <w:tab w:val="left" w:pos="1418"/>
        </w:tabs>
        <w:suppressAutoHyphens/>
        <w:ind w:left="1418" w:hanging="720"/>
        <w:rPr>
          <w:rFonts w:ascii="Arial" w:hAnsi="Arial"/>
          <w:spacing w:val="-2"/>
          <w:sz w:val="24"/>
          <w:lang w:val="fr-CA"/>
        </w:rPr>
      </w:pPr>
      <w:r w:rsidRPr="00EB40E8">
        <w:rPr>
          <w:rFonts w:ascii="Arial" w:hAnsi="Arial"/>
          <w:i/>
          <w:sz w:val="24"/>
          <w:lang w:val="fr-CA"/>
        </w:rPr>
        <w:t>Standards for Hospital Transfusion Services</w:t>
      </w:r>
      <w:r w:rsidRPr="00EB40E8">
        <w:rPr>
          <w:rFonts w:ascii="Arial" w:hAnsi="Arial"/>
          <w:sz w:val="24"/>
          <w:lang w:val="fr-CA"/>
        </w:rPr>
        <w:t xml:space="preserve"> Version 3 - </w:t>
      </w:r>
      <w:r w:rsidR="00EB40E8" w:rsidRPr="00EB40E8">
        <w:rPr>
          <w:rFonts w:ascii="Arial" w:hAnsi="Arial"/>
          <w:sz w:val="24"/>
          <w:lang w:val="fr-CA"/>
        </w:rPr>
        <w:t>février</w:t>
      </w:r>
      <w:r w:rsidRPr="00EB40E8">
        <w:rPr>
          <w:rFonts w:ascii="Arial" w:hAnsi="Arial"/>
          <w:sz w:val="24"/>
          <w:lang w:val="fr-CA"/>
        </w:rPr>
        <w:t xml:space="preserve"> 2011. </w:t>
      </w:r>
      <w:r w:rsidR="00EB40E8" w:rsidRPr="00EB40E8">
        <w:rPr>
          <w:rFonts w:ascii="Arial" w:hAnsi="Arial"/>
          <w:sz w:val="24"/>
          <w:lang w:val="fr-CA"/>
        </w:rPr>
        <w:t>Société canadienne de médecine transfusionnelle</w:t>
      </w:r>
      <w:r w:rsidRPr="00EB40E8">
        <w:rPr>
          <w:rFonts w:ascii="Arial" w:hAnsi="Arial"/>
          <w:sz w:val="24"/>
          <w:lang w:val="fr-CA"/>
        </w:rPr>
        <w:t>, 5.2.3.3, 5.2.4.2, 5.3.4.3, 5.3.4.2</w:t>
      </w:r>
    </w:p>
    <w:p w:rsidR="00330C7B" w:rsidRPr="00EB40E8" w:rsidRDefault="00330C7B" w:rsidP="00330C7B">
      <w:pPr>
        <w:tabs>
          <w:tab w:val="left" w:pos="1418"/>
        </w:tabs>
        <w:suppressAutoHyphens/>
        <w:ind w:left="1418"/>
        <w:rPr>
          <w:rFonts w:ascii="Arial" w:hAnsi="Arial"/>
          <w:spacing w:val="-2"/>
          <w:sz w:val="24"/>
          <w:lang w:val="fr-CA"/>
        </w:rPr>
      </w:pPr>
    </w:p>
    <w:p w:rsidR="00330C7B" w:rsidRPr="00EB40E8" w:rsidRDefault="00330C7B" w:rsidP="00330C7B">
      <w:pPr>
        <w:numPr>
          <w:ilvl w:val="0"/>
          <w:numId w:val="21"/>
        </w:numPr>
        <w:tabs>
          <w:tab w:val="left" w:pos="1418"/>
        </w:tabs>
        <w:suppressAutoHyphens/>
        <w:ind w:left="1418" w:hanging="720"/>
        <w:rPr>
          <w:rFonts w:ascii="Arial" w:hAnsi="Arial"/>
          <w:spacing w:val="-2"/>
          <w:sz w:val="24"/>
          <w:lang w:val="fr-CA"/>
        </w:rPr>
      </w:pPr>
      <w:r w:rsidRPr="00BC720D">
        <w:rPr>
          <w:rFonts w:ascii="Arial" w:hAnsi="Arial"/>
          <w:sz w:val="24"/>
          <w:lang w:val="en-CA"/>
        </w:rPr>
        <w:t xml:space="preserve">Roback JD, </w:t>
      </w:r>
      <w:r w:rsidR="00EB40E8" w:rsidRPr="00BC720D">
        <w:rPr>
          <w:rFonts w:ascii="Arial" w:hAnsi="Arial"/>
          <w:sz w:val="24"/>
          <w:lang w:val="en-CA"/>
        </w:rPr>
        <w:t>é</w:t>
      </w:r>
      <w:r w:rsidRPr="00BC720D">
        <w:rPr>
          <w:rFonts w:ascii="Arial" w:hAnsi="Arial"/>
          <w:sz w:val="24"/>
          <w:lang w:val="en-CA"/>
        </w:rPr>
        <w:t xml:space="preserve">d. </w:t>
      </w:r>
      <w:r w:rsidRPr="00BC720D">
        <w:rPr>
          <w:rFonts w:ascii="Arial" w:hAnsi="Arial"/>
          <w:i/>
          <w:sz w:val="24"/>
          <w:lang w:val="en-CA"/>
        </w:rPr>
        <w:t>American Association of Blood Banks Technical Manual</w:t>
      </w:r>
      <w:r w:rsidRPr="00BC720D">
        <w:rPr>
          <w:rFonts w:ascii="Arial" w:hAnsi="Arial"/>
          <w:sz w:val="24"/>
          <w:lang w:val="en-CA"/>
        </w:rPr>
        <w:t>, 17</w:t>
      </w:r>
      <w:r w:rsidR="00EB40E8" w:rsidRPr="00BC720D">
        <w:rPr>
          <w:rFonts w:ascii="Arial" w:hAnsi="Arial"/>
          <w:sz w:val="24"/>
          <w:vertAlign w:val="superscript"/>
          <w:lang w:val="en-CA"/>
        </w:rPr>
        <w:t>e</w:t>
      </w:r>
      <w:r w:rsidRPr="00BC720D">
        <w:rPr>
          <w:rFonts w:ascii="Arial" w:hAnsi="Arial"/>
          <w:sz w:val="24"/>
          <w:lang w:val="en-CA"/>
        </w:rPr>
        <w:t xml:space="preserve"> </w:t>
      </w:r>
      <w:r w:rsidR="00EB40E8" w:rsidRPr="00BC720D">
        <w:rPr>
          <w:rFonts w:ascii="Arial" w:hAnsi="Arial"/>
          <w:sz w:val="24"/>
          <w:lang w:val="en-CA"/>
        </w:rPr>
        <w:t>é</w:t>
      </w:r>
      <w:r w:rsidRPr="00BC720D">
        <w:rPr>
          <w:rFonts w:ascii="Arial" w:hAnsi="Arial"/>
          <w:sz w:val="24"/>
          <w:lang w:val="en-CA"/>
        </w:rPr>
        <w:t xml:space="preserve">d. </w:t>
      </w:r>
      <w:r w:rsidRPr="00EB40E8">
        <w:rPr>
          <w:rFonts w:ascii="Arial" w:hAnsi="Arial"/>
          <w:sz w:val="24"/>
          <w:lang w:val="fr-CA"/>
        </w:rPr>
        <w:t>Bethesda, MD: American Association of Blood Banks, 2011:491-492</w:t>
      </w:r>
    </w:p>
    <w:p w:rsidR="00330C7B" w:rsidRPr="00EB40E8" w:rsidRDefault="00330C7B" w:rsidP="00330C7B">
      <w:pPr>
        <w:tabs>
          <w:tab w:val="left" w:pos="1418"/>
        </w:tabs>
        <w:suppressAutoHyphens/>
        <w:ind w:left="1418"/>
        <w:rPr>
          <w:rFonts w:ascii="Arial" w:hAnsi="Arial"/>
          <w:spacing w:val="-2"/>
          <w:sz w:val="24"/>
          <w:lang w:val="fr-CA"/>
        </w:rPr>
      </w:pPr>
    </w:p>
    <w:p w:rsidR="00330C7B" w:rsidRPr="00EB40E8" w:rsidRDefault="00330C7B" w:rsidP="00330C7B">
      <w:pPr>
        <w:numPr>
          <w:ilvl w:val="0"/>
          <w:numId w:val="21"/>
        </w:numPr>
        <w:tabs>
          <w:tab w:val="left" w:pos="1418"/>
        </w:tabs>
        <w:suppressAutoHyphens/>
        <w:ind w:left="1418" w:hanging="720"/>
        <w:rPr>
          <w:rFonts w:ascii="Arial" w:hAnsi="Arial"/>
          <w:spacing w:val="-2"/>
          <w:sz w:val="24"/>
          <w:lang w:val="fr-CA"/>
        </w:rPr>
      </w:pPr>
      <w:r w:rsidRPr="00EB40E8">
        <w:rPr>
          <w:rFonts w:ascii="Arial" w:hAnsi="Arial"/>
          <w:spacing w:val="-2"/>
          <w:sz w:val="24"/>
          <w:lang w:val="fr-CA"/>
        </w:rPr>
        <w:t>ID-Micro Typing System</w:t>
      </w:r>
      <w:r w:rsidRPr="00EB40E8">
        <w:rPr>
          <w:rFonts w:ascii="Arial" w:hAnsi="Arial"/>
          <w:spacing w:val="-2"/>
          <w:sz w:val="24"/>
          <w:vertAlign w:val="superscript"/>
          <w:lang w:val="fr-CA"/>
        </w:rPr>
        <w:t>TM</w:t>
      </w:r>
      <w:r w:rsidRPr="00EB40E8">
        <w:rPr>
          <w:rFonts w:ascii="Arial" w:hAnsi="Arial"/>
          <w:spacing w:val="-2"/>
          <w:sz w:val="24"/>
          <w:lang w:val="fr-CA"/>
        </w:rPr>
        <w:t xml:space="preserve"> Interpretation Guide-2010-06-04</w:t>
      </w:r>
    </w:p>
    <w:p w:rsidR="00330C7B" w:rsidRPr="00EB40E8" w:rsidRDefault="00330C7B" w:rsidP="00330C7B">
      <w:pPr>
        <w:tabs>
          <w:tab w:val="left" w:pos="1418"/>
        </w:tabs>
        <w:suppressAutoHyphens/>
        <w:ind w:left="1418"/>
        <w:rPr>
          <w:rFonts w:ascii="Arial" w:hAnsi="Arial"/>
          <w:spacing w:val="-2"/>
          <w:sz w:val="24"/>
          <w:lang w:val="fr-CA"/>
        </w:rPr>
      </w:pPr>
    </w:p>
    <w:p w:rsidR="00330C7B" w:rsidRPr="00EB40E8" w:rsidRDefault="00330C7B" w:rsidP="00330C7B">
      <w:pPr>
        <w:numPr>
          <w:ilvl w:val="0"/>
          <w:numId w:val="21"/>
        </w:numPr>
        <w:tabs>
          <w:tab w:val="left" w:pos="1418"/>
        </w:tabs>
        <w:suppressAutoHyphens/>
        <w:ind w:left="1418" w:hanging="709"/>
        <w:rPr>
          <w:rFonts w:ascii="Arial" w:hAnsi="Arial"/>
          <w:spacing w:val="-2"/>
          <w:sz w:val="24"/>
          <w:lang w:val="fr-CA"/>
        </w:rPr>
      </w:pPr>
      <w:r w:rsidRPr="00EB40E8">
        <w:rPr>
          <w:rFonts w:ascii="Arial" w:hAnsi="Arial" w:cs="Arial"/>
          <w:bCs/>
          <w:sz w:val="24"/>
          <w:szCs w:val="24"/>
          <w:lang w:val="fr-CA"/>
        </w:rPr>
        <w:t xml:space="preserve">INSTRUCTIONS FOR USE Anti-Human Globulin Anti-IgG (Rabbit) MTS™ Anti-IgG Card, </w:t>
      </w:r>
      <w:r w:rsidR="00EB40E8" w:rsidRPr="00EB40E8">
        <w:rPr>
          <w:rFonts w:ascii="Arial" w:hAnsi="Arial" w:cs="Arial"/>
          <w:bCs/>
          <w:sz w:val="24"/>
          <w:szCs w:val="24"/>
          <w:lang w:val="fr-CA"/>
        </w:rPr>
        <w:t>v</w:t>
      </w:r>
      <w:r w:rsidRPr="00EB40E8">
        <w:rPr>
          <w:rFonts w:ascii="Arial" w:hAnsi="Arial" w:cs="Arial"/>
          <w:bCs/>
          <w:sz w:val="24"/>
          <w:szCs w:val="24"/>
          <w:lang w:val="fr-CA"/>
        </w:rPr>
        <w:t>ersion 2.0</w:t>
      </w:r>
    </w:p>
    <w:p w:rsidR="00330C7B" w:rsidRPr="00EB40E8" w:rsidRDefault="00330C7B" w:rsidP="00330C7B">
      <w:pPr>
        <w:tabs>
          <w:tab w:val="left" w:pos="1418"/>
        </w:tabs>
        <w:suppressAutoHyphens/>
        <w:ind w:left="1418"/>
        <w:rPr>
          <w:rFonts w:ascii="Arial" w:hAnsi="Arial"/>
          <w:spacing w:val="-2"/>
          <w:sz w:val="24"/>
          <w:lang w:val="fr-CA"/>
        </w:rPr>
      </w:pPr>
    </w:p>
    <w:p w:rsidR="00330C7B" w:rsidRPr="00EB40E8" w:rsidRDefault="00EB40E8" w:rsidP="00330C7B">
      <w:pPr>
        <w:numPr>
          <w:ilvl w:val="0"/>
          <w:numId w:val="21"/>
        </w:numPr>
        <w:tabs>
          <w:tab w:val="left" w:pos="1418"/>
        </w:tabs>
        <w:suppressAutoHyphens/>
        <w:ind w:left="1418" w:hanging="720"/>
        <w:rPr>
          <w:rFonts w:ascii="Arial" w:hAnsi="Arial"/>
          <w:spacing w:val="-2"/>
          <w:sz w:val="24"/>
          <w:lang w:val="fr-CA"/>
        </w:rPr>
      </w:pPr>
      <w:r w:rsidRPr="00EB40E8">
        <w:rPr>
          <w:rFonts w:ascii="Arial" w:hAnsi="Arial"/>
          <w:sz w:val="24"/>
          <w:lang w:val="fr-CA"/>
        </w:rPr>
        <w:t xml:space="preserve">Dépliant d’utilisation des </w:t>
      </w:r>
      <w:r w:rsidR="00330C7B" w:rsidRPr="00EB40E8">
        <w:rPr>
          <w:rFonts w:ascii="Arial" w:hAnsi="Arial"/>
          <w:sz w:val="24"/>
          <w:lang w:val="fr-CA"/>
        </w:rPr>
        <w:t xml:space="preserve"> anti-s</w:t>
      </w:r>
      <w:r w:rsidRPr="00EB40E8">
        <w:rPr>
          <w:rFonts w:ascii="Arial" w:hAnsi="Arial"/>
          <w:sz w:val="24"/>
          <w:lang w:val="fr-CA"/>
        </w:rPr>
        <w:t>érums utilisés</w:t>
      </w:r>
      <w:r w:rsidR="00330C7B" w:rsidRPr="00EB40E8">
        <w:rPr>
          <w:rFonts w:ascii="Arial" w:hAnsi="Arial"/>
          <w:sz w:val="24"/>
          <w:lang w:val="fr-CA"/>
        </w:rPr>
        <w:t>.</w:t>
      </w:r>
    </w:p>
    <w:p w:rsidR="003C111A" w:rsidRPr="00EB40E8" w:rsidRDefault="003C111A" w:rsidP="003C111A">
      <w:pPr>
        <w:tabs>
          <w:tab w:val="left" w:pos="-720"/>
          <w:tab w:val="left" w:pos="0"/>
        </w:tabs>
        <w:suppressAutoHyphens/>
        <w:rPr>
          <w:rFonts w:ascii="Arial" w:hAnsi="Arial"/>
          <w:spacing w:val="-2"/>
          <w:sz w:val="28"/>
          <w:lang w:val="fr-CA"/>
        </w:rPr>
      </w:pPr>
    </w:p>
    <w:p w:rsidR="003C111A" w:rsidRPr="00EB40E8" w:rsidRDefault="003C111A" w:rsidP="003C111A">
      <w:pPr>
        <w:tabs>
          <w:tab w:val="left" w:pos="-720"/>
          <w:tab w:val="left" w:pos="0"/>
        </w:tabs>
        <w:suppressAutoHyphens/>
        <w:rPr>
          <w:rFonts w:ascii="Arial" w:hAnsi="Arial"/>
          <w:spacing w:val="-2"/>
          <w:sz w:val="28"/>
          <w:lang w:val="fr-CA"/>
        </w:rPr>
      </w:pPr>
    </w:p>
    <w:p w:rsidR="003C111A" w:rsidRPr="00EB40E8" w:rsidRDefault="003C111A" w:rsidP="003C111A">
      <w:pPr>
        <w:numPr>
          <w:ilvl w:val="0"/>
          <w:numId w:val="17"/>
        </w:numPr>
        <w:tabs>
          <w:tab w:val="left" w:pos="-720"/>
        </w:tabs>
        <w:suppressAutoHyphens/>
        <w:rPr>
          <w:rFonts w:ascii="Arial" w:hAnsi="Arial"/>
          <w:b/>
          <w:spacing w:val="-2"/>
          <w:sz w:val="28"/>
          <w:lang w:val="fr-CA"/>
        </w:rPr>
      </w:pPr>
      <w:r w:rsidRPr="00EB40E8">
        <w:rPr>
          <w:rFonts w:ascii="Arial" w:hAnsi="Arial"/>
          <w:b/>
          <w:spacing w:val="-2"/>
          <w:sz w:val="28"/>
          <w:lang w:val="fr-CA"/>
        </w:rPr>
        <w:t>Suivi des révisions</w:t>
      </w:r>
    </w:p>
    <w:p w:rsidR="003C111A" w:rsidRPr="00EB40E8" w:rsidRDefault="003C111A" w:rsidP="003C111A">
      <w:pPr>
        <w:tabs>
          <w:tab w:val="left" w:pos="-720"/>
        </w:tabs>
        <w:suppressAutoHyphens/>
        <w:ind w:left="720"/>
        <w:rPr>
          <w:rFonts w:ascii="Arial" w:hAnsi="Arial"/>
          <w:b/>
          <w:spacing w:val="-2"/>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3C111A" w:rsidRPr="00EB40E8" w:rsidTr="00322F8A">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3C111A" w:rsidRPr="00EB40E8" w:rsidRDefault="003C111A" w:rsidP="00322F8A">
            <w:pPr>
              <w:jc w:val="center"/>
              <w:rPr>
                <w:rFonts w:ascii="Arial" w:hAnsi="Arial" w:cs="Arial"/>
                <w:b/>
                <w:sz w:val="22"/>
                <w:szCs w:val="22"/>
                <w:lang w:val="fr-CA"/>
              </w:rPr>
            </w:pPr>
            <w:r w:rsidRPr="00EB40E8">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3C111A" w:rsidRPr="00EB40E8" w:rsidRDefault="003C111A" w:rsidP="003C111A">
            <w:pPr>
              <w:numPr>
                <w:ilvl w:val="0"/>
                <w:numId w:val="18"/>
              </w:numPr>
              <w:jc w:val="center"/>
              <w:rPr>
                <w:rFonts w:ascii="Arial" w:hAnsi="Arial" w:cs="Arial"/>
                <w:b/>
                <w:sz w:val="22"/>
                <w:szCs w:val="22"/>
                <w:lang w:val="fr-CA"/>
              </w:rPr>
            </w:pPr>
            <w:r w:rsidRPr="00EB40E8">
              <w:rPr>
                <w:rFonts w:ascii="Arial" w:hAnsi="Arial" w:cs="Arial"/>
                <w:b/>
                <w:sz w:val="22"/>
                <w:szCs w:val="22"/>
                <w:lang w:val="fr-CA"/>
              </w:rPr>
              <w:t>Résumé des changements</w:t>
            </w:r>
          </w:p>
        </w:tc>
      </w:tr>
      <w:tr w:rsidR="003C111A" w:rsidRPr="00EB40E8" w:rsidTr="00322F8A">
        <w:tc>
          <w:tcPr>
            <w:tcW w:w="3085" w:type="dxa"/>
            <w:tcBorders>
              <w:top w:val="single" w:sz="4" w:space="0" w:color="auto"/>
              <w:left w:val="single" w:sz="4" w:space="0" w:color="auto"/>
              <w:bottom w:val="single" w:sz="4" w:space="0" w:color="auto"/>
              <w:right w:val="single" w:sz="4" w:space="0" w:color="auto"/>
            </w:tcBorders>
            <w:shd w:val="clear" w:color="auto" w:fill="auto"/>
          </w:tcPr>
          <w:p w:rsidR="003C111A" w:rsidRPr="00EB40E8" w:rsidRDefault="003C111A" w:rsidP="00322F8A">
            <w:pPr>
              <w:pStyle w:val="Header"/>
              <w:tabs>
                <w:tab w:val="left" w:pos="720"/>
              </w:tabs>
              <w:rPr>
                <w:rFonts w:ascii="Arial" w:hAnsi="Arial" w:cs="Arial"/>
                <w:sz w:val="22"/>
                <w:szCs w:val="22"/>
                <w:lang w:val="fr-CA"/>
              </w:rPr>
            </w:pPr>
            <w:r w:rsidRPr="00EB40E8">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C111A" w:rsidRPr="00EB40E8" w:rsidRDefault="003C111A" w:rsidP="003C111A">
            <w:pPr>
              <w:pStyle w:val="ListParagraph"/>
              <w:numPr>
                <w:ilvl w:val="0"/>
                <w:numId w:val="18"/>
              </w:numPr>
              <w:contextualSpacing/>
              <w:rPr>
                <w:rFonts w:ascii="Arial" w:hAnsi="Arial" w:cs="Arial"/>
                <w:sz w:val="22"/>
                <w:szCs w:val="22"/>
                <w:lang w:val="fr-CA"/>
              </w:rPr>
            </w:pPr>
            <w:r w:rsidRPr="00EB40E8">
              <w:rPr>
                <w:rFonts w:ascii="Arial" w:hAnsi="Arial" w:cs="Arial"/>
                <w:sz w:val="22"/>
                <w:szCs w:val="22"/>
                <w:lang w:val="fr-CA"/>
              </w:rPr>
              <w:t xml:space="preserve">Changement du nom du manuel </w:t>
            </w:r>
          </w:p>
          <w:p w:rsidR="003C111A" w:rsidRPr="00EB40E8" w:rsidRDefault="003C111A" w:rsidP="003C111A">
            <w:pPr>
              <w:pStyle w:val="Header"/>
              <w:numPr>
                <w:ilvl w:val="0"/>
                <w:numId w:val="18"/>
              </w:numPr>
              <w:tabs>
                <w:tab w:val="left" w:pos="601"/>
              </w:tabs>
              <w:rPr>
                <w:rFonts w:ascii="Arial" w:hAnsi="Arial" w:cs="Arial"/>
                <w:sz w:val="22"/>
                <w:szCs w:val="22"/>
                <w:lang w:val="fr-CA"/>
              </w:rPr>
            </w:pPr>
            <w:r w:rsidRPr="00EB40E8">
              <w:rPr>
                <w:rFonts w:ascii="Arial" w:hAnsi="Arial"/>
                <w:sz w:val="22"/>
                <w:szCs w:val="22"/>
                <w:lang w:val="fr-CA"/>
              </w:rPr>
              <w:tab/>
              <w:t>Changement du numéro du document anciennement T</w:t>
            </w:r>
            <w:r w:rsidRPr="00EB40E8">
              <w:rPr>
                <w:rFonts w:ascii="Arial" w:hAnsi="Arial" w:cs="Arial"/>
                <w:sz w:val="22"/>
                <w:szCs w:val="22"/>
                <w:lang w:val="fr-CA"/>
              </w:rPr>
              <w:t>G.00</w:t>
            </w:r>
            <w:r w:rsidR="00642361" w:rsidRPr="00EB40E8">
              <w:rPr>
                <w:rFonts w:ascii="Arial" w:hAnsi="Arial" w:cs="Arial"/>
                <w:sz w:val="22"/>
                <w:szCs w:val="22"/>
                <w:lang w:val="fr-CA"/>
              </w:rPr>
              <w:t>8</w:t>
            </w:r>
            <w:r w:rsidRPr="00EB40E8">
              <w:rPr>
                <w:rFonts w:ascii="Arial" w:hAnsi="Arial" w:cs="Arial"/>
                <w:sz w:val="22"/>
                <w:szCs w:val="22"/>
                <w:lang w:val="fr-CA"/>
              </w:rPr>
              <w:t>, maintenant TG.00</w:t>
            </w:r>
            <w:r w:rsidR="00642361" w:rsidRPr="00EB40E8">
              <w:rPr>
                <w:rFonts w:ascii="Arial" w:hAnsi="Arial" w:cs="Arial"/>
                <w:sz w:val="22"/>
                <w:szCs w:val="22"/>
                <w:lang w:val="fr-CA"/>
              </w:rPr>
              <w:t>9</w:t>
            </w:r>
          </w:p>
          <w:p w:rsidR="003C111A" w:rsidRPr="00EB40E8" w:rsidRDefault="003C111A" w:rsidP="003C111A">
            <w:pPr>
              <w:pStyle w:val="Header"/>
              <w:numPr>
                <w:ilvl w:val="0"/>
                <w:numId w:val="18"/>
              </w:numPr>
              <w:tabs>
                <w:tab w:val="left" w:pos="601"/>
              </w:tabs>
              <w:rPr>
                <w:rFonts w:ascii="Arial" w:hAnsi="Arial" w:cs="Arial"/>
                <w:sz w:val="22"/>
                <w:szCs w:val="22"/>
                <w:lang w:val="fr-CA"/>
              </w:rPr>
            </w:pPr>
            <w:r w:rsidRPr="00EB40E8">
              <w:rPr>
                <w:rFonts w:ascii="Arial" w:hAnsi="Arial" w:cs="Arial"/>
                <w:sz w:val="22"/>
                <w:szCs w:val="22"/>
                <w:lang w:val="fr-CA"/>
              </w:rPr>
              <w:tab/>
              <w:t xml:space="preserve">Révision de la section 1.0 pour y ajouter des explications </w:t>
            </w:r>
          </w:p>
          <w:p w:rsidR="00EB40E8" w:rsidRPr="00EB40E8" w:rsidRDefault="00EB40E8" w:rsidP="003C111A">
            <w:pPr>
              <w:pStyle w:val="Header"/>
              <w:numPr>
                <w:ilvl w:val="0"/>
                <w:numId w:val="18"/>
              </w:numPr>
              <w:tabs>
                <w:tab w:val="left" w:pos="601"/>
              </w:tabs>
              <w:rPr>
                <w:rFonts w:ascii="Arial" w:hAnsi="Arial" w:cs="Arial"/>
                <w:sz w:val="22"/>
                <w:szCs w:val="22"/>
                <w:lang w:val="fr-CA"/>
              </w:rPr>
            </w:pPr>
            <w:r w:rsidRPr="00EB40E8">
              <w:rPr>
                <w:rFonts w:ascii="Arial" w:hAnsi="Arial" w:cs="Arial"/>
                <w:sz w:val="22"/>
                <w:szCs w:val="22"/>
                <w:lang w:val="fr-CA"/>
              </w:rPr>
              <w:t>Ajout d’une référence en 2.2</w:t>
            </w:r>
          </w:p>
          <w:p w:rsidR="00642361" w:rsidRPr="00EB40E8" w:rsidRDefault="00EB40E8" w:rsidP="003C111A">
            <w:pPr>
              <w:pStyle w:val="Header"/>
              <w:numPr>
                <w:ilvl w:val="0"/>
                <w:numId w:val="18"/>
              </w:numPr>
              <w:tabs>
                <w:tab w:val="left" w:pos="601"/>
              </w:tabs>
              <w:rPr>
                <w:rFonts w:ascii="Arial" w:hAnsi="Arial" w:cs="Arial"/>
                <w:sz w:val="22"/>
                <w:szCs w:val="22"/>
                <w:lang w:val="fr-CA"/>
              </w:rPr>
            </w:pPr>
            <w:r w:rsidRPr="00EB40E8">
              <w:rPr>
                <w:rFonts w:ascii="Arial" w:hAnsi="Arial" w:cs="Arial"/>
                <w:sz w:val="22"/>
                <w:szCs w:val="22"/>
                <w:lang w:val="fr-CA"/>
              </w:rPr>
              <w:t>Ajout du paragraphe 2.4</w:t>
            </w:r>
          </w:p>
          <w:p w:rsidR="00EB40E8" w:rsidRPr="00EB40E8" w:rsidRDefault="00EB40E8" w:rsidP="003C111A">
            <w:pPr>
              <w:pStyle w:val="Header"/>
              <w:numPr>
                <w:ilvl w:val="0"/>
                <w:numId w:val="18"/>
              </w:numPr>
              <w:tabs>
                <w:tab w:val="left" w:pos="601"/>
              </w:tabs>
              <w:rPr>
                <w:rFonts w:ascii="Arial" w:hAnsi="Arial" w:cs="Arial"/>
                <w:sz w:val="22"/>
                <w:szCs w:val="22"/>
                <w:lang w:val="fr-CA"/>
              </w:rPr>
            </w:pPr>
            <w:r w:rsidRPr="00EB40E8">
              <w:rPr>
                <w:rFonts w:ascii="Arial" w:hAnsi="Arial" w:cs="Arial"/>
                <w:sz w:val="22"/>
                <w:szCs w:val="22"/>
                <w:lang w:val="fr-CA"/>
              </w:rPr>
              <w:t>Révision de 5.1 à 5.10</w:t>
            </w:r>
          </w:p>
          <w:p w:rsidR="00EB40E8" w:rsidRPr="00EB40E8" w:rsidRDefault="00EB40E8" w:rsidP="003C111A">
            <w:pPr>
              <w:pStyle w:val="Header"/>
              <w:numPr>
                <w:ilvl w:val="0"/>
                <w:numId w:val="18"/>
              </w:numPr>
              <w:tabs>
                <w:tab w:val="left" w:pos="720"/>
              </w:tabs>
              <w:rPr>
                <w:rFonts w:ascii="Arial" w:hAnsi="Arial" w:cs="Arial"/>
                <w:sz w:val="22"/>
                <w:szCs w:val="22"/>
                <w:lang w:val="fr-CA"/>
              </w:rPr>
            </w:pPr>
            <w:r w:rsidRPr="00EB40E8">
              <w:rPr>
                <w:rFonts w:ascii="Arial" w:hAnsi="Arial" w:cs="Arial"/>
                <w:sz w:val="22"/>
                <w:szCs w:val="22"/>
                <w:lang w:val="fr-CA"/>
              </w:rPr>
              <w:t>Ajout d’une remarque en 6.2.2</w:t>
            </w:r>
          </w:p>
          <w:p w:rsidR="00EB40E8" w:rsidRPr="00EB40E8" w:rsidRDefault="00EB40E8" w:rsidP="003C111A">
            <w:pPr>
              <w:pStyle w:val="Header"/>
              <w:numPr>
                <w:ilvl w:val="0"/>
                <w:numId w:val="18"/>
              </w:numPr>
              <w:tabs>
                <w:tab w:val="left" w:pos="720"/>
              </w:tabs>
              <w:rPr>
                <w:rFonts w:ascii="Arial" w:hAnsi="Arial" w:cs="Arial"/>
                <w:sz w:val="22"/>
                <w:szCs w:val="22"/>
                <w:lang w:val="fr-CA"/>
              </w:rPr>
            </w:pPr>
            <w:r w:rsidRPr="00EB40E8">
              <w:rPr>
                <w:rFonts w:ascii="Arial" w:hAnsi="Arial" w:cs="Arial"/>
                <w:sz w:val="22"/>
                <w:szCs w:val="22"/>
                <w:lang w:val="fr-CA"/>
              </w:rPr>
              <w:t>Révision en 6.2.3</w:t>
            </w:r>
          </w:p>
          <w:p w:rsidR="00EB40E8" w:rsidRPr="00EB40E8" w:rsidRDefault="00EB40E8" w:rsidP="003C111A">
            <w:pPr>
              <w:pStyle w:val="Header"/>
              <w:numPr>
                <w:ilvl w:val="0"/>
                <w:numId w:val="18"/>
              </w:numPr>
              <w:tabs>
                <w:tab w:val="left" w:pos="720"/>
              </w:tabs>
              <w:rPr>
                <w:rFonts w:ascii="Arial" w:hAnsi="Arial" w:cs="Arial"/>
                <w:sz w:val="22"/>
                <w:szCs w:val="22"/>
                <w:lang w:val="fr-CA"/>
              </w:rPr>
            </w:pPr>
            <w:r w:rsidRPr="00EB40E8">
              <w:rPr>
                <w:rFonts w:ascii="Arial" w:hAnsi="Arial" w:cs="Arial"/>
                <w:sz w:val="22"/>
                <w:szCs w:val="22"/>
                <w:lang w:val="fr-CA"/>
              </w:rPr>
              <w:t>Ajout du paragraphe 7.2</w:t>
            </w:r>
          </w:p>
          <w:p w:rsidR="003C111A" w:rsidRPr="00EB40E8" w:rsidRDefault="00EB40E8" w:rsidP="003C111A">
            <w:pPr>
              <w:pStyle w:val="Header"/>
              <w:numPr>
                <w:ilvl w:val="0"/>
                <w:numId w:val="18"/>
              </w:numPr>
              <w:tabs>
                <w:tab w:val="left" w:pos="720"/>
              </w:tabs>
              <w:rPr>
                <w:rFonts w:ascii="Arial" w:hAnsi="Arial" w:cs="Arial"/>
                <w:sz w:val="22"/>
                <w:szCs w:val="22"/>
                <w:lang w:val="fr-CA"/>
              </w:rPr>
            </w:pPr>
            <w:r w:rsidRPr="00EB40E8">
              <w:rPr>
                <w:rFonts w:ascii="Arial" w:hAnsi="Arial" w:cs="Arial"/>
                <w:sz w:val="22"/>
                <w:szCs w:val="22"/>
                <w:lang w:val="fr-CA"/>
              </w:rPr>
              <w:t>R</w:t>
            </w:r>
            <w:r w:rsidR="003C111A" w:rsidRPr="00EB40E8">
              <w:rPr>
                <w:rFonts w:ascii="Arial" w:hAnsi="Arial" w:cs="Arial"/>
                <w:sz w:val="22"/>
                <w:szCs w:val="22"/>
                <w:lang w:val="fr-CA"/>
              </w:rPr>
              <w:t>enumérotation de la section 8.0</w:t>
            </w:r>
          </w:p>
          <w:p w:rsidR="003C111A" w:rsidRPr="00EB40E8" w:rsidRDefault="003C111A" w:rsidP="003C111A">
            <w:pPr>
              <w:pStyle w:val="Header"/>
              <w:numPr>
                <w:ilvl w:val="0"/>
                <w:numId w:val="18"/>
              </w:numPr>
              <w:tabs>
                <w:tab w:val="left" w:pos="720"/>
              </w:tabs>
              <w:rPr>
                <w:rFonts w:ascii="Arial" w:hAnsi="Arial" w:cs="Arial"/>
                <w:sz w:val="22"/>
                <w:szCs w:val="22"/>
                <w:lang w:val="fr-CA"/>
              </w:rPr>
            </w:pPr>
            <w:r w:rsidRPr="00EB40E8">
              <w:rPr>
                <w:rFonts w:ascii="Arial" w:hAnsi="Arial"/>
                <w:sz w:val="22"/>
                <w:lang w:val="fr-CA"/>
              </w:rPr>
              <w:t xml:space="preserve">Mise à jour des références </w:t>
            </w:r>
          </w:p>
        </w:tc>
      </w:tr>
    </w:tbl>
    <w:p w:rsidR="003C111A" w:rsidRPr="00EB40E8" w:rsidRDefault="003C111A" w:rsidP="003C111A">
      <w:pPr>
        <w:rPr>
          <w:lang w:val="fr-CA"/>
        </w:rPr>
      </w:pPr>
    </w:p>
    <w:sectPr w:rsidR="003C111A" w:rsidRPr="00EB40E8">
      <w:headerReference w:type="default" r:id="rId7"/>
      <w:footerReference w:type="default" r:id="rId8"/>
      <w:headerReference w:type="first" r:id="rId9"/>
      <w:footerReference w:type="first" r:id="rId10"/>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5D" w:rsidRDefault="0090355D">
      <w:r>
        <w:separator/>
      </w:r>
    </w:p>
  </w:endnote>
  <w:endnote w:type="continuationSeparator" w:id="0">
    <w:p w:rsidR="0090355D" w:rsidRDefault="0090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ED42B9">
      <w:trPr>
        <w:trHeight w:val="720"/>
      </w:trPr>
      <w:tc>
        <w:tcPr>
          <w:tcW w:w="1368" w:type="dxa"/>
        </w:tcPr>
        <w:p w:rsidR="00ED42B9" w:rsidRDefault="00ED42B9">
          <w:pPr>
            <w:pStyle w:val="Footer"/>
            <w:jc w:val="center"/>
            <w:rPr>
              <w:sz w:val="8"/>
            </w:rPr>
          </w:pPr>
        </w:p>
        <w:p w:rsidR="00ED42B9" w:rsidRDefault="009F75BF">
          <w:pPr>
            <w:pStyle w:val="Footer"/>
            <w:jc w:val="center"/>
            <w:rPr>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p w:rsidR="00ED42B9" w:rsidRDefault="00ED42B9">
          <w:pPr>
            <w:pStyle w:val="Footer"/>
            <w:jc w:val="center"/>
            <w:rPr>
              <w:rFonts w:ascii="Verdana" w:hAnsi="Verdana"/>
              <w:sz w:val="8"/>
            </w:rPr>
          </w:pPr>
        </w:p>
      </w:tc>
      <w:tc>
        <w:tcPr>
          <w:tcW w:w="5976" w:type="dxa"/>
        </w:tcPr>
        <w:p w:rsidR="00ED42B9" w:rsidRDefault="00ED42B9">
          <w:pPr>
            <w:pStyle w:val="Footer"/>
            <w:jc w:val="center"/>
            <w:rPr>
              <w:rFonts w:ascii="Arial" w:hAnsi="Arial"/>
              <w:sz w:val="18"/>
            </w:rPr>
          </w:pPr>
        </w:p>
        <w:p w:rsidR="0093069B" w:rsidRDefault="0093069B" w:rsidP="0093069B">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60665E" w:rsidRPr="00BC720D" w:rsidRDefault="0093069B" w:rsidP="0093069B">
          <w:pPr>
            <w:pStyle w:val="Footer"/>
            <w:jc w:val="center"/>
            <w:rPr>
              <w:rFonts w:ascii="Arial" w:hAnsi="Arial"/>
              <w:sz w:val="18"/>
              <w:lang w:val="fr-CA"/>
            </w:rPr>
          </w:pPr>
          <w:r>
            <w:rPr>
              <w:rFonts w:ascii="Arial" w:hAnsi="Arial"/>
              <w:sz w:val="18"/>
              <w:lang w:val="fr-CA"/>
            </w:rPr>
            <w:t>Manuel de ressources techniques en transfusion de l’Ontario</w:t>
          </w:r>
        </w:p>
        <w:p w:rsidR="00ED42B9" w:rsidRPr="00BC720D" w:rsidRDefault="00ED42B9">
          <w:pPr>
            <w:pStyle w:val="Footer"/>
            <w:jc w:val="center"/>
            <w:rPr>
              <w:rFonts w:ascii="Arial" w:hAnsi="Arial"/>
              <w:sz w:val="18"/>
              <w:lang w:val="fr-CA"/>
            </w:rPr>
          </w:pPr>
        </w:p>
      </w:tc>
      <w:tc>
        <w:tcPr>
          <w:tcW w:w="1494" w:type="dxa"/>
        </w:tcPr>
        <w:p w:rsidR="00ED42B9" w:rsidRPr="00BC720D" w:rsidRDefault="00ED42B9">
          <w:pPr>
            <w:pStyle w:val="Footer"/>
            <w:jc w:val="right"/>
            <w:rPr>
              <w:rFonts w:ascii="Arial" w:hAnsi="Arial"/>
              <w:sz w:val="18"/>
              <w:lang w:val="fr-CA"/>
            </w:rPr>
          </w:pPr>
        </w:p>
        <w:p w:rsidR="00ED42B9" w:rsidRDefault="00ED42B9" w:rsidP="0093069B">
          <w:pPr>
            <w:pStyle w:val="Footer"/>
            <w:jc w:val="right"/>
            <w:rPr>
              <w:rFonts w:ascii="Arial" w:hAnsi="Arial"/>
              <w:sz w:val="18"/>
            </w:rPr>
          </w:pPr>
          <w:r>
            <w:rPr>
              <w:rFonts w:ascii="Arial" w:hAnsi="Arial"/>
              <w:sz w:val="18"/>
            </w:rPr>
            <w:t>TG.00</w:t>
          </w:r>
          <w:r w:rsidR="0093069B">
            <w:rPr>
              <w:rFonts w:ascii="Arial" w:hAnsi="Arial"/>
              <w:sz w:val="18"/>
            </w:rPr>
            <w:t>9</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34AE0">
            <w:rPr>
              <w:rFonts w:ascii="Arial" w:hAnsi="Arial"/>
              <w:noProof/>
              <w:snapToGrid w:val="0"/>
              <w:sz w:val="18"/>
            </w:rPr>
            <w:t>10</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34AE0">
            <w:rPr>
              <w:rFonts w:ascii="Arial" w:hAnsi="Arial"/>
              <w:noProof/>
              <w:snapToGrid w:val="0"/>
              <w:sz w:val="18"/>
            </w:rPr>
            <w:t>10</w:t>
          </w:r>
          <w:r>
            <w:rPr>
              <w:rFonts w:ascii="Arial" w:hAnsi="Arial"/>
              <w:snapToGrid w:val="0"/>
              <w:sz w:val="18"/>
            </w:rPr>
            <w:fldChar w:fldCharType="end"/>
          </w:r>
        </w:p>
      </w:tc>
    </w:tr>
  </w:tbl>
  <w:p w:rsidR="00ED42B9" w:rsidRDefault="00ED4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ED42B9">
      <w:trPr>
        <w:trHeight w:val="720"/>
      </w:trPr>
      <w:tc>
        <w:tcPr>
          <w:tcW w:w="1368" w:type="dxa"/>
        </w:tcPr>
        <w:p w:rsidR="00ED42B9" w:rsidRDefault="00ED42B9">
          <w:pPr>
            <w:pStyle w:val="Footer"/>
            <w:jc w:val="center"/>
            <w:rPr>
              <w:rFonts w:ascii="Verdana" w:hAnsi="Verdana"/>
              <w:sz w:val="8"/>
            </w:rPr>
          </w:pPr>
        </w:p>
        <w:p w:rsidR="00ED42B9" w:rsidRDefault="009F75BF">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ED42B9" w:rsidRDefault="00ED42B9">
          <w:pPr>
            <w:pStyle w:val="Footer"/>
            <w:jc w:val="center"/>
            <w:rPr>
              <w:rFonts w:ascii="Arial" w:hAnsi="Arial"/>
              <w:sz w:val="18"/>
            </w:rPr>
          </w:pPr>
        </w:p>
        <w:p w:rsidR="0093069B" w:rsidRDefault="0093069B" w:rsidP="0093069B">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ED42B9" w:rsidRPr="00BC720D" w:rsidRDefault="0093069B" w:rsidP="0093069B">
          <w:pPr>
            <w:pStyle w:val="Footer"/>
            <w:jc w:val="center"/>
            <w:rPr>
              <w:rFonts w:ascii="Arial" w:hAnsi="Arial"/>
              <w:sz w:val="18"/>
              <w:lang w:val="fr-CA"/>
            </w:rPr>
          </w:pPr>
          <w:r>
            <w:rPr>
              <w:rFonts w:ascii="Arial" w:hAnsi="Arial"/>
              <w:sz w:val="18"/>
              <w:lang w:val="fr-CA"/>
            </w:rPr>
            <w:t>Manuel de ressources techniques en transfusion de l’Ontario</w:t>
          </w:r>
          <w:r w:rsidRPr="00BC720D">
            <w:rPr>
              <w:rFonts w:ascii="Arial" w:hAnsi="Arial"/>
              <w:sz w:val="18"/>
              <w:lang w:val="fr-CA"/>
            </w:rPr>
            <w:t xml:space="preserve"> </w:t>
          </w:r>
        </w:p>
      </w:tc>
      <w:tc>
        <w:tcPr>
          <w:tcW w:w="1494" w:type="dxa"/>
        </w:tcPr>
        <w:p w:rsidR="00ED42B9" w:rsidRPr="00BC720D" w:rsidRDefault="00ED42B9">
          <w:pPr>
            <w:pStyle w:val="Footer"/>
            <w:jc w:val="right"/>
            <w:rPr>
              <w:rFonts w:ascii="Arial" w:hAnsi="Arial"/>
              <w:sz w:val="18"/>
              <w:lang w:val="fr-CA"/>
            </w:rPr>
          </w:pPr>
        </w:p>
        <w:p w:rsidR="00ED42B9" w:rsidRDefault="00ED42B9" w:rsidP="0093069B">
          <w:pPr>
            <w:pStyle w:val="Footer"/>
            <w:jc w:val="right"/>
            <w:rPr>
              <w:rFonts w:ascii="Arial" w:hAnsi="Arial"/>
              <w:sz w:val="18"/>
            </w:rPr>
          </w:pPr>
          <w:r>
            <w:rPr>
              <w:rFonts w:ascii="Arial" w:hAnsi="Arial"/>
              <w:sz w:val="18"/>
            </w:rPr>
            <w:t>TG.00</w:t>
          </w:r>
          <w:r w:rsidR="0093069B">
            <w:rPr>
              <w:rFonts w:ascii="Arial" w:hAnsi="Arial"/>
              <w:sz w:val="18"/>
            </w:rPr>
            <w:t>9</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34AE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34AE0">
            <w:rPr>
              <w:rFonts w:ascii="Arial" w:hAnsi="Arial"/>
              <w:noProof/>
              <w:snapToGrid w:val="0"/>
              <w:sz w:val="18"/>
            </w:rPr>
            <w:t>1</w:t>
          </w:r>
          <w:r>
            <w:rPr>
              <w:rFonts w:ascii="Arial" w:hAnsi="Arial"/>
              <w:snapToGrid w:val="0"/>
              <w:sz w:val="18"/>
            </w:rPr>
            <w:fldChar w:fldCharType="end"/>
          </w:r>
        </w:p>
      </w:tc>
    </w:tr>
  </w:tbl>
  <w:p w:rsidR="00ED42B9" w:rsidRDefault="00ED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5D" w:rsidRDefault="0090355D">
      <w:r>
        <w:separator/>
      </w:r>
    </w:p>
  </w:footnote>
  <w:footnote w:type="continuationSeparator" w:id="0">
    <w:p w:rsidR="0090355D" w:rsidRDefault="0090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B9" w:rsidRPr="00CC0DB1" w:rsidRDefault="00ED42B9" w:rsidP="00FE3B61">
    <w:pPr>
      <w:pStyle w:val="Header"/>
      <w:jc w:val="center"/>
      <w:rPr>
        <w:rFonts w:ascii="Arial" w:hAnsi="Arial" w:cs="Arial"/>
        <w:b/>
        <w:sz w:val="28"/>
        <w:szCs w:val="28"/>
        <w:lang w:val="fr-CA"/>
      </w:rPr>
    </w:pPr>
    <w:r w:rsidRPr="00CC0DB1">
      <w:rPr>
        <w:rFonts w:ascii="Arial" w:hAnsi="Arial"/>
        <w:b/>
        <w:sz w:val="28"/>
        <w:lang w:val="fr-CA"/>
      </w:rPr>
      <w:t>T</w:t>
    </w:r>
    <w:r w:rsidRPr="00CC0DB1">
      <w:rPr>
        <w:rFonts w:ascii="Arial" w:hAnsi="Arial" w:cs="Arial"/>
        <w:b/>
        <w:sz w:val="28"/>
        <w:szCs w:val="28"/>
        <w:lang w:val="fr-CA"/>
      </w:rPr>
      <w:t xml:space="preserve">ypage indirect d’antigènes – </w:t>
    </w:r>
    <w:r w:rsidRPr="00CC0DB1">
      <w:rPr>
        <w:rFonts w:ascii="Arial" w:hAnsi="Arial" w:cs="Arial"/>
        <w:b/>
        <w:bCs/>
        <w:sz w:val="28"/>
        <w:szCs w:val="28"/>
        <w:lang w:val="fr-CA"/>
      </w:rPr>
      <w:t>carte de gel anti-IgG</w:t>
    </w:r>
  </w:p>
  <w:p w:rsidR="00ED42B9" w:rsidRPr="00BC720D" w:rsidRDefault="00ED42B9">
    <w:pPr>
      <w:pStyle w:val="Header"/>
      <w:rPr>
        <w:rFonts w:ascii="Arial" w:hAnsi="Arial"/>
        <w:sz w:val="18"/>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B9" w:rsidRDefault="009F75BF">
    <w:pPr>
      <w:pStyle w:val="Header"/>
      <w:tabs>
        <w:tab w:val="clear" w:pos="8640"/>
        <w:tab w:val="left" w:pos="5057"/>
      </w:tabs>
    </w:pPr>
    <w:r>
      <w:rPr>
        <w:noProof/>
      </w:rPr>
      <w:drawing>
        <wp:inline distT="0" distB="0" distL="0" distR="0">
          <wp:extent cx="1552575" cy="52387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BC720D" w:rsidRDefault="00BC720D">
    <w:pPr>
      <w:pStyle w:val="Header"/>
      <w:tabs>
        <w:tab w:val="clear" w:pos="8640"/>
        <w:tab w:val="left" w:pos="5057"/>
      </w:tabs>
    </w:pPr>
  </w:p>
  <w:p w:rsidR="0093069B" w:rsidRPr="00BC720D" w:rsidRDefault="0093069B" w:rsidP="0093069B">
    <w:pPr>
      <w:pStyle w:val="Header"/>
      <w:jc w:val="center"/>
      <w:rPr>
        <w:rFonts w:ascii="Arial" w:hAnsi="Arial" w:cs="Arial"/>
        <w:b/>
        <w:bCs/>
        <w:sz w:val="24"/>
        <w:szCs w:val="28"/>
        <w:lang w:val="fr-CA"/>
      </w:rPr>
    </w:pPr>
    <w:r w:rsidRPr="00BC720D">
      <w:rPr>
        <w:rFonts w:ascii="Arial" w:hAnsi="Arial" w:cs="Arial"/>
        <w:b/>
        <w:bCs/>
        <w:sz w:val="24"/>
        <w:szCs w:val="28"/>
        <w:lang w:val="fr-CA"/>
      </w:rPr>
      <w:t>Réseau régional ontarien de coordination du sang</w:t>
    </w:r>
  </w:p>
  <w:p w:rsidR="0093069B" w:rsidRPr="000C64D0" w:rsidRDefault="0093069B" w:rsidP="0093069B">
    <w:pPr>
      <w:pStyle w:val="Header"/>
      <w:jc w:val="center"/>
      <w:rPr>
        <w:rFonts w:ascii="Arial" w:hAnsi="Arial" w:cs="Arial"/>
        <w:b/>
        <w:bCs/>
        <w:sz w:val="28"/>
        <w:szCs w:val="28"/>
        <w:lang w:val="fr-CA"/>
      </w:rPr>
    </w:pPr>
    <w:r w:rsidRPr="00BC720D">
      <w:rPr>
        <w:rFonts w:ascii="Arial" w:hAnsi="Arial" w:cs="Arial"/>
        <w:b/>
        <w:bCs/>
        <w:sz w:val="24"/>
        <w:szCs w:val="28"/>
        <w:lang w:val="fr-CA"/>
      </w:rPr>
      <w:t>Manuel de ressources techniques en transfusion de l’Ontario</w:t>
    </w:r>
    <w:r>
      <w:rPr>
        <w:rFonts w:ascii="Arial" w:hAnsi="Arial" w:cs="Arial"/>
        <w:b/>
        <w:bCs/>
        <w:sz w:val="28"/>
        <w:szCs w:val="28"/>
        <w:lang w:val="fr-CA"/>
      </w:rPr>
      <w:br/>
    </w:r>
  </w:p>
  <w:p w:rsidR="00ED42B9" w:rsidRPr="00FE3B61" w:rsidRDefault="00ED42B9">
    <w:pPr>
      <w:pStyle w:val="Header"/>
      <w:jc w:val="center"/>
      <w:rPr>
        <w:rFonts w:ascii="Arial" w:hAnsi="Arial" w:cs="Arial"/>
        <w:b/>
        <w:sz w:val="28"/>
        <w:szCs w:val="28"/>
        <w:lang w:val="fr-CA"/>
      </w:rPr>
    </w:pPr>
    <w:r w:rsidRPr="00FE3B61">
      <w:rPr>
        <w:rFonts w:ascii="Arial" w:hAnsi="Arial"/>
        <w:b/>
        <w:sz w:val="28"/>
        <w:lang w:val="fr-CA"/>
      </w:rPr>
      <w:t>T</w:t>
    </w:r>
    <w:r w:rsidRPr="00FE3B61">
      <w:rPr>
        <w:rFonts w:ascii="Arial" w:hAnsi="Arial" w:cs="Arial"/>
        <w:b/>
        <w:sz w:val="28"/>
        <w:szCs w:val="28"/>
        <w:lang w:val="fr-CA"/>
      </w:rPr>
      <w:t xml:space="preserve">ypage indirect d’antigènes – </w:t>
    </w:r>
    <w:r w:rsidRPr="00FE3B61">
      <w:rPr>
        <w:rFonts w:ascii="Arial" w:hAnsi="Arial" w:cs="Arial"/>
        <w:b/>
        <w:bCs/>
        <w:sz w:val="28"/>
        <w:szCs w:val="28"/>
        <w:lang w:val="fr-CA"/>
      </w:rPr>
      <w:t>carte de gel anti-IgG</w:t>
    </w:r>
  </w:p>
  <w:p w:rsidR="00ED42B9" w:rsidRPr="00FE3B61" w:rsidRDefault="00ED42B9">
    <w:pPr>
      <w:pStyle w:val="Header"/>
      <w:jc w:val="center"/>
      <w:rPr>
        <w:rFonts w:ascii="Arial" w:hAnsi="Arial" w:cs="Arial"/>
        <w:b/>
        <w:sz w:val="28"/>
        <w:szCs w:val="28"/>
        <w:lang w:val="fr-CA"/>
      </w:rPr>
    </w:pPr>
  </w:p>
  <w:p w:rsidR="00ED42B9" w:rsidRPr="00BC720D" w:rsidRDefault="00ED42B9">
    <w:pPr>
      <w:pStyle w:val="Header"/>
      <w:tabs>
        <w:tab w:val="left" w:pos="6617"/>
      </w:tabs>
      <w:rPr>
        <w:rFonts w:ascii="Arial" w:hAnsi="Arial" w:cs="Arial"/>
        <w:b/>
        <w:bCs/>
        <w:kern w:val="24"/>
        <w:lang w:val="fr-CA"/>
      </w:rPr>
    </w:pPr>
    <w:r w:rsidRPr="00BC720D">
      <w:rPr>
        <w:rFonts w:ascii="Arial" w:hAnsi="Arial" w:cs="Arial"/>
        <w:b/>
        <w:bCs/>
        <w:lang w:val="fr-CA"/>
      </w:rPr>
      <w:tab/>
    </w:r>
    <w:r w:rsidR="009F75BF">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0ED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ED42B9" w:rsidRPr="007635AE">
      <w:tc>
        <w:tcPr>
          <w:tcW w:w="4428" w:type="dxa"/>
        </w:tcPr>
        <w:p w:rsidR="00ED42B9" w:rsidRPr="007635AE" w:rsidRDefault="00ED42B9" w:rsidP="0093069B">
          <w:pPr>
            <w:pStyle w:val="Header"/>
            <w:rPr>
              <w:rFonts w:ascii="Arial" w:hAnsi="Arial" w:cs="Arial"/>
              <w:kern w:val="24"/>
            </w:rPr>
          </w:pPr>
          <w:r w:rsidRPr="007635AE">
            <w:rPr>
              <w:rFonts w:ascii="Arial" w:hAnsi="Arial" w:cs="Arial"/>
            </w:rPr>
            <w:t>Approbation :</w:t>
          </w:r>
          <w:r w:rsidR="0060665E">
            <w:rPr>
              <w:rFonts w:ascii="Arial" w:hAnsi="Arial" w:cs="Arial"/>
            </w:rPr>
            <w:t xml:space="preserve"> </w:t>
          </w:r>
        </w:p>
      </w:tc>
      <w:tc>
        <w:tcPr>
          <w:tcW w:w="4428" w:type="dxa"/>
        </w:tcPr>
        <w:p w:rsidR="00ED42B9" w:rsidRPr="007635AE" w:rsidRDefault="00ED42B9" w:rsidP="0093069B">
          <w:pPr>
            <w:pStyle w:val="Header"/>
            <w:rPr>
              <w:rFonts w:ascii="Arial" w:hAnsi="Arial" w:cs="Arial"/>
              <w:kern w:val="24"/>
            </w:rPr>
          </w:pPr>
          <w:r w:rsidRPr="007635AE">
            <w:rPr>
              <w:rFonts w:ascii="Arial" w:hAnsi="Arial" w:cs="Arial"/>
            </w:rPr>
            <w:t>Document n</w:t>
          </w:r>
          <w:r w:rsidRPr="007635AE">
            <w:rPr>
              <w:rFonts w:ascii="Arial" w:hAnsi="Arial" w:cs="Arial"/>
              <w:vertAlign w:val="superscript"/>
            </w:rPr>
            <w:t>o</w:t>
          </w:r>
          <w:r w:rsidRPr="007635AE">
            <w:rPr>
              <w:rFonts w:ascii="Arial" w:hAnsi="Arial" w:cs="Arial"/>
            </w:rPr>
            <w:t xml:space="preserve"> :TG.00</w:t>
          </w:r>
          <w:r w:rsidR="0093069B">
            <w:rPr>
              <w:rFonts w:ascii="Arial" w:hAnsi="Arial" w:cs="Arial"/>
            </w:rPr>
            <w:t>9</w:t>
          </w:r>
        </w:p>
      </w:tc>
    </w:tr>
    <w:tr w:rsidR="00ED42B9" w:rsidRPr="007635AE">
      <w:tc>
        <w:tcPr>
          <w:tcW w:w="4428" w:type="dxa"/>
        </w:tcPr>
        <w:p w:rsidR="00ED42B9" w:rsidRPr="007635AE" w:rsidRDefault="00ED42B9">
          <w:pPr>
            <w:pStyle w:val="Header"/>
            <w:rPr>
              <w:rFonts w:ascii="Arial" w:hAnsi="Arial" w:cs="Arial"/>
              <w:kern w:val="24"/>
            </w:rPr>
          </w:pPr>
          <w:r w:rsidRPr="007635AE">
            <w:rPr>
              <w:rFonts w:ascii="Arial" w:hAnsi="Arial" w:cs="Arial"/>
            </w:rPr>
            <w:t>Date de publication : 2006/06/01</w:t>
          </w:r>
        </w:p>
      </w:tc>
      <w:tc>
        <w:tcPr>
          <w:tcW w:w="4428" w:type="dxa"/>
        </w:tcPr>
        <w:p w:rsidR="00ED42B9" w:rsidRPr="007635AE" w:rsidRDefault="00ED42B9">
          <w:pPr>
            <w:pStyle w:val="Header"/>
            <w:rPr>
              <w:rFonts w:ascii="Arial" w:hAnsi="Arial" w:cs="Arial"/>
              <w:kern w:val="24"/>
            </w:rPr>
          </w:pPr>
          <w:r w:rsidRPr="007635AE">
            <w:rPr>
              <w:rFonts w:ascii="Arial" w:hAnsi="Arial" w:cs="Arial"/>
            </w:rPr>
            <w:t>Catégorie : Techniques en gel</w:t>
          </w:r>
        </w:p>
      </w:tc>
    </w:tr>
    <w:tr w:rsidR="00ED42B9" w:rsidRPr="007635AE">
      <w:tc>
        <w:tcPr>
          <w:tcW w:w="4428" w:type="dxa"/>
        </w:tcPr>
        <w:p w:rsidR="00ED42B9" w:rsidRPr="007635AE" w:rsidRDefault="00ED42B9">
          <w:pPr>
            <w:pStyle w:val="Header"/>
            <w:rPr>
              <w:rFonts w:ascii="Arial" w:hAnsi="Arial" w:cs="Arial"/>
              <w:kern w:val="24"/>
            </w:rPr>
          </w:pPr>
          <w:r w:rsidRPr="007635AE">
            <w:rPr>
              <w:rFonts w:ascii="Arial" w:hAnsi="Arial" w:cs="Arial"/>
            </w:rPr>
            <w:t>Date de révision :</w:t>
          </w:r>
          <w:r w:rsidR="0060665E">
            <w:rPr>
              <w:rFonts w:ascii="Arial" w:hAnsi="Arial" w:cs="Arial"/>
              <w:lang w:val="fr-CA"/>
            </w:rPr>
            <w:t xml:space="preserve"> 2009/12/31</w:t>
          </w:r>
          <w:r w:rsidR="0093069B">
            <w:rPr>
              <w:rFonts w:ascii="Arial" w:hAnsi="Arial" w:cs="Arial"/>
              <w:lang w:val="fr-CA"/>
            </w:rPr>
            <w:t>; 2014/04/30</w:t>
          </w:r>
        </w:p>
      </w:tc>
      <w:tc>
        <w:tcPr>
          <w:tcW w:w="4428" w:type="dxa"/>
        </w:tcPr>
        <w:p w:rsidR="00ED42B9" w:rsidRPr="007635AE" w:rsidRDefault="00ED42B9">
          <w:pPr>
            <w:pStyle w:val="Header"/>
            <w:rPr>
              <w:rFonts w:ascii="Arial" w:hAnsi="Arial" w:cs="Arial"/>
              <w:kern w:val="24"/>
            </w:rPr>
          </w:pPr>
          <w:r w:rsidRPr="007635AE">
            <w:rPr>
              <w:rFonts w:ascii="Arial" w:hAnsi="Arial" w:cs="Arial"/>
            </w:rPr>
            <w:t xml:space="preserve">Pages : </w:t>
          </w:r>
          <w:r w:rsidRPr="007635AE">
            <w:rPr>
              <w:rFonts w:ascii="Arial" w:hAnsi="Arial" w:cs="Arial"/>
            </w:rPr>
            <w:fldChar w:fldCharType="begin"/>
          </w:r>
          <w:r w:rsidRPr="007635AE">
            <w:rPr>
              <w:rFonts w:ascii="Arial" w:hAnsi="Arial" w:cs="Arial"/>
            </w:rPr>
            <w:instrText xml:space="preserve"> NUMPAGES </w:instrText>
          </w:r>
          <w:r w:rsidRPr="007635AE">
            <w:rPr>
              <w:rFonts w:ascii="Arial" w:hAnsi="Arial" w:cs="Arial"/>
            </w:rPr>
            <w:fldChar w:fldCharType="separate"/>
          </w:r>
          <w:r w:rsidR="00534AE0">
            <w:rPr>
              <w:rFonts w:ascii="Arial" w:hAnsi="Arial" w:cs="Arial"/>
              <w:noProof/>
            </w:rPr>
            <w:t>1</w:t>
          </w:r>
          <w:r w:rsidRPr="007635AE">
            <w:rPr>
              <w:rFonts w:ascii="Arial" w:hAnsi="Arial" w:cs="Arial"/>
            </w:rPr>
            <w:fldChar w:fldCharType="end"/>
          </w:r>
        </w:p>
      </w:tc>
    </w:tr>
  </w:tbl>
  <w:p w:rsidR="00ED42B9" w:rsidRPr="007635AE" w:rsidRDefault="009F75BF">
    <w:pPr>
      <w:pStyle w:val="Header"/>
    </w:pPr>
    <w:r w:rsidRPr="007635AE">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A66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ED42B9" w:rsidRPr="007635AE">
      <w:tab/>
    </w:r>
  </w:p>
  <w:p w:rsidR="00ED42B9" w:rsidRPr="007635AE" w:rsidRDefault="00ED4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3C160E"/>
    <w:multiLevelType w:val="multilevel"/>
    <w:tmpl w:val="A27E6704"/>
    <w:lvl w:ilvl="0">
      <w:start w:val="10"/>
      <w:numFmt w:val="decimal"/>
      <w:lvlText w:val="%1.0"/>
      <w:lvlJc w:val="left"/>
      <w:pPr>
        <w:ind w:left="570" w:hanging="570"/>
      </w:pPr>
      <w:rPr>
        <w:rFonts w:hint="default"/>
        <w:sz w:val="28"/>
      </w:rPr>
    </w:lvl>
    <w:lvl w:ilvl="1">
      <w:start w:val="1"/>
      <w:numFmt w:val="decimal"/>
      <w:lvlText w:val="%1.%2"/>
      <w:lvlJc w:val="left"/>
      <w:pPr>
        <w:ind w:left="1290" w:hanging="57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 w15:restartNumberingAfterBreak="0">
    <w:nsid w:val="0DC86CC5"/>
    <w:multiLevelType w:val="hybridMultilevel"/>
    <w:tmpl w:val="8CFC0352"/>
    <w:lvl w:ilvl="0" w:tplc="F16A308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3" w15:restartNumberingAfterBreak="0">
    <w:nsid w:val="11D12589"/>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4B75A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14C20F9E"/>
    <w:multiLevelType w:val="hybridMultilevel"/>
    <w:tmpl w:val="E378F0CA"/>
    <w:lvl w:ilvl="0" w:tplc="032062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227E9D"/>
    <w:multiLevelType w:val="multilevel"/>
    <w:tmpl w:val="4F3C224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430"/>
        </w:tabs>
        <w:ind w:left="243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073C65"/>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641015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1B7040"/>
    <w:multiLevelType w:val="multilevel"/>
    <w:tmpl w:val="31BC6AF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1367ED"/>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1ED502A5"/>
    <w:multiLevelType w:val="hybridMultilevel"/>
    <w:tmpl w:val="2DD24C24"/>
    <w:lvl w:ilvl="0" w:tplc="34E21FBA">
      <w:start w:val="1"/>
      <w:numFmt w:val="decimal"/>
      <w:lvlText w:val="9.%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2" w15:restartNumberingAfterBreak="0">
    <w:nsid w:val="2540395D"/>
    <w:multiLevelType w:val="hybridMultilevel"/>
    <w:tmpl w:val="DA1E3FBC"/>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15:restartNumberingAfterBreak="0">
    <w:nsid w:val="2D402FC3"/>
    <w:multiLevelType w:val="multilevel"/>
    <w:tmpl w:val="FDC89B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430"/>
        </w:tabs>
        <w:ind w:left="243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79F0A38"/>
    <w:multiLevelType w:val="multilevel"/>
    <w:tmpl w:val="906E7874"/>
    <w:lvl w:ilvl="0">
      <w:start w:val="8"/>
      <w:numFmt w:val="decimal"/>
      <w:lvlText w:val="%1.0"/>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B0209C"/>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CD45507"/>
    <w:multiLevelType w:val="multilevel"/>
    <w:tmpl w:val="C90A042E"/>
    <w:lvl w:ilvl="0">
      <w:start w:val="10"/>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49A0262"/>
    <w:multiLevelType w:val="multilevel"/>
    <w:tmpl w:val="3B78B2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59524A"/>
    <w:multiLevelType w:val="multilevel"/>
    <w:tmpl w:val="EAB246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8C274B1"/>
    <w:multiLevelType w:val="multilevel"/>
    <w:tmpl w:val="EAB246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3FB0DC4"/>
    <w:multiLevelType w:val="multilevel"/>
    <w:tmpl w:val="71822C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A054C20"/>
    <w:multiLevelType w:val="multilevel"/>
    <w:tmpl w:val="5126B5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430"/>
        </w:tabs>
        <w:ind w:left="243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E69248E"/>
    <w:multiLevelType w:val="hybridMultilevel"/>
    <w:tmpl w:val="09787E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5E8C6146"/>
    <w:multiLevelType w:val="multilevel"/>
    <w:tmpl w:val="1352A00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2D25B99"/>
    <w:multiLevelType w:val="multilevel"/>
    <w:tmpl w:val="7B329686"/>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bullet"/>
      <w:lvlText w:val=""/>
      <w:lvlJc w:val="left"/>
      <w:pPr>
        <w:tabs>
          <w:tab w:val="num" w:pos="3437"/>
        </w:tabs>
        <w:ind w:left="3437" w:hanging="720"/>
      </w:pPr>
      <w:rPr>
        <w:rFonts w:ascii="Symbol" w:hAnsi="Symbol"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5" w15:restartNumberingAfterBreak="0">
    <w:nsid w:val="6E284EF0"/>
    <w:multiLevelType w:val="multilevel"/>
    <w:tmpl w:val="17183B9A"/>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EA90A0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7" w15:restartNumberingAfterBreak="0">
    <w:nsid w:val="72C70162"/>
    <w:multiLevelType w:val="multilevel"/>
    <w:tmpl w:val="EAB246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B1655E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0"/>
  </w:num>
  <w:num w:numId="2">
    <w:abstractNumId w:val="28"/>
  </w:num>
  <w:num w:numId="3">
    <w:abstractNumId w:val="26"/>
  </w:num>
  <w:num w:numId="4">
    <w:abstractNumId w:val="17"/>
  </w:num>
  <w:num w:numId="5">
    <w:abstractNumId w:val="20"/>
  </w:num>
  <w:num w:numId="6">
    <w:abstractNumId w:val="23"/>
  </w:num>
  <w:num w:numId="7">
    <w:abstractNumId w:val="8"/>
  </w:num>
  <w:num w:numId="8">
    <w:abstractNumId w:val="4"/>
  </w:num>
  <w:num w:numId="9">
    <w:abstractNumId w:val="9"/>
  </w:num>
  <w:num w:numId="10">
    <w:abstractNumId w:val="25"/>
  </w:num>
  <w:num w:numId="11">
    <w:abstractNumId w:val="10"/>
  </w:num>
  <w:num w:numId="12">
    <w:abstractNumId w:val="21"/>
  </w:num>
  <w:num w:numId="13">
    <w:abstractNumId w:val="13"/>
  </w:num>
  <w:num w:numId="14">
    <w:abstractNumId w:val="6"/>
  </w:num>
  <w:num w:numId="15">
    <w:abstractNumId w:val="12"/>
  </w:num>
  <w:num w:numId="16">
    <w:abstractNumId w:val="3"/>
  </w:num>
  <w:num w:numId="17">
    <w:abstractNumId w:val="16"/>
  </w:num>
  <w:num w:numId="18">
    <w:abstractNumId w:val="5"/>
  </w:num>
  <w:num w:numId="19">
    <w:abstractNumId w:val="1"/>
  </w:num>
  <w:num w:numId="20">
    <w:abstractNumId w:val="2"/>
  </w:num>
  <w:num w:numId="21">
    <w:abstractNumId w:val="11"/>
  </w:num>
  <w:num w:numId="22">
    <w:abstractNumId w:val="15"/>
  </w:num>
  <w:num w:numId="23">
    <w:abstractNumId w:val="22"/>
  </w:num>
  <w:num w:numId="24">
    <w:abstractNumId w:val="7"/>
  </w:num>
  <w:num w:numId="25">
    <w:abstractNumId w:val="18"/>
  </w:num>
  <w:num w:numId="26">
    <w:abstractNumId w:val="14"/>
  </w:num>
  <w:num w:numId="27">
    <w:abstractNumId w:val="19"/>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77"/>
    <w:rsid w:val="00126851"/>
    <w:rsid w:val="001C45C0"/>
    <w:rsid w:val="002100B8"/>
    <w:rsid w:val="00291293"/>
    <w:rsid w:val="0029649D"/>
    <w:rsid w:val="002A464E"/>
    <w:rsid w:val="002B32DC"/>
    <w:rsid w:val="002C0DEC"/>
    <w:rsid w:val="002C44B0"/>
    <w:rsid w:val="002F2F30"/>
    <w:rsid w:val="002F5528"/>
    <w:rsid w:val="00322F8A"/>
    <w:rsid w:val="00330C7B"/>
    <w:rsid w:val="00352B02"/>
    <w:rsid w:val="00367ABF"/>
    <w:rsid w:val="003C111A"/>
    <w:rsid w:val="003C34AC"/>
    <w:rsid w:val="003C5BD3"/>
    <w:rsid w:val="003C6FB8"/>
    <w:rsid w:val="00436099"/>
    <w:rsid w:val="004F5201"/>
    <w:rsid w:val="005152A1"/>
    <w:rsid w:val="005247CA"/>
    <w:rsid w:val="00534AE0"/>
    <w:rsid w:val="005902EF"/>
    <w:rsid w:val="0060665E"/>
    <w:rsid w:val="00642361"/>
    <w:rsid w:val="00697EFA"/>
    <w:rsid w:val="006A60ED"/>
    <w:rsid w:val="00732A77"/>
    <w:rsid w:val="007635AE"/>
    <w:rsid w:val="007B0195"/>
    <w:rsid w:val="0090355D"/>
    <w:rsid w:val="0093069B"/>
    <w:rsid w:val="00967DCD"/>
    <w:rsid w:val="009B0AB8"/>
    <w:rsid w:val="009F75BF"/>
    <w:rsid w:val="00A8601F"/>
    <w:rsid w:val="00A914E3"/>
    <w:rsid w:val="00AE1815"/>
    <w:rsid w:val="00B02E0D"/>
    <w:rsid w:val="00B24787"/>
    <w:rsid w:val="00B25738"/>
    <w:rsid w:val="00B3064A"/>
    <w:rsid w:val="00B57BC3"/>
    <w:rsid w:val="00B63D20"/>
    <w:rsid w:val="00BC720D"/>
    <w:rsid w:val="00BF0A27"/>
    <w:rsid w:val="00CC0DB1"/>
    <w:rsid w:val="00CC2C4F"/>
    <w:rsid w:val="00CD6DBF"/>
    <w:rsid w:val="00D764B4"/>
    <w:rsid w:val="00DA3504"/>
    <w:rsid w:val="00DC5D79"/>
    <w:rsid w:val="00E16CCE"/>
    <w:rsid w:val="00EB40E8"/>
    <w:rsid w:val="00ED42B9"/>
    <w:rsid w:val="00F46531"/>
    <w:rsid w:val="00F53C76"/>
    <w:rsid w:val="00FE3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C3CF0-C1DE-4DAD-BDCB-9E5906C3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7">
    <w:name w:val="heading 7"/>
    <w:basedOn w:val="Normal"/>
    <w:next w:val="Normal"/>
    <w:qFormat/>
    <w:pPr>
      <w:keepNext/>
      <w:ind w:left="720"/>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2"/>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odyTextIndent3">
    <w:name w:val="Body Text Indent 3"/>
    <w:basedOn w:val="Normal"/>
    <w:pPr>
      <w:ind w:left="2160"/>
    </w:pPr>
    <w:rPr>
      <w:rFonts w:ascii="Arial" w:hAnsi="Arial"/>
      <w:spacing w:val="-2"/>
      <w:sz w:val="24"/>
    </w:rPr>
  </w:style>
  <w:style w:type="character" w:styleId="CommentReference">
    <w:name w:val="annotation reference"/>
    <w:semiHidden/>
    <w:rsid w:val="00F53C76"/>
    <w:rPr>
      <w:sz w:val="16"/>
      <w:szCs w:val="16"/>
    </w:rPr>
  </w:style>
  <w:style w:type="paragraph" w:styleId="CommentText">
    <w:name w:val="annotation text"/>
    <w:basedOn w:val="Normal"/>
    <w:semiHidden/>
    <w:rsid w:val="00F53C76"/>
  </w:style>
  <w:style w:type="paragraph" w:styleId="CommentSubject">
    <w:name w:val="annotation subject"/>
    <w:basedOn w:val="CommentText"/>
    <w:next w:val="CommentText"/>
    <w:semiHidden/>
    <w:rsid w:val="00F53C76"/>
    <w:rPr>
      <w:b/>
      <w:bCs/>
    </w:rPr>
  </w:style>
  <w:style w:type="paragraph" w:styleId="BalloonText">
    <w:name w:val="Balloon Text"/>
    <w:basedOn w:val="Normal"/>
    <w:semiHidden/>
    <w:rsid w:val="00F53C76"/>
    <w:rPr>
      <w:rFonts w:ascii="Tahoma" w:hAnsi="Tahoma" w:cs="Tahoma"/>
      <w:sz w:val="16"/>
      <w:szCs w:val="16"/>
    </w:rPr>
  </w:style>
  <w:style w:type="character" w:customStyle="1" w:styleId="FooterChar">
    <w:name w:val="Footer Char"/>
    <w:link w:val="Footer"/>
    <w:rsid w:val="0060665E"/>
    <w:rPr>
      <w:lang w:val="en-US" w:eastAsia="en-US"/>
    </w:rPr>
  </w:style>
  <w:style w:type="character" w:customStyle="1" w:styleId="HeaderChar">
    <w:name w:val="Header Char"/>
    <w:link w:val="Header"/>
    <w:rsid w:val="003C111A"/>
    <w:rPr>
      <w:lang w:val="en-US" w:eastAsia="en-US"/>
    </w:rPr>
  </w:style>
  <w:style w:type="paragraph" w:styleId="ListParagraph">
    <w:name w:val="List Paragraph"/>
    <w:basedOn w:val="Normal"/>
    <w:uiPriority w:val="34"/>
    <w:qFormat/>
    <w:rsid w:val="003C111A"/>
    <w:pPr>
      <w:ind w:left="708"/>
    </w:pPr>
  </w:style>
  <w:style w:type="table" w:styleId="TableGrid">
    <w:name w:val="Table Grid"/>
    <w:basedOn w:val="TableNormal"/>
    <w:rsid w:val="002C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2412</Words>
  <Characters>13750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GM.010 Indirect Antigen Typing - Anti-IgG Gel Card</vt:lpstr>
      <vt:lpstr>GM.010 Indirect Antigen Typing - Anti-IgG Gel Card</vt:lpstr>
    </vt:vector>
  </TitlesOfParts>
  <Company>Microsoft</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GM.010 Indirect Antigen Typing - Anti-IgG Gel Card</dc:title>
  <dc:subject/>
  <dc:creator>Transfusion Ontario Program Office</dc:creator>
  <cp:keywords/>
  <cp:lastModifiedBy>Nesrallah, Heather</cp:lastModifiedBy>
  <cp:revision>2</cp:revision>
  <cp:lastPrinted>2011-06-10T19:03:00Z</cp:lastPrinted>
  <dcterms:created xsi:type="dcterms:W3CDTF">2020-08-10T19:21:00Z</dcterms:created>
  <dcterms:modified xsi:type="dcterms:W3CDTF">2020-08-10T19:21:00Z</dcterms:modified>
</cp:coreProperties>
</file>