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56" w:rsidRPr="005451E6" w:rsidRDefault="00291756">
      <w:pPr>
        <w:numPr>
          <w:ilvl w:val="0"/>
          <w:numId w:val="1"/>
        </w:numPr>
        <w:rPr>
          <w:rFonts w:ascii="Arial" w:hAnsi="Arial"/>
          <w:b/>
          <w:sz w:val="28"/>
          <w:lang w:val="fr-CA"/>
        </w:rPr>
      </w:pPr>
      <w:bookmarkStart w:id="0" w:name="_GoBack"/>
      <w:bookmarkEnd w:id="0"/>
      <w:r w:rsidRPr="005451E6">
        <w:rPr>
          <w:rFonts w:ascii="Arial" w:hAnsi="Arial"/>
          <w:b/>
          <w:sz w:val="28"/>
          <w:lang w:val="fr-CA"/>
        </w:rPr>
        <w:t>Principe</w:t>
      </w:r>
    </w:p>
    <w:p w:rsidR="00291756" w:rsidRPr="005451E6" w:rsidRDefault="00291756">
      <w:pPr>
        <w:pStyle w:val="BodyTextIndent"/>
        <w:rPr>
          <w:lang w:val="fr-CA"/>
        </w:rPr>
      </w:pPr>
    </w:p>
    <w:p w:rsidR="00291756" w:rsidRPr="005451E6" w:rsidRDefault="005451E6" w:rsidP="005451E6">
      <w:pPr>
        <w:tabs>
          <w:tab w:val="left" w:pos="-720"/>
          <w:tab w:val="left" w:pos="0"/>
        </w:tabs>
        <w:suppressAutoHyphens/>
        <w:ind w:left="720"/>
        <w:rPr>
          <w:rFonts w:ascii="Arial" w:hAnsi="Arial"/>
          <w:spacing w:val="-2"/>
          <w:sz w:val="24"/>
          <w:lang w:val="fr-CA"/>
        </w:rPr>
      </w:pPr>
      <w:r w:rsidRPr="005451E6">
        <w:rPr>
          <w:rFonts w:ascii="Arial" w:hAnsi="Arial"/>
          <w:spacing w:val="-2"/>
          <w:sz w:val="24"/>
          <w:lang w:val="fr-CA"/>
        </w:rPr>
        <w:t>Le test direct à l’</w:t>
      </w:r>
      <w:r w:rsidR="00291756" w:rsidRPr="005451E6">
        <w:rPr>
          <w:rFonts w:ascii="Arial" w:hAnsi="Arial"/>
          <w:spacing w:val="-2"/>
          <w:sz w:val="24"/>
          <w:lang w:val="fr-CA"/>
        </w:rPr>
        <w:t>antiglobulin</w:t>
      </w:r>
      <w:r w:rsidRPr="005451E6">
        <w:rPr>
          <w:rFonts w:ascii="Arial" w:hAnsi="Arial"/>
          <w:spacing w:val="-2"/>
          <w:sz w:val="24"/>
          <w:lang w:val="fr-CA"/>
        </w:rPr>
        <w:t xml:space="preserve">e sert à démontrer la présence ou l’absence d’immunoglobuline à la surface des globules rouges. On dit des globules rouges </w:t>
      </w:r>
      <w:r w:rsidR="00636602">
        <w:rPr>
          <w:rFonts w:ascii="Arial" w:hAnsi="Arial"/>
          <w:spacing w:val="-2"/>
          <w:sz w:val="24"/>
          <w:lang w:val="fr-CA"/>
        </w:rPr>
        <w:t xml:space="preserve">ayant </w:t>
      </w:r>
      <w:r w:rsidRPr="005451E6">
        <w:rPr>
          <w:rFonts w:ascii="Arial" w:hAnsi="Arial"/>
          <w:spacing w:val="-2"/>
          <w:sz w:val="24"/>
          <w:lang w:val="fr-CA"/>
        </w:rPr>
        <w:t xml:space="preserve">de la globuline adsorbée </w:t>
      </w:r>
      <w:r w:rsidR="00636602">
        <w:rPr>
          <w:rFonts w:ascii="Arial" w:hAnsi="Arial"/>
          <w:spacing w:val="-2"/>
          <w:sz w:val="24"/>
          <w:lang w:val="fr-CA"/>
        </w:rPr>
        <w:t>en</w:t>
      </w:r>
      <w:r w:rsidRPr="005451E6">
        <w:rPr>
          <w:rFonts w:ascii="Arial" w:hAnsi="Arial"/>
          <w:spacing w:val="-2"/>
          <w:sz w:val="24"/>
          <w:lang w:val="fr-CA"/>
        </w:rPr>
        <w:t xml:space="preserve"> surface qu’ils sont sensibilisés.</w:t>
      </w:r>
      <w:r w:rsidR="00C17934">
        <w:rPr>
          <w:rFonts w:ascii="Arial" w:hAnsi="Arial"/>
          <w:spacing w:val="-2"/>
          <w:sz w:val="24"/>
          <w:lang w:val="fr-CA"/>
        </w:rPr>
        <w:t xml:space="preserve"> </w:t>
      </w:r>
      <w:r w:rsidR="00291756" w:rsidRPr="005451E6">
        <w:rPr>
          <w:rFonts w:ascii="Arial" w:hAnsi="Arial"/>
          <w:spacing w:val="-2"/>
          <w:sz w:val="24"/>
          <w:lang w:val="fr-CA"/>
        </w:rPr>
        <w:t xml:space="preserve"> </w:t>
      </w:r>
    </w:p>
    <w:p w:rsidR="00291756" w:rsidRPr="005451E6" w:rsidRDefault="00291756">
      <w:pPr>
        <w:tabs>
          <w:tab w:val="left" w:pos="-720"/>
          <w:tab w:val="left" w:pos="0"/>
        </w:tabs>
        <w:suppressAutoHyphens/>
        <w:ind w:left="720" w:hanging="720"/>
        <w:rPr>
          <w:rFonts w:ascii="Arial" w:hAnsi="Arial"/>
          <w:spacing w:val="-2"/>
          <w:sz w:val="24"/>
          <w:lang w:val="fr-CA"/>
        </w:rPr>
      </w:pPr>
    </w:p>
    <w:p w:rsidR="00291756" w:rsidRPr="005451E6" w:rsidRDefault="00291756">
      <w:pPr>
        <w:tabs>
          <w:tab w:val="left" w:pos="-720"/>
          <w:tab w:val="left" w:pos="0"/>
        </w:tabs>
        <w:suppressAutoHyphens/>
        <w:ind w:left="720" w:hanging="720"/>
        <w:rPr>
          <w:rFonts w:ascii="Arial" w:hAnsi="Arial"/>
          <w:spacing w:val="-2"/>
          <w:sz w:val="24"/>
          <w:lang w:val="fr-CA"/>
        </w:rPr>
      </w:pPr>
      <w:r w:rsidRPr="005451E6">
        <w:rPr>
          <w:rFonts w:ascii="Arial" w:hAnsi="Arial"/>
          <w:spacing w:val="-2"/>
          <w:sz w:val="24"/>
          <w:lang w:val="fr-CA"/>
        </w:rPr>
        <w:tab/>
      </w:r>
      <w:r w:rsidR="005451E6" w:rsidRPr="005451E6">
        <w:rPr>
          <w:rFonts w:ascii="Arial" w:hAnsi="Arial"/>
          <w:spacing w:val="-2"/>
          <w:sz w:val="24"/>
          <w:lang w:val="fr-CA"/>
        </w:rPr>
        <w:t xml:space="preserve">La globuline sensibilisante peut être une </w:t>
      </w:r>
      <w:r w:rsidRPr="005451E6">
        <w:rPr>
          <w:rFonts w:ascii="Arial" w:hAnsi="Arial"/>
          <w:spacing w:val="-2"/>
          <w:sz w:val="24"/>
          <w:lang w:val="fr-CA"/>
        </w:rPr>
        <w:t>gammaglobulin</w:t>
      </w:r>
      <w:r w:rsidR="005451E6" w:rsidRPr="005451E6">
        <w:rPr>
          <w:rFonts w:ascii="Arial" w:hAnsi="Arial"/>
          <w:spacing w:val="-2"/>
          <w:sz w:val="24"/>
          <w:lang w:val="fr-CA"/>
        </w:rPr>
        <w:t>e</w:t>
      </w:r>
      <w:r w:rsidRPr="005451E6">
        <w:rPr>
          <w:rFonts w:ascii="Arial" w:hAnsi="Arial"/>
          <w:spacing w:val="-2"/>
          <w:sz w:val="24"/>
          <w:lang w:val="fr-CA"/>
        </w:rPr>
        <w:t xml:space="preserve"> (anti</w:t>
      </w:r>
      <w:r w:rsidR="005451E6" w:rsidRPr="005451E6">
        <w:rPr>
          <w:rFonts w:ascii="Arial" w:hAnsi="Arial"/>
          <w:spacing w:val="-2"/>
          <w:sz w:val="24"/>
          <w:lang w:val="fr-CA"/>
        </w:rPr>
        <w:t>corps</w:t>
      </w:r>
      <w:r w:rsidRPr="005451E6">
        <w:rPr>
          <w:rFonts w:ascii="Arial" w:hAnsi="Arial"/>
          <w:spacing w:val="-2"/>
          <w:sz w:val="24"/>
          <w:lang w:val="fr-CA"/>
        </w:rPr>
        <w:t xml:space="preserve">) </w:t>
      </w:r>
      <w:r w:rsidR="005451E6" w:rsidRPr="005451E6">
        <w:rPr>
          <w:rFonts w:ascii="Arial" w:hAnsi="Arial"/>
          <w:spacing w:val="-2"/>
          <w:sz w:val="24"/>
          <w:lang w:val="fr-CA"/>
        </w:rPr>
        <w:t>et</w:t>
      </w:r>
      <w:r w:rsidRPr="005451E6">
        <w:rPr>
          <w:rFonts w:ascii="Arial" w:hAnsi="Arial"/>
          <w:spacing w:val="-2"/>
          <w:sz w:val="24"/>
          <w:lang w:val="fr-CA"/>
        </w:rPr>
        <w:t>/o</w:t>
      </w:r>
      <w:r w:rsidR="005451E6" w:rsidRPr="005451E6">
        <w:rPr>
          <w:rFonts w:ascii="Arial" w:hAnsi="Arial"/>
          <w:spacing w:val="-2"/>
          <w:sz w:val="24"/>
          <w:lang w:val="fr-CA"/>
        </w:rPr>
        <w:t>u</w:t>
      </w:r>
      <w:r w:rsidRPr="005451E6">
        <w:rPr>
          <w:rFonts w:ascii="Arial" w:hAnsi="Arial"/>
          <w:spacing w:val="-2"/>
          <w:sz w:val="24"/>
          <w:lang w:val="fr-CA"/>
        </w:rPr>
        <w:t xml:space="preserve"> </w:t>
      </w:r>
      <w:r w:rsidR="005451E6" w:rsidRPr="005451E6">
        <w:rPr>
          <w:rFonts w:ascii="Arial" w:hAnsi="Arial"/>
          <w:spacing w:val="-2"/>
          <w:sz w:val="24"/>
          <w:lang w:val="fr-CA"/>
        </w:rPr>
        <w:t>une bêta</w:t>
      </w:r>
      <w:r w:rsidRPr="005451E6">
        <w:rPr>
          <w:rFonts w:ascii="Arial" w:hAnsi="Arial"/>
          <w:spacing w:val="-2"/>
          <w:sz w:val="24"/>
          <w:lang w:val="fr-CA"/>
        </w:rPr>
        <w:t>globulin</w:t>
      </w:r>
      <w:r w:rsidR="005451E6" w:rsidRPr="005451E6">
        <w:rPr>
          <w:rFonts w:ascii="Arial" w:hAnsi="Arial"/>
          <w:spacing w:val="-2"/>
          <w:sz w:val="24"/>
          <w:lang w:val="fr-CA"/>
        </w:rPr>
        <w:t>e</w:t>
      </w:r>
      <w:r w:rsidRPr="005451E6">
        <w:rPr>
          <w:rFonts w:ascii="Arial" w:hAnsi="Arial"/>
          <w:spacing w:val="-2"/>
          <w:sz w:val="24"/>
          <w:lang w:val="fr-CA"/>
        </w:rPr>
        <w:t xml:space="preserve"> (compo</w:t>
      </w:r>
      <w:r w:rsidR="005451E6" w:rsidRPr="005451E6">
        <w:rPr>
          <w:rFonts w:ascii="Arial" w:hAnsi="Arial"/>
          <w:spacing w:val="-2"/>
          <w:sz w:val="24"/>
          <w:lang w:val="fr-CA"/>
        </w:rPr>
        <w:t xml:space="preserve">sants du </w:t>
      </w:r>
      <w:r w:rsidRPr="005451E6">
        <w:rPr>
          <w:rFonts w:ascii="Arial" w:hAnsi="Arial"/>
          <w:spacing w:val="-2"/>
          <w:sz w:val="24"/>
          <w:lang w:val="fr-CA"/>
        </w:rPr>
        <w:t>compl</w:t>
      </w:r>
      <w:r w:rsidR="005451E6" w:rsidRPr="005451E6">
        <w:rPr>
          <w:rFonts w:ascii="Arial" w:hAnsi="Arial"/>
          <w:spacing w:val="-2"/>
          <w:sz w:val="24"/>
          <w:lang w:val="fr-CA"/>
        </w:rPr>
        <w:t>é</w:t>
      </w:r>
      <w:r w:rsidRPr="005451E6">
        <w:rPr>
          <w:rFonts w:ascii="Arial" w:hAnsi="Arial"/>
          <w:spacing w:val="-2"/>
          <w:sz w:val="24"/>
          <w:lang w:val="fr-CA"/>
        </w:rPr>
        <w:t>ment).</w:t>
      </w:r>
      <w:r w:rsidR="00C17934">
        <w:rPr>
          <w:rFonts w:ascii="Arial" w:hAnsi="Arial"/>
          <w:spacing w:val="-2"/>
          <w:sz w:val="24"/>
          <w:lang w:val="fr-CA"/>
        </w:rPr>
        <w:t xml:space="preserve"> </w:t>
      </w:r>
      <w:r w:rsidR="005451E6" w:rsidRPr="005451E6">
        <w:rPr>
          <w:rFonts w:ascii="Arial" w:hAnsi="Arial"/>
          <w:spacing w:val="-2"/>
          <w:sz w:val="24"/>
          <w:lang w:val="fr-CA"/>
        </w:rPr>
        <w:t xml:space="preserve">Le test </w:t>
      </w:r>
      <w:r w:rsidRPr="005451E6">
        <w:rPr>
          <w:rFonts w:ascii="Arial" w:hAnsi="Arial"/>
          <w:spacing w:val="-2"/>
          <w:sz w:val="24"/>
          <w:lang w:val="fr-CA"/>
        </w:rPr>
        <w:t>direct</w:t>
      </w:r>
      <w:r w:rsidR="00C17934">
        <w:rPr>
          <w:rFonts w:ascii="Arial" w:hAnsi="Arial"/>
          <w:spacing w:val="-2"/>
          <w:sz w:val="24"/>
          <w:lang w:val="fr-CA"/>
        </w:rPr>
        <w:t xml:space="preserve"> </w:t>
      </w:r>
      <w:r w:rsidR="005451E6" w:rsidRPr="005451E6">
        <w:rPr>
          <w:rFonts w:ascii="Arial" w:hAnsi="Arial"/>
          <w:spacing w:val="-2"/>
          <w:sz w:val="24"/>
          <w:lang w:val="fr-CA"/>
        </w:rPr>
        <w:t>à l’</w:t>
      </w:r>
      <w:r w:rsidRPr="005451E6">
        <w:rPr>
          <w:rFonts w:ascii="Arial" w:hAnsi="Arial"/>
          <w:spacing w:val="-2"/>
          <w:sz w:val="24"/>
          <w:lang w:val="fr-CA"/>
        </w:rPr>
        <w:t>antiglobulin</w:t>
      </w:r>
      <w:r w:rsidR="005451E6" w:rsidRPr="005451E6">
        <w:rPr>
          <w:rFonts w:ascii="Arial" w:hAnsi="Arial"/>
          <w:spacing w:val="-2"/>
          <w:sz w:val="24"/>
          <w:lang w:val="fr-CA"/>
        </w:rPr>
        <w:t>e démontre si</w:t>
      </w:r>
      <w:r w:rsidR="005451E6">
        <w:rPr>
          <w:rFonts w:ascii="Arial" w:hAnsi="Arial"/>
          <w:spacing w:val="-2"/>
          <w:sz w:val="24"/>
          <w:lang w:val="fr-CA"/>
        </w:rPr>
        <w:t xml:space="preserve"> </w:t>
      </w:r>
      <w:r w:rsidR="005451E6" w:rsidRPr="005451E6">
        <w:rPr>
          <w:rFonts w:ascii="Arial" w:hAnsi="Arial"/>
          <w:spacing w:val="-2"/>
          <w:sz w:val="24"/>
          <w:lang w:val="fr-CA"/>
        </w:rPr>
        <w:t>les globules rouges sont devenus sensibilisés ou non in vivo.</w:t>
      </w:r>
      <w:r w:rsidR="00C17934">
        <w:rPr>
          <w:rFonts w:ascii="Arial" w:hAnsi="Arial"/>
          <w:spacing w:val="-2"/>
          <w:sz w:val="24"/>
          <w:lang w:val="fr-CA"/>
        </w:rPr>
        <w:t xml:space="preserve"> </w:t>
      </w:r>
      <w:r w:rsidRPr="005451E6">
        <w:rPr>
          <w:rFonts w:ascii="Arial" w:hAnsi="Arial"/>
          <w:spacing w:val="-2"/>
          <w:sz w:val="24"/>
          <w:lang w:val="fr-CA"/>
        </w:rPr>
        <w:t xml:space="preserve"> </w:t>
      </w:r>
    </w:p>
    <w:p w:rsidR="00291756" w:rsidRPr="005451E6" w:rsidRDefault="00291756">
      <w:pPr>
        <w:tabs>
          <w:tab w:val="left" w:pos="-720"/>
          <w:tab w:val="left" w:pos="0"/>
        </w:tabs>
        <w:suppressAutoHyphens/>
        <w:ind w:left="720" w:hanging="720"/>
        <w:rPr>
          <w:rFonts w:ascii="Arial" w:hAnsi="Arial"/>
          <w:spacing w:val="-2"/>
          <w:sz w:val="24"/>
          <w:lang w:val="fr-CA"/>
        </w:rPr>
      </w:pPr>
    </w:p>
    <w:p w:rsidR="00291756" w:rsidRPr="005451E6" w:rsidRDefault="00291756">
      <w:pPr>
        <w:tabs>
          <w:tab w:val="left" w:pos="-720"/>
          <w:tab w:val="left" w:pos="0"/>
        </w:tabs>
        <w:suppressAutoHyphens/>
        <w:ind w:left="720" w:hanging="720"/>
        <w:rPr>
          <w:rFonts w:ascii="Arial" w:hAnsi="Arial"/>
          <w:spacing w:val="-2"/>
          <w:sz w:val="24"/>
          <w:lang w:val="fr-CA"/>
        </w:rPr>
      </w:pPr>
      <w:r w:rsidRPr="005451E6">
        <w:rPr>
          <w:rFonts w:ascii="Arial" w:hAnsi="Arial"/>
          <w:spacing w:val="-2"/>
          <w:sz w:val="24"/>
          <w:lang w:val="fr-CA"/>
        </w:rPr>
        <w:tab/>
      </w:r>
      <w:r w:rsidR="005451E6" w:rsidRPr="005451E6">
        <w:rPr>
          <w:rFonts w:ascii="Arial" w:hAnsi="Arial"/>
          <w:spacing w:val="-2"/>
          <w:sz w:val="24"/>
          <w:lang w:val="fr-CA"/>
        </w:rPr>
        <w:t xml:space="preserve">Dans cette épreuve, les globules rouges, placés dans une solution saline hypotonique tamponnée sont centrifugés dans un microtube de gel contenant un </w:t>
      </w:r>
      <w:r w:rsidRPr="005451E6">
        <w:rPr>
          <w:rFonts w:ascii="Arial" w:hAnsi="Arial"/>
          <w:spacing w:val="-2"/>
          <w:sz w:val="24"/>
          <w:lang w:val="fr-CA"/>
        </w:rPr>
        <w:t>anti-IgG.</w:t>
      </w:r>
      <w:r w:rsidR="00C17934">
        <w:rPr>
          <w:rFonts w:ascii="Arial" w:hAnsi="Arial"/>
          <w:spacing w:val="-2"/>
          <w:sz w:val="24"/>
          <w:lang w:val="fr-CA"/>
        </w:rPr>
        <w:t xml:space="preserve"> </w:t>
      </w:r>
      <w:r w:rsidR="002A1EE8" w:rsidRPr="005451E6">
        <w:rPr>
          <w:rFonts w:ascii="Arial" w:hAnsi="Arial"/>
          <w:spacing w:val="-2"/>
          <w:sz w:val="24"/>
          <w:lang w:val="fr-CA"/>
        </w:rPr>
        <w:t>On confirme la présence d</w:t>
      </w:r>
      <w:r w:rsidR="00636602">
        <w:rPr>
          <w:rFonts w:ascii="Arial" w:hAnsi="Arial"/>
          <w:spacing w:val="-2"/>
          <w:sz w:val="24"/>
          <w:lang w:val="fr-CA"/>
        </w:rPr>
        <w:t>’</w:t>
      </w:r>
      <w:r w:rsidR="002A1EE8" w:rsidRPr="005451E6">
        <w:rPr>
          <w:rFonts w:ascii="Arial" w:hAnsi="Arial"/>
          <w:spacing w:val="-2"/>
          <w:sz w:val="24"/>
          <w:lang w:val="fr-CA"/>
        </w:rPr>
        <w:t>anticorps lorsque les globules rouges sensibilisés réagissent avec l</w:t>
      </w:r>
      <w:r w:rsidR="00714D4A">
        <w:rPr>
          <w:rFonts w:ascii="Arial" w:hAnsi="Arial"/>
          <w:spacing w:val="-2"/>
          <w:sz w:val="24"/>
          <w:lang w:val="fr-CA"/>
        </w:rPr>
        <w:t>’</w:t>
      </w:r>
      <w:r w:rsidR="002A1EE8" w:rsidRPr="005451E6">
        <w:rPr>
          <w:rFonts w:ascii="Arial" w:hAnsi="Arial"/>
          <w:spacing w:val="-2"/>
          <w:sz w:val="24"/>
          <w:lang w:val="fr-CA"/>
        </w:rPr>
        <w:t>anti-IgG dans le gel du microtube pendant la centrifugation.</w:t>
      </w:r>
      <w:r w:rsidR="00FC7654">
        <w:rPr>
          <w:rFonts w:ascii="Arial" w:hAnsi="Arial"/>
          <w:spacing w:val="-2"/>
          <w:sz w:val="24"/>
          <w:lang w:val="fr-CA"/>
        </w:rPr>
        <w:t xml:space="preserve"> Cette méthode ne détecte que la sensibilisation par IgG.</w:t>
      </w:r>
    </w:p>
    <w:p w:rsidR="00291756" w:rsidRDefault="00291756">
      <w:pPr>
        <w:ind w:left="720"/>
        <w:rPr>
          <w:rFonts w:ascii="Arial" w:hAnsi="Arial"/>
          <w:sz w:val="24"/>
          <w:lang w:val="fr-CA"/>
        </w:rPr>
      </w:pPr>
    </w:p>
    <w:p w:rsidR="00FC7654" w:rsidRPr="005451E6" w:rsidRDefault="00FC7654">
      <w:pPr>
        <w:ind w:left="720"/>
        <w:rPr>
          <w:rFonts w:ascii="Arial" w:hAnsi="Arial"/>
          <w:sz w:val="24"/>
          <w:lang w:val="fr-CA"/>
        </w:rPr>
      </w:pPr>
    </w:p>
    <w:p w:rsidR="00291756" w:rsidRPr="005451E6" w:rsidRDefault="002A1EE8">
      <w:pPr>
        <w:numPr>
          <w:ilvl w:val="0"/>
          <w:numId w:val="1"/>
        </w:numPr>
        <w:rPr>
          <w:rFonts w:ascii="Arial" w:hAnsi="Arial"/>
          <w:b/>
          <w:sz w:val="28"/>
          <w:lang w:val="fr-CA"/>
        </w:rPr>
      </w:pPr>
      <w:r w:rsidRPr="005451E6">
        <w:rPr>
          <w:rFonts w:ascii="Arial" w:hAnsi="Arial"/>
          <w:b/>
          <w:sz w:val="28"/>
          <w:lang w:val="fr-CA"/>
        </w:rPr>
        <w:t>Portée et politiques connexes</w:t>
      </w:r>
    </w:p>
    <w:p w:rsidR="00291756" w:rsidRPr="005451E6" w:rsidRDefault="00291756">
      <w:pPr>
        <w:rPr>
          <w:rFonts w:ascii="Arial" w:hAnsi="Arial"/>
          <w:b/>
          <w:sz w:val="24"/>
          <w:lang w:val="fr-CA"/>
        </w:rPr>
      </w:pPr>
    </w:p>
    <w:p w:rsidR="00291756" w:rsidRPr="005451E6" w:rsidRDefault="002A1EE8">
      <w:pPr>
        <w:numPr>
          <w:ilvl w:val="1"/>
          <w:numId w:val="1"/>
        </w:numPr>
        <w:rPr>
          <w:rFonts w:ascii="Arial" w:hAnsi="Arial"/>
          <w:sz w:val="24"/>
          <w:lang w:val="fr-CA"/>
        </w:rPr>
      </w:pPr>
      <w:r w:rsidRPr="005451E6">
        <w:rPr>
          <w:rFonts w:ascii="Arial" w:hAnsi="Arial"/>
          <w:sz w:val="24"/>
          <w:lang w:val="fr-CA"/>
        </w:rPr>
        <w:t>On utilise le test direct à l</w:t>
      </w:r>
      <w:r w:rsidR="00714D4A">
        <w:rPr>
          <w:rFonts w:ascii="Arial" w:hAnsi="Arial"/>
          <w:sz w:val="24"/>
          <w:lang w:val="fr-CA"/>
        </w:rPr>
        <w:t>’</w:t>
      </w:r>
      <w:r w:rsidRPr="005451E6">
        <w:rPr>
          <w:rFonts w:ascii="Arial" w:hAnsi="Arial"/>
          <w:sz w:val="24"/>
          <w:lang w:val="fr-CA"/>
        </w:rPr>
        <w:t>antiglobuline (TDA) dans l</w:t>
      </w:r>
      <w:r w:rsidR="00714D4A">
        <w:rPr>
          <w:rFonts w:ascii="Arial" w:hAnsi="Arial"/>
          <w:sz w:val="24"/>
          <w:lang w:val="fr-CA"/>
        </w:rPr>
        <w:t>’</w:t>
      </w:r>
      <w:r w:rsidRPr="005451E6">
        <w:rPr>
          <w:rFonts w:ascii="Arial" w:hAnsi="Arial"/>
          <w:sz w:val="24"/>
          <w:lang w:val="fr-CA"/>
        </w:rPr>
        <w:t>investigation de plusieurs états :</w:t>
      </w:r>
    </w:p>
    <w:p w:rsidR="00291756" w:rsidRPr="005451E6" w:rsidRDefault="002A1EE8">
      <w:pPr>
        <w:numPr>
          <w:ilvl w:val="0"/>
          <w:numId w:val="5"/>
        </w:numPr>
        <w:tabs>
          <w:tab w:val="clear" w:pos="360"/>
          <w:tab w:val="num" w:pos="1800"/>
        </w:tabs>
        <w:ind w:left="1800"/>
        <w:rPr>
          <w:rFonts w:ascii="Arial" w:hAnsi="Arial"/>
          <w:sz w:val="24"/>
          <w:lang w:val="fr-CA"/>
        </w:rPr>
      </w:pPr>
      <w:r w:rsidRPr="005451E6">
        <w:rPr>
          <w:rFonts w:ascii="Arial" w:hAnsi="Arial"/>
          <w:sz w:val="24"/>
          <w:lang w:val="fr-CA"/>
        </w:rPr>
        <w:t>maladie hémolytique du nouveau-né</w:t>
      </w:r>
    </w:p>
    <w:p w:rsidR="00291756" w:rsidRPr="005451E6" w:rsidRDefault="002A1EE8">
      <w:pPr>
        <w:numPr>
          <w:ilvl w:val="0"/>
          <w:numId w:val="5"/>
        </w:numPr>
        <w:tabs>
          <w:tab w:val="clear" w:pos="360"/>
          <w:tab w:val="num" w:pos="1800"/>
        </w:tabs>
        <w:ind w:left="1800"/>
        <w:rPr>
          <w:rFonts w:ascii="Arial" w:hAnsi="Arial"/>
          <w:sz w:val="24"/>
          <w:lang w:val="fr-CA"/>
        </w:rPr>
      </w:pPr>
      <w:r w:rsidRPr="005451E6">
        <w:rPr>
          <w:rFonts w:ascii="Arial" w:hAnsi="Arial"/>
          <w:sz w:val="24"/>
          <w:lang w:val="fr-CA"/>
        </w:rPr>
        <w:t xml:space="preserve">anémie hémolytique </w:t>
      </w:r>
      <w:r w:rsidR="00D05A07">
        <w:rPr>
          <w:rFonts w:ascii="Arial" w:hAnsi="Arial"/>
          <w:sz w:val="24"/>
          <w:lang w:val="fr-CA"/>
        </w:rPr>
        <w:t>auto-immune</w:t>
      </w:r>
    </w:p>
    <w:p w:rsidR="00291756" w:rsidRPr="005451E6" w:rsidRDefault="002A1EE8">
      <w:pPr>
        <w:numPr>
          <w:ilvl w:val="0"/>
          <w:numId w:val="5"/>
        </w:numPr>
        <w:tabs>
          <w:tab w:val="clear" w:pos="360"/>
          <w:tab w:val="num" w:pos="1800"/>
        </w:tabs>
        <w:ind w:left="1800"/>
        <w:rPr>
          <w:rFonts w:ascii="Arial" w:hAnsi="Arial"/>
          <w:sz w:val="24"/>
          <w:lang w:val="fr-CA"/>
        </w:rPr>
      </w:pPr>
      <w:r w:rsidRPr="005451E6">
        <w:rPr>
          <w:rFonts w:ascii="Arial" w:hAnsi="Arial"/>
          <w:sz w:val="24"/>
          <w:lang w:val="fr-CA"/>
        </w:rPr>
        <w:t>réactions transfusionnelles</w:t>
      </w:r>
    </w:p>
    <w:p w:rsidR="00291756" w:rsidRPr="005451E6" w:rsidRDefault="002A1EE8">
      <w:pPr>
        <w:numPr>
          <w:ilvl w:val="0"/>
          <w:numId w:val="5"/>
        </w:numPr>
        <w:tabs>
          <w:tab w:val="clear" w:pos="360"/>
          <w:tab w:val="num" w:pos="1800"/>
        </w:tabs>
        <w:ind w:left="1800"/>
        <w:rPr>
          <w:rFonts w:ascii="Arial" w:hAnsi="Arial"/>
          <w:sz w:val="24"/>
          <w:lang w:val="fr-CA"/>
        </w:rPr>
      </w:pPr>
      <w:r w:rsidRPr="005451E6">
        <w:rPr>
          <w:rFonts w:ascii="Arial" w:hAnsi="Arial"/>
          <w:sz w:val="24"/>
          <w:lang w:val="fr-CA"/>
        </w:rPr>
        <w:t>sensibilisation d</w:t>
      </w:r>
      <w:r w:rsidR="00714D4A">
        <w:rPr>
          <w:rFonts w:ascii="Arial" w:hAnsi="Arial"/>
          <w:sz w:val="24"/>
          <w:lang w:val="fr-CA"/>
        </w:rPr>
        <w:t>’</w:t>
      </w:r>
      <w:r w:rsidRPr="005451E6">
        <w:rPr>
          <w:rFonts w:ascii="Arial" w:hAnsi="Arial"/>
          <w:sz w:val="24"/>
          <w:lang w:val="fr-CA"/>
        </w:rPr>
        <w:t>origine médicamenteuse.</w:t>
      </w:r>
    </w:p>
    <w:p w:rsidR="00291756" w:rsidRPr="005451E6" w:rsidRDefault="00291756">
      <w:pPr>
        <w:ind w:left="720"/>
        <w:rPr>
          <w:rFonts w:ascii="Arial" w:hAnsi="Arial"/>
          <w:sz w:val="24"/>
          <w:lang w:val="fr-CA"/>
        </w:rPr>
      </w:pPr>
    </w:p>
    <w:p w:rsidR="00291756" w:rsidRPr="005451E6" w:rsidRDefault="002A1EE8">
      <w:pPr>
        <w:numPr>
          <w:ilvl w:val="1"/>
          <w:numId w:val="1"/>
        </w:numPr>
        <w:rPr>
          <w:rFonts w:ascii="Arial" w:hAnsi="Arial"/>
          <w:sz w:val="24"/>
          <w:lang w:val="fr-CA"/>
        </w:rPr>
      </w:pPr>
      <w:r w:rsidRPr="005451E6">
        <w:rPr>
          <w:rFonts w:ascii="Arial" w:hAnsi="Arial"/>
          <w:sz w:val="24"/>
          <w:lang w:val="fr-CA"/>
        </w:rPr>
        <w:t>Le TDA est nécessaire si le dépistage anticorps se fait sans auto-témoin dans les circonstances suivantes :</w:t>
      </w:r>
    </w:p>
    <w:p w:rsidR="00FC7654" w:rsidRDefault="002A1EE8" w:rsidP="00FC7654">
      <w:pPr>
        <w:numPr>
          <w:ilvl w:val="0"/>
          <w:numId w:val="6"/>
        </w:numPr>
        <w:tabs>
          <w:tab w:val="clear" w:pos="360"/>
          <w:tab w:val="num" w:pos="1800"/>
          <w:tab w:val="num" w:pos="1860"/>
        </w:tabs>
        <w:ind w:left="1800"/>
        <w:rPr>
          <w:rFonts w:ascii="Arial" w:hAnsi="Arial"/>
          <w:sz w:val="24"/>
          <w:lang w:val="fr-CA"/>
        </w:rPr>
      </w:pPr>
      <w:r w:rsidRPr="00FC7654">
        <w:rPr>
          <w:rFonts w:ascii="Arial" w:hAnsi="Arial"/>
          <w:sz w:val="24"/>
          <w:lang w:val="fr-CA"/>
        </w:rPr>
        <w:t>l</w:t>
      </w:r>
      <w:r w:rsidR="00714D4A">
        <w:rPr>
          <w:rFonts w:ascii="Arial" w:hAnsi="Arial"/>
          <w:sz w:val="24"/>
          <w:lang w:val="fr-CA"/>
        </w:rPr>
        <w:t>’</w:t>
      </w:r>
      <w:r w:rsidRPr="00FC7654">
        <w:rPr>
          <w:rFonts w:ascii="Arial" w:hAnsi="Arial"/>
          <w:sz w:val="24"/>
          <w:lang w:val="fr-CA"/>
        </w:rPr>
        <w:t>identification de l</w:t>
      </w:r>
      <w:r w:rsidR="00714D4A">
        <w:rPr>
          <w:rFonts w:ascii="Arial" w:hAnsi="Arial"/>
          <w:sz w:val="24"/>
          <w:lang w:val="fr-CA"/>
        </w:rPr>
        <w:t>’</w:t>
      </w:r>
      <w:r w:rsidRPr="00FC7654">
        <w:rPr>
          <w:rFonts w:ascii="Arial" w:hAnsi="Arial"/>
          <w:sz w:val="24"/>
          <w:lang w:val="fr-CA"/>
        </w:rPr>
        <w:t>anticorps est nécessaire et un auto-témoin est impossible (p. ex. volume limité de plasma)</w:t>
      </w:r>
    </w:p>
    <w:p w:rsidR="00291756" w:rsidRPr="00FC7654" w:rsidRDefault="002A1EE8" w:rsidP="00FC7654">
      <w:pPr>
        <w:numPr>
          <w:ilvl w:val="0"/>
          <w:numId w:val="6"/>
        </w:numPr>
        <w:tabs>
          <w:tab w:val="clear" w:pos="360"/>
          <w:tab w:val="num" w:pos="1800"/>
          <w:tab w:val="num" w:pos="1860"/>
        </w:tabs>
        <w:ind w:left="1800"/>
        <w:rPr>
          <w:rFonts w:ascii="Arial" w:hAnsi="Arial"/>
          <w:sz w:val="24"/>
          <w:lang w:val="fr-CA"/>
        </w:rPr>
      </w:pPr>
      <w:r w:rsidRPr="00FC7654">
        <w:rPr>
          <w:rFonts w:ascii="Arial" w:hAnsi="Arial"/>
          <w:sz w:val="24"/>
          <w:lang w:val="fr-CA"/>
        </w:rPr>
        <w:t>il faut procéder au typage d</w:t>
      </w:r>
      <w:r w:rsidR="00714D4A">
        <w:rPr>
          <w:rFonts w:ascii="Arial" w:hAnsi="Arial"/>
          <w:sz w:val="24"/>
          <w:lang w:val="fr-CA"/>
        </w:rPr>
        <w:t>’</w:t>
      </w:r>
      <w:r w:rsidRPr="00FC7654">
        <w:rPr>
          <w:rFonts w:ascii="Arial" w:hAnsi="Arial"/>
          <w:sz w:val="24"/>
          <w:lang w:val="fr-CA"/>
        </w:rPr>
        <w:t>antigènes des cellules du patient</w:t>
      </w:r>
    </w:p>
    <w:p w:rsidR="00291756" w:rsidRPr="00F92082" w:rsidRDefault="00291756">
      <w:pPr>
        <w:ind w:left="720"/>
        <w:rPr>
          <w:rFonts w:ascii="Arial" w:hAnsi="Arial"/>
          <w:sz w:val="24"/>
          <w:lang w:val="fr-CA"/>
        </w:rPr>
      </w:pPr>
    </w:p>
    <w:p w:rsidR="00291756" w:rsidRPr="00F92082" w:rsidRDefault="00F92082">
      <w:pPr>
        <w:numPr>
          <w:ilvl w:val="1"/>
          <w:numId w:val="1"/>
        </w:numPr>
        <w:rPr>
          <w:rFonts w:ascii="Arial" w:hAnsi="Arial"/>
          <w:sz w:val="24"/>
          <w:lang w:val="fr-CA"/>
        </w:rPr>
      </w:pPr>
      <w:r w:rsidRPr="00F92082">
        <w:rPr>
          <w:rFonts w:ascii="Arial" w:hAnsi="Arial"/>
          <w:sz w:val="24"/>
          <w:lang w:val="fr-CA"/>
        </w:rPr>
        <w:t>L’</w:t>
      </w:r>
      <w:r w:rsidR="00291756" w:rsidRPr="00F92082">
        <w:rPr>
          <w:rFonts w:ascii="Arial" w:hAnsi="Arial"/>
          <w:sz w:val="24"/>
          <w:lang w:val="fr-CA"/>
        </w:rPr>
        <w:t>antiglobulin</w:t>
      </w:r>
      <w:r w:rsidRPr="00F92082">
        <w:rPr>
          <w:rFonts w:ascii="Arial" w:hAnsi="Arial"/>
          <w:sz w:val="24"/>
          <w:lang w:val="fr-CA"/>
        </w:rPr>
        <w:t>e utilisée pour cette épreuve directe ne contient que des anticorps à l’</w:t>
      </w:r>
      <w:r w:rsidR="00291756" w:rsidRPr="00F92082">
        <w:rPr>
          <w:rFonts w:ascii="Arial" w:hAnsi="Arial"/>
          <w:sz w:val="24"/>
          <w:lang w:val="fr-CA"/>
        </w:rPr>
        <w:t xml:space="preserve">IgG </w:t>
      </w:r>
      <w:r w:rsidRPr="00F92082">
        <w:rPr>
          <w:rFonts w:ascii="Arial" w:hAnsi="Arial"/>
          <w:sz w:val="24"/>
          <w:lang w:val="fr-CA"/>
        </w:rPr>
        <w:t>et ne détectera pas le composant</w:t>
      </w:r>
      <w:r w:rsidR="00714D4A">
        <w:rPr>
          <w:rFonts w:ascii="Arial" w:hAnsi="Arial"/>
          <w:sz w:val="24"/>
          <w:lang w:val="fr-CA"/>
        </w:rPr>
        <w:t> </w:t>
      </w:r>
      <w:r w:rsidRPr="00F92082">
        <w:rPr>
          <w:rFonts w:ascii="Arial" w:hAnsi="Arial"/>
          <w:sz w:val="24"/>
          <w:lang w:val="fr-CA"/>
        </w:rPr>
        <w:t>C3d du complément.</w:t>
      </w:r>
      <w:r w:rsidR="00C17934">
        <w:rPr>
          <w:rFonts w:ascii="Arial" w:hAnsi="Arial"/>
          <w:sz w:val="24"/>
          <w:lang w:val="fr-CA"/>
        </w:rPr>
        <w:t xml:space="preserve"> </w:t>
      </w:r>
    </w:p>
    <w:p w:rsidR="00291756" w:rsidRPr="00F92082" w:rsidRDefault="00291756">
      <w:pPr>
        <w:ind w:left="720"/>
        <w:rPr>
          <w:rFonts w:ascii="Arial" w:hAnsi="Arial"/>
          <w:sz w:val="24"/>
          <w:lang w:val="fr-CA"/>
        </w:rPr>
      </w:pPr>
    </w:p>
    <w:p w:rsidR="00291756" w:rsidRPr="00F92082" w:rsidRDefault="002A1EE8">
      <w:pPr>
        <w:numPr>
          <w:ilvl w:val="1"/>
          <w:numId w:val="1"/>
        </w:numPr>
        <w:rPr>
          <w:rFonts w:ascii="Arial" w:hAnsi="Arial"/>
          <w:sz w:val="24"/>
          <w:lang w:val="fr-CA"/>
        </w:rPr>
      </w:pPr>
      <w:r w:rsidRPr="00F92082">
        <w:rPr>
          <w:rFonts w:ascii="Arial" w:hAnsi="Arial"/>
          <w:sz w:val="24"/>
          <w:lang w:val="fr-CA"/>
        </w:rPr>
        <w:t>Tous les réactifs doivent être utilisés et vérifiés conformément aux recommandations et aux procédures du fournisseur</w:t>
      </w:r>
      <w:r w:rsidRPr="00F92082">
        <w:rPr>
          <w:rFonts w:ascii="Arial" w:hAnsi="Arial"/>
          <w:sz w:val="24"/>
          <w:vertAlign w:val="superscript"/>
          <w:lang w:val="fr-CA"/>
        </w:rPr>
        <w:t>9.1</w:t>
      </w:r>
      <w:r w:rsidRPr="00F92082">
        <w:rPr>
          <w:rFonts w:ascii="Arial" w:hAnsi="Arial"/>
          <w:sz w:val="24"/>
          <w:lang w:val="fr-CA"/>
        </w:rPr>
        <w:t>.</w:t>
      </w:r>
    </w:p>
    <w:p w:rsidR="00291756" w:rsidRDefault="00291756">
      <w:pPr>
        <w:ind w:left="720"/>
        <w:rPr>
          <w:rFonts w:ascii="Arial" w:hAnsi="Arial"/>
          <w:sz w:val="24"/>
          <w:lang w:val="fr-CA"/>
        </w:rPr>
      </w:pPr>
    </w:p>
    <w:p w:rsidR="00FC7654" w:rsidRDefault="00FC7654">
      <w:pPr>
        <w:ind w:left="720"/>
        <w:rPr>
          <w:rFonts w:ascii="Arial" w:hAnsi="Arial"/>
          <w:sz w:val="24"/>
          <w:lang w:val="fr-CA"/>
        </w:rPr>
      </w:pPr>
    </w:p>
    <w:p w:rsidR="00291756" w:rsidRPr="00295CC6" w:rsidRDefault="005451E6">
      <w:pPr>
        <w:numPr>
          <w:ilvl w:val="0"/>
          <w:numId w:val="1"/>
        </w:numPr>
        <w:rPr>
          <w:rFonts w:ascii="Arial" w:hAnsi="Arial"/>
          <w:b/>
          <w:sz w:val="28"/>
          <w:lang w:val="fr-CA"/>
        </w:rPr>
      </w:pPr>
      <w:r>
        <w:rPr>
          <w:rFonts w:ascii="Arial" w:hAnsi="Arial"/>
          <w:b/>
          <w:color w:val="000000"/>
          <w:sz w:val="28"/>
          <w:lang w:val="fr-CA"/>
        </w:rPr>
        <w:t>É</w:t>
      </w:r>
      <w:r w:rsidR="002A1EE8" w:rsidRPr="00295CC6">
        <w:rPr>
          <w:rFonts w:ascii="Arial" w:hAnsi="Arial"/>
          <w:b/>
          <w:color w:val="000000"/>
          <w:sz w:val="28"/>
          <w:lang w:val="fr-CA"/>
        </w:rPr>
        <w:t>chantillons</w:t>
      </w:r>
    </w:p>
    <w:p w:rsidR="00291756" w:rsidRPr="00295CC6" w:rsidRDefault="00291756">
      <w:pPr>
        <w:rPr>
          <w:rFonts w:ascii="Arial" w:hAnsi="Arial"/>
          <w:sz w:val="24"/>
          <w:lang w:val="fr-CA"/>
        </w:rPr>
      </w:pPr>
    </w:p>
    <w:p w:rsidR="00291756" w:rsidRPr="00295CC6" w:rsidRDefault="00291756">
      <w:pPr>
        <w:tabs>
          <w:tab w:val="left" w:pos="-720"/>
          <w:tab w:val="left" w:pos="0"/>
        </w:tabs>
        <w:suppressAutoHyphens/>
        <w:ind w:left="720" w:hanging="720"/>
        <w:jc w:val="both"/>
        <w:rPr>
          <w:rFonts w:ascii="Arial" w:hAnsi="Arial"/>
          <w:spacing w:val="-2"/>
          <w:sz w:val="24"/>
          <w:lang w:val="fr-CA"/>
        </w:rPr>
      </w:pPr>
      <w:r w:rsidRPr="00295CC6">
        <w:rPr>
          <w:rFonts w:ascii="Arial" w:hAnsi="Arial"/>
          <w:sz w:val="24"/>
          <w:lang w:val="fr-CA"/>
        </w:rPr>
        <w:tab/>
      </w:r>
      <w:r w:rsidR="00F92082" w:rsidRPr="006D5888">
        <w:rPr>
          <w:rFonts w:ascii="Arial" w:hAnsi="Arial"/>
          <w:sz w:val="24"/>
          <w:lang w:val="fr-CA"/>
        </w:rPr>
        <w:t>Sang total anticoagulé (tube EDTA)</w:t>
      </w:r>
      <w:r w:rsidRPr="006D5888">
        <w:rPr>
          <w:rFonts w:ascii="Arial" w:hAnsi="Arial"/>
          <w:sz w:val="24"/>
          <w:lang w:val="fr-CA"/>
        </w:rPr>
        <w:t xml:space="preserve"> </w:t>
      </w:r>
      <w:r w:rsidR="00F92082" w:rsidRPr="006D5888">
        <w:rPr>
          <w:rFonts w:ascii="Arial" w:hAnsi="Arial"/>
          <w:sz w:val="24"/>
          <w:lang w:val="fr-CA"/>
        </w:rPr>
        <w:t>–</w:t>
      </w:r>
      <w:r w:rsidR="00F92082">
        <w:rPr>
          <w:rFonts w:ascii="Arial" w:hAnsi="Arial"/>
          <w:sz w:val="24"/>
          <w:lang w:val="fr-CA"/>
        </w:rPr>
        <w:t xml:space="preserve"> l’échantillon de sang doit être analysé </w:t>
      </w:r>
      <w:r w:rsidR="00FC7654">
        <w:rPr>
          <w:rFonts w:ascii="Arial" w:hAnsi="Arial"/>
          <w:sz w:val="24"/>
          <w:lang w:val="fr-CA"/>
        </w:rPr>
        <w:t>dans les 24 heures suivant le prélèvement. Les échantillons coagulés ne sont pas recommandés. Voir la Remarque</w:t>
      </w:r>
      <w:r w:rsidR="00714D4A">
        <w:rPr>
          <w:rFonts w:ascii="Arial" w:hAnsi="Arial"/>
          <w:sz w:val="24"/>
          <w:lang w:val="fr-CA"/>
        </w:rPr>
        <w:t> </w:t>
      </w:r>
      <w:r w:rsidR="00FC7654">
        <w:rPr>
          <w:rFonts w:ascii="Arial" w:hAnsi="Arial"/>
          <w:sz w:val="24"/>
          <w:lang w:val="fr-CA"/>
        </w:rPr>
        <w:t>8.5 au sujet de l’hémolyse et des échantillons</w:t>
      </w:r>
      <w:r w:rsidRPr="00295CC6">
        <w:rPr>
          <w:rFonts w:ascii="Arial" w:hAnsi="Arial"/>
          <w:spacing w:val="-2"/>
          <w:sz w:val="24"/>
          <w:lang w:val="fr-CA"/>
        </w:rPr>
        <w:t>.</w:t>
      </w:r>
    </w:p>
    <w:p w:rsidR="00291756" w:rsidRPr="00295CC6" w:rsidRDefault="00291756">
      <w:pPr>
        <w:ind w:left="720"/>
        <w:rPr>
          <w:rFonts w:ascii="Arial" w:hAnsi="Arial"/>
          <w:sz w:val="24"/>
          <w:lang w:val="fr-CA"/>
        </w:rPr>
      </w:pPr>
    </w:p>
    <w:p w:rsidR="00291756" w:rsidRPr="00295CC6" w:rsidRDefault="00291756">
      <w:pPr>
        <w:tabs>
          <w:tab w:val="left" w:pos="-720"/>
        </w:tabs>
        <w:suppressAutoHyphens/>
        <w:ind w:left="720" w:hanging="720"/>
        <w:jc w:val="both"/>
        <w:rPr>
          <w:rFonts w:ascii="Arial" w:hAnsi="Arial"/>
          <w:spacing w:val="-2"/>
          <w:sz w:val="24"/>
          <w:lang w:val="fr-CA"/>
        </w:rPr>
      </w:pPr>
      <w:r w:rsidRPr="00295CC6">
        <w:rPr>
          <w:rFonts w:ascii="Arial" w:hAnsi="Arial"/>
          <w:spacing w:val="-2"/>
          <w:sz w:val="24"/>
          <w:lang w:val="fr-CA"/>
        </w:rPr>
        <w:tab/>
      </w:r>
      <w:r w:rsidR="00FC7654">
        <w:rPr>
          <w:rFonts w:ascii="Arial" w:hAnsi="Arial"/>
          <w:spacing w:val="-2"/>
          <w:sz w:val="24"/>
          <w:lang w:val="fr-CA"/>
        </w:rPr>
        <w:t>Les globules rouges entreposés pendant de longues périodes peuvent se couvrir un vitro de protéines de globuline et de complément. Les échantillons couvert</w:t>
      </w:r>
      <w:r w:rsidR="00F60B68">
        <w:rPr>
          <w:rFonts w:ascii="Arial" w:hAnsi="Arial"/>
          <w:spacing w:val="-2"/>
          <w:sz w:val="24"/>
          <w:lang w:val="fr-CA"/>
        </w:rPr>
        <w:t>s</w:t>
      </w:r>
      <w:r w:rsidR="00FC7654">
        <w:rPr>
          <w:rFonts w:ascii="Arial" w:hAnsi="Arial"/>
          <w:spacing w:val="-2"/>
          <w:sz w:val="24"/>
          <w:lang w:val="fr-CA"/>
        </w:rPr>
        <w:t xml:space="preserve"> d’IgG auront alors un résultat TDA positif s’ils sont testés avec ce réactif. </w:t>
      </w:r>
      <w:r w:rsidR="00F92082">
        <w:rPr>
          <w:rFonts w:ascii="Arial" w:hAnsi="Arial"/>
          <w:spacing w:val="-2"/>
          <w:sz w:val="24"/>
          <w:lang w:val="fr-CA"/>
        </w:rPr>
        <w:t xml:space="preserve"> </w:t>
      </w:r>
    </w:p>
    <w:p w:rsidR="00291756" w:rsidRDefault="00291756">
      <w:pPr>
        <w:ind w:left="1080"/>
        <w:rPr>
          <w:rFonts w:ascii="Arial" w:hAnsi="Arial"/>
          <w:sz w:val="24"/>
          <w:lang w:val="fr-CA"/>
        </w:rPr>
      </w:pPr>
    </w:p>
    <w:p w:rsidR="00FC7654" w:rsidRPr="00F92082" w:rsidRDefault="00FC7654">
      <w:pPr>
        <w:ind w:left="1080"/>
        <w:rPr>
          <w:rFonts w:ascii="Arial" w:hAnsi="Arial"/>
          <w:sz w:val="24"/>
          <w:lang w:val="fr-CA"/>
        </w:rPr>
      </w:pPr>
    </w:p>
    <w:p w:rsidR="00291756" w:rsidRPr="00F92082" w:rsidRDefault="002A1EE8">
      <w:pPr>
        <w:numPr>
          <w:ilvl w:val="0"/>
          <w:numId w:val="1"/>
        </w:numPr>
        <w:rPr>
          <w:rFonts w:ascii="Arial" w:hAnsi="Arial"/>
          <w:b/>
          <w:sz w:val="28"/>
          <w:lang w:val="fr-CA"/>
        </w:rPr>
      </w:pPr>
      <w:r w:rsidRPr="00F92082">
        <w:rPr>
          <w:rFonts w:ascii="Arial" w:hAnsi="Arial"/>
          <w:b/>
          <w:sz w:val="28"/>
          <w:lang w:val="fr-CA"/>
        </w:rPr>
        <w:t>Matériel</w:t>
      </w:r>
    </w:p>
    <w:p w:rsidR="00291756" w:rsidRPr="00F92082" w:rsidRDefault="00291756">
      <w:pPr>
        <w:rPr>
          <w:rFonts w:ascii="Arial" w:hAnsi="Arial"/>
          <w:sz w:val="24"/>
          <w:lang w:val="fr-CA"/>
        </w:rPr>
      </w:pPr>
    </w:p>
    <w:p w:rsidR="00291756" w:rsidRPr="00F92082" w:rsidRDefault="002A1EE8">
      <w:pPr>
        <w:ind w:left="720"/>
        <w:rPr>
          <w:rFonts w:ascii="Arial" w:hAnsi="Arial"/>
          <w:sz w:val="24"/>
          <w:lang w:val="fr-CA"/>
        </w:rPr>
      </w:pPr>
      <w:r w:rsidRPr="00F92082">
        <w:rPr>
          <w:rFonts w:ascii="Arial" w:hAnsi="Arial"/>
          <w:sz w:val="24"/>
          <w:lang w:val="fr-CA"/>
        </w:rPr>
        <w:t>Équipement :</w:t>
      </w:r>
      <w:r w:rsidRPr="00F92082">
        <w:rPr>
          <w:rFonts w:ascii="Arial" w:hAnsi="Arial"/>
          <w:sz w:val="24"/>
          <w:lang w:val="fr-CA"/>
        </w:rPr>
        <w:tab/>
        <w:t>centrifugeuse</w:t>
      </w:r>
    </w:p>
    <w:p w:rsidR="00291756" w:rsidRPr="00F92082" w:rsidRDefault="00291756">
      <w:pPr>
        <w:rPr>
          <w:rFonts w:ascii="Arial" w:hAnsi="Arial"/>
          <w:sz w:val="24"/>
          <w:lang w:val="fr-CA"/>
        </w:rPr>
      </w:pPr>
      <w:r w:rsidRPr="00F92082">
        <w:rPr>
          <w:rFonts w:ascii="Arial" w:hAnsi="Arial"/>
          <w:sz w:val="24"/>
          <w:lang w:val="fr-CA"/>
        </w:rPr>
        <w:tab/>
      </w:r>
      <w:r w:rsidRPr="00F92082">
        <w:rPr>
          <w:rFonts w:ascii="Arial" w:hAnsi="Arial"/>
          <w:sz w:val="24"/>
          <w:lang w:val="fr-CA"/>
        </w:rPr>
        <w:tab/>
      </w:r>
      <w:r w:rsidRPr="00F92082">
        <w:rPr>
          <w:rFonts w:ascii="Arial" w:hAnsi="Arial"/>
          <w:sz w:val="24"/>
          <w:lang w:val="fr-CA"/>
        </w:rPr>
        <w:tab/>
      </w:r>
      <w:r w:rsidR="002A1EE8" w:rsidRPr="00F92082">
        <w:rPr>
          <w:rFonts w:ascii="Arial" w:hAnsi="Arial"/>
          <w:sz w:val="24"/>
          <w:lang w:val="fr-CA"/>
        </w:rPr>
        <w:t>incubateur</w:t>
      </w:r>
    </w:p>
    <w:p w:rsidR="00291756" w:rsidRPr="00F92082" w:rsidRDefault="00291756">
      <w:pPr>
        <w:rPr>
          <w:rFonts w:ascii="Arial" w:hAnsi="Arial"/>
          <w:sz w:val="24"/>
          <w:lang w:val="fr-CA"/>
        </w:rPr>
      </w:pPr>
      <w:r w:rsidRPr="00F92082">
        <w:rPr>
          <w:rFonts w:ascii="Arial" w:hAnsi="Arial"/>
          <w:sz w:val="24"/>
          <w:lang w:val="fr-CA"/>
        </w:rPr>
        <w:tab/>
      </w:r>
      <w:r w:rsidRPr="00F92082">
        <w:rPr>
          <w:rFonts w:ascii="Arial" w:hAnsi="Arial"/>
          <w:sz w:val="24"/>
          <w:lang w:val="fr-CA"/>
        </w:rPr>
        <w:tab/>
      </w:r>
      <w:r w:rsidRPr="00F92082">
        <w:rPr>
          <w:rFonts w:ascii="Arial" w:hAnsi="Arial"/>
          <w:sz w:val="24"/>
          <w:lang w:val="fr-CA"/>
        </w:rPr>
        <w:tab/>
      </w:r>
      <w:r w:rsidR="002A1EE8" w:rsidRPr="00F92082">
        <w:rPr>
          <w:rFonts w:ascii="Arial" w:hAnsi="Arial"/>
          <w:sz w:val="24"/>
          <w:lang w:val="fr-CA"/>
        </w:rPr>
        <w:t>pipetteur</w:t>
      </w:r>
    </w:p>
    <w:p w:rsidR="00291756" w:rsidRPr="00F92082" w:rsidRDefault="00291756">
      <w:pPr>
        <w:rPr>
          <w:rFonts w:ascii="Arial" w:hAnsi="Arial"/>
          <w:sz w:val="24"/>
          <w:lang w:val="fr-CA"/>
        </w:rPr>
      </w:pPr>
      <w:r w:rsidRPr="00F92082">
        <w:rPr>
          <w:rFonts w:ascii="Arial" w:hAnsi="Arial"/>
          <w:sz w:val="24"/>
          <w:lang w:val="fr-CA"/>
        </w:rPr>
        <w:tab/>
      </w:r>
      <w:r w:rsidRPr="00F92082">
        <w:rPr>
          <w:rFonts w:ascii="Arial" w:hAnsi="Arial"/>
          <w:sz w:val="24"/>
          <w:lang w:val="fr-CA"/>
        </w:rPr>
        <w:tab/>
      </w:r>
      <w:r w:rsidRPr="00F92082">
        <w:rPr>
          <w:rFonts w:ascii="Arial" w:hAnsi="Arial"/>
          <w:sz w:val="24"/>
          <w:lang w:val="fr-CA"/>
        </w:rPr>
        <w:tab/>
      </w:r>
      <w:r w:rsidR="002A1EE8" w:rsidRPr="00F92082">
        <w:rPr>
          <w:rFonts w:ascii="Arial" w:hAnsi="Arial"/>
          <w:sz w:val="24"/>
          <w:lang w:val="fr-CA"/>
        </w:rPr>
        <w:t>distributeur</w:t>
      </w:r>
    </w:p>
    <w:p w:rsidR="00291756" w:rsidRPr="00F92082" w:rsidRDefault="00291756">
      <w:pPr>
        <w:rPr>
          <w:rFonts w:ascii="Arial" w:hAnsi="Arial"/>
          <w:sz w:val="24"/>
          <w:lang w:val="fr-CA"/>
        </w:rPr>
      </w:pPr>
      <w:r w:rsidRPr="00F92082">
        <w:rPr>
          <w:rFonts w:ascii="Arial" w:hAnsi="Arial"/>
          <w:sz w:val="24"/>
          <w:lang w:val="fr-CA"/>
        </w:rPr>
        <w:tab/>
      </w:r>
      <w:r w:rsidRPr="00F92082">
        <w:rPr>
          <w:rFonts w:ascii="Arial" w:hAnsi="Arial"/>
          <w:sz w:val="24"/>
          <w:lang w:val="fr-CA"/>
        </w:rPr>
        <w:tab/>
      </w:r>
      <w:r w:rsidRPr="00F92082">
        <w:rPr>
          <w:rFonts w:ascii="Arial" w:hAnsi="Arial"/>
          <w:sz w:val="24"/>
          <w:lang w:val="fr-CA"/>
        </w:rPr>
        <w:tab/>
      </w:r>
      <w:r w:rsidR="00F92082" w:rsidRPr="00F92082">
        <w:rPr>
          <w:rFonts w:ascii="Arial" w:hAnsi="Arial"/>
          <w:sz w:val="24"/>
          <w:lang w:val="fr-CA"/>
        </w:rPr>
        <w:t>p</w:t>
      </w:r>
      <w:r w:rsidR="006D3F7A" w:rsidRPr="00F92082">
        <w:rPr>
          <w:rFonts w:ascii="Arial" w:hAnsi="Arial"/>
          <w:sz w:val="24"/>
          <w:lang w:val="fr-CA"/>
        </w:rPr>
        <w:t>oste de préparation, facultatif</w:t>
      </w:r>
    </w:p>
    <w:p w:rsidR="00291756" w:rsidRPr="00F92082" w:rsidRDefault="00291756">
      <w:pPr>
        <w:ind w:left="720"/>
        <w:rPr>
          <w:rFonts w:ascii="Arial" w:hAnsi="Arial"/>
          <w:sz w:val="24"/>
          <w:lang w:val="fr-CA"/>
        </w:rPr>
      </w:pPr>
      <w:r w:rsidRPr="00F92082">
        <w:rPr>
          <w:rFonts w:ascii="Arial" w:hAnsi="Arial"/>
          <w:sz w:val="24"/>
          <w:lang w:val="fr-CA"/>
        </w:rPr>
        <w:tab/>
      </w:r>
      <w:r w:rsidRPr="00F92082">
        <w:rPr>
          <w:rFonts w:ascii="Arial" w:hAnsi="Arial"/>
          <w:sz w:val="24"/>
          <w:lang w:val="fr-CA"/>
        </w:rPr>
        <w:tab/>
      </w:r>
      <w:r w:rsidR="006D3F7A" w:rsidRPr="00F92082">
        <w:rPr>
          <w:rFonts w:ascii="Arial" w:hAnsi="Arial"/>
          <w:sz w:val="24"/>
          <w:lang w:val="fr-CA"/>
        </w:rPr>
        <w:t>centrifugeuse sérologique</w:t>
      </w:r>
    </w:p>
    <w:p w:rsidR="00291756" w:rsidRPr="00F92082" w:rsidRDefault="00291756">
      <w:pPr>
        <w:ind w:left="720"/>
        <w:rPr>
          <w:rFonts w:ascii="Arial" w:hAnsi="Arial"/>
          <w:sz w:val="24"/>
          <w:lang w:val="fr-CA"/>
        </w:rPr>
      </w:pPr>
    </w:p>
    <w:p w:rsidR="00291756" w:rsidRPr="00F92082" w:rsidRDefault="006D3F7A">
      <w:pPr>
        <w:ind w:left="720"/>
        <w:rPr>
          <w:rFonts w:ascii="Arial" w:hAnsi="Arial"/>
          <w:sz w:val="24"/>
          <w:lang w:val="fr-CA"/>
        </w:rPr>
      </w:pPr>
      <w:r w:rsidRPr="00F92082">
        <w:rPr>
          <w:rFonts w:ascii="Arial" w:hAnsi="Arial"/>
          <w:sz w:val="24"/>
          <w:lang w:val="fr-CA"/>
        </w:rPr>
        <w:t>Fournitures :</w:t>
      </w:r>
      <w:r w:rsidRPr="00F92082">
        <w:rPr>
          <w:rFonts w:ascii="Arial" w:hAnsi="Arial"/>
          <w:sz w:val="24"/>
          <w:lang w:val="fr-CA"/>
        </w:rPr>
        <w:tab/>
      </w:r>
      <w:r w:rsidR="00F92082">
        <w:rPr>
          <w:rFonts w:ascii="Arial" w:hAnsi="Arial"/>
          <w:sz w:val="24"/>
          <w:lang w:val="fr-CA"/>
        </w:rPr>
        <w:t>ID</w:t>
      </w:r>
      <w:r w:rsidR="00636602">
        <w:rPr>
          <w:rFonts w:ascii="Arial" w:hAnsi="Arial"/>
          <w:sz w:val="24"/>
          <w:lang w:val="fr-CA"/>
        </w:rPr>
        <w:t>-T</w:t>
      </w:r>
      <w:r w:rsidRPr="00F92082">
        <w:rPr>
          <w:rFonts w:ascii="Arial" w:hAnsi="Arial"/>
          <w:sz w:val="24"/>
          <w:lang w:val="fr-CA"/>
        </w:rPr>
        <w:t>ips (embouts de pipettes)</w:t>
      </w:r>
    </w:p>
    <w:p w:rsidR="00291756" w:rsidRPr="00F92082" w:rsidRDefault="00291756">
      <w:pPr>
        <w:ind w:left="720"/>
        <w:rPr>
          <w:rFonts w:ascii="Arial" w:hAnsi="Arial"/>
          <w:sz w:val="24"/>
          <w:lang w:val="fr-CA"/>
        </w:rPr>
      </w:pPr>
      <w:r w:rsidRPr="00F92082">
        <w:rPr>
          <w:rFonts w:ascii="Arial" w:hAnsi="Arial"/>
          <w:sz w:val="24"/>
          <w:lang w:val="fr-CA"/>
        </w:rPr>
        <w:tab/>
      </w:r>
      <w:r w:rsidRPr="00F92082">
        <w:rPr>
          <w:rFonts w:ascii="Arial" w:hAnsi="Arial"/>
          <w:sz w:val="24"/>
          <w:lang w:val="fr-CA"/>
        </w:rPr>
        <w:tab/>
      </w:r>
      <w:r w:rsidR="00F92082">
        <w:rPr>
          <w:rFonts w:ascii="Arial" w:hAnsi="Arial"/>
          <w:sz w:val="24"/>
          <w:lang w:val="fr-CA"/>
        </w:rPr>
        <w:t>t</w:t>
      </w:r>
      <w:r w:rsidR="006D3F7A" w:rsidRPr="00F92082">
        <w:rPr>
          <w:rFonts w:ascii="Arial" w:hAnsi="Arial"/>
          <w:sz w:val="24"/>
          <w:lang w:val="fr-CA"/>
        </w:rPr>
        <w:t>ubes 10 x 75 mm</w:t>
      </w:r>
    </w:p>
    <w:p w:rsidR="00291756" w:rsidRPr="00F92082" w:rsidRDefault="00291756">
      <w:pPr>
        <w:ind w:left="720"/>
        <w:rPr>
          <w:rFonts w:ascii="Arial" w:hAnsi="Arial"/>
          <w:sz w:val="24"/>
          <w:lang w:val="fr-CA"/>
        </w:rPr>
      </w:pPr>
      <w:r w:rsidRPr="00F92082">
        <w:rPr>
          <w:rFonts w:ascii="Arial" w:hAnsi="Arial"/>
          <w:sz w:val="24"/>
          <w:lang w:val="fr-CA"/>
        </w:rPr>
        <w:tab/>
      </w:r>
      <w:r w:rsidRPr="00F92082">
        <w:rPr>
          <w:rFonts w:ascii="Arial" w:hAnsi="Arial"/>
          <w:sz w:val="24"/>
          <w:lang w:val="fr-CA"/>
        </w:rPr>
        <w:tab/>
      </w:r>
      <w:r w:rsidR="006D3F7A" w:rsidRPr="00F92082">
        <w:rPr>
          <w:rFonts w:ascii="Arial" w:hAnsi="Arial"/>
          <w:sz w:val="24"/>
          <w:lang w:val="fr-CA"/>
        </w:rPr>
        <w:t>pipettes sérologiques</w:t>
      </w:r>
    </w:p>
    <w:p w:rsidR="00291756" w:rsidRPr="00F92082" w:rsidRDefault="00291756">
      <w:pPr>
        <w:ind w:left="720"/>
        <w:rPr>
          <w:rFonts w:ascii="Arial" w:hAnsi="Arial"/>
          <w:sz w:val="24"/>
          <w:lang w:val="fr-CA"/>
        </w:rPr>
      </w:pPr>
      <w:r w:rsidRPr="00F92082">
        <w:rPr>
          <w:rFonts w:ascii="Arial" w:hAnsi="Arial"/>
          <w:sz w:val="24"/>
          <w:lang w:val="fr-CA"/>
        </w:rPr>
        <w:tab/>
      </w:r>
      <w:r w:rsidRPr="00F92082">
        <w:rPr>
          <w:rFonts w:ascii="Arial" w:hAnsi="Arial"/>
          <w:sz w:val="24"/>
          <w:lang w:val="fr-CA"/>
        </w:rPr>
        <w:tab/>
      </w:r>
      <w:r w:rsidR="00F92082">
        <w:rPr>
          <w:rFonts w:ascii="Arial" w:hAnsi="Arial"/>
          <w:sz w:val="24"/>
          <w:lang w:val="fr-CA"/>
        </w:rPr>
        <w:t>d</w:t>
      </w:r>
      <w:r w:rsidR="006D3F7A" w:rsidRPr="00F92082">
        <w:rPr>
          <w:rFonts w:ascii="Arial" w:hAnsi="Arial"/>
          <w:sz w:val="24"/>
          <w:lang w:val="fr-CA"/>
        </w:rPr>
        <w:t>épliant du fournisseur</w:t>
      </w:r>
    </w:p>
    <w:p w:rsidR="00291756" w:rsidRPr="00F92082" w:rsidRDefault="00291756">
      <w:pPr>
        <w:ind w:left="720"/>
        <w:rPr>
          <w:rFonts w:ascii="Arial" w:hAnsi="Arial"/>
          <w:sz w:val="24"/>
          <w:lang w:val="fr-CA"/>
        </w:rPr>
      </w:pPr>
    </w:p>
    <w:p w:rsidR="00291756" w:rsidRPr="00F92082" w:rsidRDefault="00291756" w:rsidP="00F92082">
      <w:pPr>
        <w:tabs>
          <w:tab w:val="left" w:pos="-720"/>
          <w:tab w:val="left" w:pos="0"/>
        </w:tabs>
        <w:suppressAutoHyphens/>
        <w:ind w:left="720" w:hanging="720"/>
        <w:jc w:val="both"/>
        <w:rPr>
          <w:rFonts w:ascii="Arial" w:hAnsi="Arial"/>
          <w:spacing w:val="-2"/>
          <w:sz w:val="24"/>
          <w:lang w:val="fr-CA"/>
        </w:rPr>
      </w:pPr>
      <w:r w:rsidRPr="00F92082">
        <w:rPr>
          <w:rFonts w:ascii="Arial" w:hAnsi="Arial"/>
          <w:b/>
          <w:sz w:val="24"/>
          <w:lang w:val="fr-CA"/>
        </w:rPr>
        <w:tab/>
      </w:r>
      <w:r w:rsidR="00F92082" w:rsidRPr="00F92082">
        <w:rPr>
          <w:rFonts w:ascii="Arial" w:hAnsi="Arial"/>
          <w:sz w:val="24"/>
          <w:lang w:val="fr-CA"/>
        </w:rPr>
        <w:t xml:space="preserve">Réactifs </w:t>
      </w:r>
      <w:r w:rsidRPr="00F92082">
        <w:rPr>
          <w:rFonts w:ascii="Arial" w:hAnsi="Arial"/>
          <w:sz w:val="24"/>
          <w:lang w:val="fr-CA"/>
        </w:rPr>
        <w:t>:</w:t>
      </w:r>
      <w:r w:rsidRPr="00F92082">
        <w:rPr>
          <w:rFonts w:ascii="Arial" w:hAnsi="Arial"/>
          <w:sz w:val="24"/>
          <w:lang w:val="fr-CA"/>
        </w:rPr>
        <w:tab/>
      </w:r>
      <w:r w:rsidRPr="00F92082">
        <w:rPr>
          <w:rFonts w:ascii="Arial" w:hAnsi="Arial"/>
          <w:spacing w:val="-2"/>
          <w:sz w:val="24"/>
          <w:lang w:val="fr-CA"/>
        </w:rPr>
        <w:t>MTS Diluent 2,</w:t>
      </w:r>
      <w:r w:rsidR="00F92082" w:rsidRPr="00827AB6">
        <w:rPr>
          <w:lang w:val="fr-CA"/>
        </w:rPr>
        <w:t xml:space="preserve"> </w:t>
      </w:r>
      <w:r w:rsidR="00F92082">
        <w:rPr>
          <w:rFonts w:ascii="Arial" w:hAnsi="Arial"/>
          <w:spacing w:val="-2"/>
          <w:sz w:val="24"/>
          <w:lang w:val="fr-CA"/>
        </w:rPr>
        <w:t>sol</w:t>
      </w:r>
      <w:r w:rsidR="00F92082" w:rsidRPr="00F92082">
        <w:rPr>
          <w:rFonts w:ascii="Arial" w:hAnsi="Arial"/>
          <w:spacing w:val="-2"/>
          <w:sz w:val="24"/>
          <w:lang w:val="fr-CA"/>
        </w:rPr>
        <w:t xml:space="preserve">ution saline hypotonique tamponnée </w:t>
      </w:r>
      <w:r w:rsidR="00F92082" w:rsidRPr="00F92082">
        <w:rPr>
          <w:rFonts w:ascii="Arial" w:hAnsi="Arial"/>
          <w:spacing w:val="-2"/>
          <w:sz w:val="24"/>
          <w:lang w:val="fr-CA"/>
        </w:rPr>
        <w:tab/>
      </w:r>
      <w:r w:rsidR="00F92082" w:rsidRPr="00F92082">
        <w:rPr>
          <w:rFonts w:ascii="Arial" w:hAnsi="Arial"/>
          <w:spacing w:val="-2"/>
          <w:sz w:val="24"/>
          <w:lang w:val="fr-CA"/>
        </w:rPr>
        <w:tab/>
      </w:r>
      <w:r w:rsidR="00F92082" w:rsidRPr="00F92082">
        <w:rPr>
          <w:rFonts w:ascii="Arial" w:hAnsi="Arial"/>
          <w:spacing w:val="-2"/>
          <w:sz w:val="24"/>
          <w:lang w:val="fr-CA"/>
        </w:rPr>
        <w:tab/>
      </w:r>
      <w:r w:rsidR="006D3F7A" w:rsidRPr="00F92082">
        <w:rPr>
          <w:rFonts w:ascii="Arial" w:hAnsi="Arial"/>
          <w:spacing w:val="-2"/>
          <w:sz w:val="24"/>
          <w:lang w:val="fr-CA"/>
        </w:rPr>
        <w:t xml:space="preserve">carte </w:t>
      </w:r>
      <w:r w:rsidR="00F92082" w:rsidRPr="00F92082">
        <w:rPr>
          <w:rFonts w:ascii="Arial" w:hAnsi="Arial"/>
          <w:spacing w:val="-2"/>
          <w:sz w:val="24"/>
          <w:lang w:val="fr-CA"/>
        </w:rPr>
        <w:t>MTS</w:t>
      </w:r>
      <w:r w:rsidR="006D3F7A" w:rsidRPr="00F92082">
        <w:rPr>
          <w:rFonts w:ascii="Arial" w:hAnsi="Arial"/>
          <w:spacing w:val="-2"/>
          <w:sz w:val="24"/>
          <w:lang w:val="fr-CA"/>
        </w:rPr>
        <w:t xml:space="preserve"> anti-</w:t>
      </w:r>
      <w:r w:rsidR="00F92082" w:rsidRPr="00F92082">
        <w:rPr>
          <w:rFonts w:ascii="Arial" w:hAnsi="Arial"/>
          <w:spacing w:val="-2"/>
          <w:sz w:val="24"/>
          <w:lang w:val="fr-CA"/>
        </w:rPr>
        <w:t>IgG</w:t>
      </w:r>
      <w:r w:rsidR="004064B7">
        <w:rPr>
          <w:rFonts w:ascii="Arial" w:hAnsi="Arial"/>
          <w:spacing w:val="-2"/>
          <w:sz w:val="24"/>
          <w:lang w:val="fr-CA"/>
        </w:rPr>
        <w:t>, Anti-IgG</w:t>
      </w:r>
      <w:r w:rsidR="006D3F7A" w:rsidRPr="00F92082">
        <w:rPr>
          <w:rFonts w:ascii="Arial" w:hAnsi="Arial"/>
          <w:spacing w:val="-2"/>
          <w:sz w:val="24"/>
          <w:lang w:val="fr-CA"/>
        </w:rPr>
        <w:t xml:space="preserve"> (lapin)</w:t>
      </w:r>
      <w:r w:rsidR="00636602">
        <w:rPr>
          <w:rFonts w:ascii="Arial" w:hAnsi="Arial"/>
          <w:spacing w:val="-2"/>
          <w:sz w:val="24"/>
          <w:lang w:val="fr-CA"/>
        </w:rPr>
        <w:t xml:space="preserve">, </w:t>
      </w:r>
      <w:r w:rsidR="006D3F7A" w:rsidRPr="00F92082">
        <w:rPr>
          <w:rFonts w:ascii="Arial" w:hAnsi="Arial"/>
          <w:spacing w:val="-2"/>
          <w:sz w:val="24"/>
          <w:lang w:val="fr-CA"/>
        </w:rPr>
        <w:t>suspension e</w:t>
      </w:r>
      <w:r w:rsidR="00636602">
        <w:rPr>
          <w:rFonts w:ascii="Arial" w:hAnsi="Arial"/>
          <w:spacing w:val="-2"/>
          <w:sz w:val="24"/>
          <w:lang w:val="fr-CA"/>
        </w:rPr>
        <w:t>n gel</w:t>
      </w:r>
      <w:r w:rsidR="006D3F7A" w:rsidRPr="00F92082">
        <w:rPr>
          <w:rFonts w:ascii="Arial" w:hAnsi="Arial"/>
          <w:spacing w:val="-2"/>
          <w:sz w:val="24"/>
          <w:lang w:val="fr-CA"/>
        </w:rPr>
        <w:t xml:space="preserve"> </w:t>
      </w:r>
      <w:r w:rsidR="004064B7">
        <w:rPr>
          <w:rFonts w:ascii="Arial" w:hAnsi="Arial"/>
          <w:spacing w:val="-2"/>
          <w:sz w:val="24"/>
          <w:lang w:val="fr-CA"/>
        </w:rPr>
        <w:tab/>
      </w:r>
    </w:p>
    <w:p w:rsidR="00291756" w:rsidRPr="00F92082" w:rsidRDefault="00291756">
      <w:pPr>
        <w:tabs>
          <w:tab w:val="left" w:pos="-720"/>
        </w:tabs>
        <w:suppressAutoHyphens/>
        <w:jc w:val="both"/>
        <w:rPr>
          <w:rFonts w:ascii="Arial" w:hAnsi="Arial"/>
          <w:spacing w:val="-2"/>
          <w:sz w:val="24"/>
          <w:lang w:val="fr-CA"/>
        </w:rPr>
      </w:pPr>
    </w:p>
    <w:p w:rsidR="00291756" w:rsidRPr="00F92082" w:rsidRDefault="00291756">
      <w:pPr>
        <w:tabs>
          <w:tab w:val="left" w:pos="-720"/>
          <w:tab w:val="left" w:pos="0"/>
        </w:tabs>
        <w:suppressAutoHyphens/>
        <w:ind w:left="2160" w:hanging="720"/>
        <w:jc w:val="both"/>
        <w:rPr>
          <w:rFonts w:ascii="Arial" w:hAnsi="Arial"/>
          <w:spacing w:val="-2"/>
          <w:sz w:val="24"/>
          <w:lang w:val="fr-CA"/>
        </w:rPr>
      </w:pPr>
      <w:r w:rsidRPr="00F92082">
        <w:rPr>
          <w:rFonts w:ascii="Arial" w:hAnsi="Arial"/>
          <w:spacing w:val="-2"/>
          <w:sz w:val="24"/>
          <w:lang w:val="fr-CA"/>
        </w:rPr>
        <w:tab/>
      </w:r>
      <w:r w:rsidR="006D3F7A" w:rsidRPr="00F92082">
        <w:rPr>
          <w:rFonts w:ascii="Arial" w:hAnsi="Arial"/>
          <w:spacing w:val="-2"/>
          <w:sz w:val="24"/>
          <w:lang w:val="fr-CA"/>
        </w:rPr>
        <w:t>Ne pas utiliser après la date de péremption.</w:t>
      </w:r>
      <w:r w:rsidR="00C17934">
        <w:rPr>
          <w:rFonts w:ascii="Arial" w:hAnsi="Arial"/>
          <w:spacing w:val="-2"/>
          <w:sz w:val="24"/>
          <w:lang w:val="fr-CA"/>
        </w:rPr>
        <w:t xml:space="preserve"> </w:t>
      </w:r>
      <w:r w:rsidR="006D3F7A" w:rsidRPr="00F92082">
        <w:rPr>
          <w:rFonts w:ascii="Arial" w:hAnsi="Arial"/>
          <w:spacing w:val="-2"/>
          <w:sz w:val="24"/>
          <w:lang w:val="fr-CA"/>
        </w:rPr>
        <w:t>Entreposer les cartes entre 2 °C et 25 °C. Entreposer les diluants et les globules rouges entre 2 °C et 8 °C. Amener les réactifs à la température ambiante (18 °C à 25 °C) avant l’utilisation.</w:t>
      </w:r>
    </w:p>
    <w:p w:rsidR="00291756" w:rsidRPr="00295CC6" w:rsidRDefault="00F60B68">
      <w:pPr>
        <w:rPr>
          <w:rFonts w:ascii="Arial" w:hAnsi="Arial"/>
          <w:sz w:val="24"/>
          <w:lang w:val="fr-CA"/>
        </w:rPr>
      </w:pPr>
      <w:r>
        <w:rPr>
          <w:rFonts w:ascii="Arial" w:hAnsi="Arial"/>
          <w:sz w:val="24"/>
          <w:lang w:val="fr-CA"/>
        </w:rPr>
        <w:br w:type="page"/>
      </w:r>
    </w:p>
    <w:p w:rsidR="00291756" w:rsidRPr="00F92082" w:rsidRDefault="006D3F7A">
      <w:pPr>
        <w:numPr>
          <w:ilvl w:val="0"/>
          <w:numId w:val="1"/>
        </w:numPr>
        <w:rPr>
          <w:rFonts w:ascii="Arial" w:hAnsi="Arial"/>
          <w:b/>
          <w:sz w:val="28"/>
          <w:lang w:val="fr-CA"/>
        </w:rPr>
      </w:pPr>
      <w:r w:rsidRPr="00F92082">
        <w:rPr>
          <w:rFonts w:ascii="Arial" w:hAnsi="Arial"/>
          <w:b/>
          <w:sz w:val="28"/>
          <w:lang w:val="fr-CA"/>
        </w:rPr>
        <w:t>Contrôle de la qualité</w:t>
      </w:r>
    </w:p>
    <w:p w:rsidR="00291756" w:rsidRPr="00F92082" w:rsidRDefault="00291756">
      <w:pPr>
        <w:rPr>
          <w:rFonts w:ascii="Arial" w:hAnsi="Arial"/>
          <w:b/>
          <w:sz w:val="24"/>
          <w:lang w:val="fr-CA"/>
        </w:rPr>
      </w:pPr>
    </w:p>
    <w:p w:rsidR="00291756" w:rsidRPr="00F92082" w:rsidRDefault="006D3F7A">
      <w:pPr>
        <w:numPr>
          <w:ilvl w:val="1"/>
          <w:numId w:val="1"/>
        </w:numPr>
        <w:tabs>
          <w:tab w:val="left" w:pos="-720"/>
          <w:tab w:val="left" w:pos="0"/>
        </w:tabs>
        <w:suppressAutoHyphens/>
        <w:jc w:val="both"/>
        <w:rPr>
          <w:rFonts w:ascii="Arial" w:hAnsi="Arial"/>
          <w:spacing w:val="-2"/>
          <w:sz w:val="24"/>
          <w:lang w:val="fr-CA"/>
        </w:rPr>
      </w:pPr>
      <w:r w:rsidRPr="00F92082">
        <w:rPr>
          <w:rFonts w:ascii="Arial" w:hAnsi="Arial"/>
          <w:spacing w:val="-2"/>
          <w:sz w:val="24"/>
          <w:lang w:val="fr-CA"/>
        </w:rPr>
        <w:t xml:space="preserve">Pour détecter la détérioration des réactifs, il faut </w:t>
      </w:r>
      <w:r w:rsidR="0052061A">
        <w:rPr>
          <w:rFonts w:ascii="Arial" w:hAnsi="Arial"/>
          <w:spacing w:val="-2"/>
          <w:sz w:val="24"/>
          <w:lang w:val="fr-CA"/>
        </w:rPr>
        <w:t xml:space="preserve">les </w:t>
      </w:r>
      <w:r w:rsidRPr="00F92082">
        <w:rPr>
          <w:rFonts w:ascii="Arial" w:hAnsi="Arial"/>
          <w:spacing w:val="-2"/>
          <w:sz w:val="24"/>
          <w:lang w:val="fr-CA"/>
        </w:rPr>
        <w:t>soumettre à des témoins appropriés sur une base quotidienne.</w:t>
      </w:r>
      <w:r w:rsidR="00C17934">
        <w:rPr>
          <w:rFonts w:ascii="Arial" w:hAnsi="Arial"/>
          <w:spacing w:val="-2"/>
          <w:sz w:val="24"/>
          <w:lang w:val="fr-CA"/>
        </w:rPr>
        <w:t xml:space="preserve"> </w:t>
      </w:r>
    </w:p>
    <w:p w:rsidR="00291756" w:rsidRPr="00F92082" w:rsidRDefault="00291756">
      <w:pPr>
        <w:tabs>
          <w:tab w:val="left" w:pos="-720"/>
          <w:tab w:val="left" w:pos="0"/>
        </w:tabs>
        <w:suppressAutoHyphens/>
        <w:jc w:val="both"/>
        <w:rPr>
          <w:rFonts w:ascii="Arial" w:hAnsi="Arial"/>
          <w:spacing w:val="-2"/>
          <w:sz w:val="24"/>
          <w:lang w:val="fr-CA"/>
        </w:rPr>
      </w:pPr>
    </w:p>
    <w:p w:rsidR="00FC7654" w:rsidRDefault="00F92082" w:rsidP="00FC7654">
      <w:pPr>
        <w:numPr>
          <w:ilvl w:val="1"/>
          <w:numId w:val="12"/>
        </w:numPr>
        <w:tabs>
          <w:tab w:val="clear" w:pos="1080"/>
          <w:tab w:val="num" w:pos="1418"/>
        </w:tabs>
        <w:ind w:left="1418" w:hanging="698"/>
        <w:rPr>
          <w:rFonts w:ascii="Arial" w:hAnsi="Arial"/>
          <w:sz w:val="24"/>
          <w:lang w:val="fr-CA"/>
        </w:rPr>
      </w:pPr>
      <w:r>
        <w:rPr>
          <w:rFonts w:ascii="Arial" w:hAnsi="Arial"/>
          <w:spacing w:val="-2"/>
          <w:sz w:val="24"/>
          <w:lang w:val="fr-CA"/>
        </w:rPr>
        <w:t>I</w:t>
      </w:r>
      <w:r w:rsidR="006D3F7A" w:rsidRPr="00F92082">
        <w:rPr>
          <w:rFonts w:ascii="Arial" w:hAnsi="Arial"/>
          <w:spacing w:val="-2"/>
          <w:sz w:val="24"/>
          <w:lang w:val="fr-CA"/>
        </w:rPr>
        <w:t>l faut inspecter à l</w:t>
      </w:r>
      <w:r w:rsidR="00714D4A">
        <w:rPr>
          <w:rFonts w:ascii="Arial" w:hAnsi="Arial"/>
          <w:spacing w:val="-2"/>
          <w:sz w:val="24"/>
          <w:lang w:val="fr-CA"/>
        </w:rPr>
        <w:t>’</w:t>
      </w:r>
      <w:r w:rsidR="006D3F7A" w:rsidRPr="00F92082">
        <w:rPr>
          <w:rFonts w:ascii="Arial" w:hAnsi="Arial"/>
          <w:spacing w:val="-2"/>
          <w:sz w:val="24"/>
          <w:lang w:val="fr-CA"/>
        </w:rPr>
        <w:t xml:space="preserve">œil nu le </w:t>
      </w:r>
      <w:r w:rsidRPr="00F92082">
        <w:rPr>
          <w:rFonts w:ascii="Arial" w:hAnsi="Arial"/>
          <w:spacing w:val="-2"/>
          <w:sz w:val="24"/>
          <w:lang w:val="fr-CA"/>
        </w:rPr>
        <w:t>MTS</w:t>
      </w:r>
      <w:r w:rsidR="006D3F7A" w:rsidRPr="00F92082">
        <w:rPr>
          <w:rFonts w:ascii="Arial" w:hAnsi="Arial"/>
          <w:spacing w:val="-2"/>
          <w:sz w:val="24"/>
          <w:lang w:val="fr-CA"/>
        </w:rPr>
        <w:t xml:space="preserve"> </w:t>
      </w:r>
      <w:r w:rsidRPr="00F92082">
        <w:rPr>
          <w:rFonts w:ascii="Arial" w:hAnsi="Arial"/>
          <w:spacing w:val="-2"/>
          <w:sz w:val="24"/>
          <w:lang w:val="fr-CA"/>
        </w:rPr>
        <w:t>D</w:t>
      </w:r>
      <w:r w:rsidR="006D3F7A" w:rsidRPr="00F92082">
        <w:rPr>
          <w:rFonts w:ascii="Arial" w:hAnsi="Arial"/>
          <w:spacing w:val="-2"/>
          <w:sz w:val="24"/>
          <w:lang w:val="fr-CA"/>
        </w:rPr>
        <w:t>iluent</w:t>
      </w:r>
      <w:r w:rsidR="00714D4A">
        <w:rPr>
          <w:rFonts w:ascii="Arial" w:hAnsi="Arial"/>
          <w:spacing w:val="-2"/>
          <w:sz w:val="24"/>
          <w:lang w:val="fr-CA"/>
        </w:rPr>
        <w:t> </w:t>
      </w:r>
      <w:r w:rsidR="006D3F7A" w:rsidRPr="00F92082">
        <w:rPr>
          <w:rFonts w:ascii="Arial" w:hAnsi="Arial"/>
          <w:spacing w:val="-2"/>
          <w:sz w:val="24"/>
          <w:lang w:val="fr-CA"/>
        </w:rPr>
        <w:t>2</w:t>
      </w:r>
      <w:r w:rsidR="006D3F7A" w:rsidRPr="00F92082">
        <w:rPr>
          <w:rFonts w:ascii="Arial" w:hAnsi="Arial"/>
          <w:spacing w:val="-2"/>
          <w:sz w:val="24"/>
          <w:vertAlign w:val="superscript"/>
          <w:lang w:val="fr-CA"/>
        </w:rPr>
        <w:t>MD</w:t>
      </w:r>
      <w:r w:rsidR="006D3F7A" w:rsidRPr="00F92082">
        <w:rPr>
          <w:rFonts w:ascii="Arial" w:hAnsi="Arial"/>
          <w:spacing w:val="-2"/>
          <w:sz w:val="24"/>
          <w:lang w:val="fr-CA"/>
        </w:rPr>
        <w:t xml:space="preserve"> pour s</w:t>
      </w:r>
      <w:r w:rsidR="00714D4A">
        <w:rPr>
          <w:rFonts w:ascii="Arial" w:hAnsi="Arial"/>
          <w:spacing w:val="-2"/>
          <w:sz w:val="24"/>
          <w:lang w:val="fr-CA"/>
        </w:rPr>
        <w:t>’</w:t>
      </w:r>
      <w:r w:rsidR="006D3F7A" w:rsidRPr="00F92082">
        <w:rPr>
          <w:rFonts w:ascii="Arial" w:hAnsi="Arial"/>
          <w:spacing w:val="-2"/>
          <w:sz w:val="24"/>
          <w:lang w:val="fr-CA"/>
        </w:rPr>
        <w:t>assurer qu</w:t>
      </w:r>
      <w:r w:rsidR="00714D4A">
        <w:rPr>
          <w:rFonts w:ascii="Arial" w:hAnsi="Arial"/>
          <w:spacing w:val="-2"/>
          <w:sz w:val="24"/>
          <w:lang w:val="fr-CA"/>
        </w:rPr>
        <w:t>’</w:t>
      </w:r>
      <w:r w:rsidR="006D3F7A" w:rsidRPr="00F92082">
        <w:rPr>
          <w:rFonts w:ascii="Arial" w:hAnsi="Arial"/>
          <w:spacing w:val="-2"/>
          <w:sz w:val="24"/>
          <w:lang w:val="fr-CA"/>
        </w:rPr>
        <w:t>il n</w:t>
      </w:r>
      <w:r w:rsidR="00714D4A">
        <w:rPr>
          <w:rFonts w:ascii="Arial" w:hAnsi="Arial"/>
          <w:spacing w:val="-2"/>
          <w:sz w:val="24"/>
          <w:lang w:val="fr-CA"/>
        </w:rPr>
        <w:t>’</w:t>
      </w:r>
      <w:r w:rsidR="006D3F7A" w:rsidRPr="00F92082">
        <w:rPr>
          <w:rFonts w:ascii="Arial" w:hAnsi="Arial"/>
          <w:spacing w:val="-2"/>
          <w:sz w:val="24"/>
          <w:lang w:val="fr-CA"/>
        </w:rPr>
        <w:t xml:space="preserve">y a </w:t>
      </w:r>
      <w:r w:rsidR="0052061A">
        <w:rPr>
          <w:rFonts w:ascii="Arial" w:hAnsi="Arial"/>
          <w:spacing w:val="-2"/>
          <w:sz w:val="24"/>
          <w:lang w:val="fr-CA"/>
        </w:rPr>
        <w:t xml:space="preserve">ni </w:t>
      </w:r>
      <w:r w:rsidR="006D3F7A" w:rsidRPr="00F92082">
        <w:rPr>
          <w:rFonts w:ascii="Arial" w:hAnsi="Arial"/>
          <w:spacing w:val="-2"/>
          <w:sz w:val="24"/>
          <w:lang w:val="fr-CA"/>
        </w:rPr>
        <w:t xml:space="preserve">décoloration, </w:t>
      </w:r>
      <w:r w:rsidR="0052061A">
        <w:rPr>
          <w:rFonts w:ascii="Arial" w:hAnsi="Arial"/>
          <w:spacing w:val="-2"/>
          <w:sz w:val="24"/>
          <w:lang w:val="fr-CA"/>
        </w:rPr>
        <w:t xml:space="preserve">ni </w:t>
      </w:r>
      <w:r w:rsidR="006D3F7A" w:rsidRPr="00F92082">
        <w:rPr>
          <w:rFonts w:ascii="Arial" w:hAnsi="Arial"/>
          <w:spacing w:val="-2"/>
          <w:sz w:val="24"/>
          <w:lang w:val="fr-CA"/>
        </w:rPr>
        <w:t>turbidité</w:t>
      </w:r>
      <w:r w:rsidR="0052061A">
        <w:rPr>
          <w:rFonts w:ascii="Arial" w:hAnsi="Arial"/>
          <w:spacing w:val="-2"/>
          <w:sz w:val="24"/>
          <w:lang w:val="fr-CA"/>
        </w:rPr>
        <w:t>,</w:t>
      </w:r>
      <w:r w:rsidR="006D3F7A" w:rsidRPr="00F92082">
        <w:rPr>
          <w:rFonts w:ascii="Arial" w:hAnsi="Arial"/>
          <w:spacing w:val="-2"/>
          <w:sz w:val="24"/>
          <w:lang w:val="fr-CA"/>
        </w:rPr>
        <w:t xml:space="preserve"> </w:t>
      </w:r>
      <w:r w:rsidR="0052061A">
        <w:rPr>
          <w:rFonts w:ascii="Arial" w:hAnsi="Arial"/>
          <w:spacing w:val="-2"/>
          <w:sz w:val="24"/>
          <w:lang w:val="fr-CA"/>
        </w:rPr>
        <w:t>ni autre</w:t>
      </w:r>
      <w:r w:rsidR="006D3F7A" w:rsidRPr="00F92082">
        <w:rPr>
          <w:rFonts w:ascii="Arial" w:hAnsi="Arial"/>
          <w:spacing w:val="-2"/>
          <w:sz w:val="24"/>
          <w:lang w:val="fr-CA"/>
        </w:rPr>
        <w:t xml:space="preserve"> signe de contamination bactérienne au niveau du liquide.</w:t>
      </w:r>
      <w:r w:rsidR="00C17934">
        <w:rPr>
          <w:rFonts w:ascii="Arial" w:hAnsi="Arial"/>
          <w:spacing w:val="-2"/>
          <w:sz w:val="24"/>
          <w:lang w:val="fr-CA"/>
        </w:rPr>
        <w:t xml:space="preserve"> </w:t>
      </w:r>
      <w:r w:rsidR="00FC7654" w:rsidRPr="00CA6B76">
        <w:rPr>
          <w:rFonts w:ascii="Arial" w:hAnsi="Arial"/>
          <w:sz w:val="24"/>
          <w:lang w:val="fr-CA"/>
        </w:rPr>
        <w:t>Les globules rouges doivent être en suspension dans le MTS Diluent</w:t>
      </w:r>
      <w:r w:rsidR="00FC7654">
        <w:rPr>
          <w:rFonts w:ascii="Arial" w:hAnsi="Arial"/>
          <w:sz w:val="24"/>
          <w:lang w:val="fr-CA"/>
        </w:rPr>
        <w:t> </w:t>
      </w:r>
      <w:r w:rsidR="00FC7654" w:rsidRPr="00CA6B76">
        <w:rPr>
          <w:rFonts w:ascii="Arial" w:hAnsi="Arial"/>
          <w:sz w:val="24"/>
          <w:lang w:val="fr-CA"/>
        </w:rPr>
        <w:t>2 Plus</w:t>
      </w:r>
      <w:r w:rsidR="00FC7654" w:rsidRPr="00CA6B76">
        <w:rPr>
          <w:rFonts w:ascii="Arial" w:hAnsi="Arial"/>
          <w:sz w:val="24"/>
          <w:vertAlign w:val="superscript"/>
          <w:lang w:val="fr-CA"/>
        </w:rPr>
        <w:t>MC</w:t>
      </w:r>
      <w:r w:rsidR="00FC7654" w:rsidRPr="00CA6B76">
        <w:rPr>
          <w:rFonts w:ascii="Arial" w:hAnsi="Arial"/>
          <w:sz w:val="24"/>
          <w:lang w:val="fr-CA"/>
        </w:rPr>
        <w:t>; il peut aussi s’agir de globules rouges commerciaux à 0,8 % dans une solution à faible concentration ionique dont l’usage avec le système ID-Micro Typing</w:t>
      </w:r>
      <w:r w:rsidR="00FC7654" w:rsidRPr="00CA6B76">
        <w:rPr>
          <w:rFonts w:ascii="Arial" w:hAnsi="Arial"/>
          <w:sz w:val="24"/>
          <w:vertAlign w:val="superscript"/>
          <w:lang w:val="fr-CA"/>
        </w:rPr>
        <w:t>MC</w:t>
      </w:r>
      <w:r w:rsidR="00FC7654" w:rsidRPr="00CA6B76">
        <w:rPr>
          <w:rFonts w:ascii="Arial" w:hAnsi="Arial"/>
          <w:sz w:val="24"/>
          <w:lang w:val="fr-CA"/>
        </w:rPr>
        <w:t xml:space="preserve"> est approu</w:t>
      </w:r>
      <w:r w:rsidR="00FC7654">
        <w:rPr>
          <w:rFonts w:ascii="Arial" w:hAnsi="Arial"/>
          <w:sz w:val="24"/>
          <w:lang w:val="fr-CA"/>
        </w:rPr>
        <w:t>vé.</w:t>
      </w:r>
    </w:p>
    <w:p w:rsidR="00291756" w:rsidRPr="00295CC6" w:rsidRDefault="00291756">
      <w:pPr>
        <w:tabs>
          <w:tab w:val="left" w:pos="-720"/>
          <w:tab w:val="left" w:pos="0"/>
        </w:tabs>
        <w:suppressAutoHyphens/>
        <w:jc w:val="both"/>
        <w:rPr>
          <w:rFonts w:ascii="Arial" w:hAnsi="Arial"/>
          <w:spacing w:val="-2"/>
          <w:sz w:val="24"/>
          <w:lang w:val="fr-CA"/>
        </w:rPr>
      </w:pPr>
    </w:p>
    <w:p w:rsidR="00291756" w:rsidRPr="00295CC6" w:rsidRDefault="00291756" w:rsidP="00BE3AC1">
      <w:pPr>
        <w:numPr>
          <w:ilvl w:val="1"/>
          <w:numId w:val="8"/>
        </w:numPr>
        <w:tabs>
          <w:tab w:val="clear" w:pos="1080"/>
          <w:tab w:val="left" w:pos="-720"/>
          <w:tab w:val="left" w:pos="0"/>
          <w:tab w:val="num" w:pos="1418"/>
        </w:tabs>
        <w:suppressAutoHyphens/>
        <w:ind w:left="1418" w:hanging="709"/>
        <w:jc w:val="both"/>
        <w:rPr>
          <w:rFonts w:ascii="Arial" w:hAnsi="Arial"/>
          <w:spacing w:val="-2"/>
          <w:sz w:val="24"/>
          <w:lang w:val="fr-CA"/>
        </w:rPr>
      </w:pPr>
      <w:r w:rsidRPr="00295CC6">
        <w:rPr>
          <w:rFonts w:ascii="Arial" w:hAnsi="Arial"/>
          <w:spacing w:val="-2"/>
          <w:sz w:val="24"/>
          <w:lang w:val="fr-CA"/>
        </w:rPr>
        <w:tab/>
      </w:r>
      <w:r w:rsidR="00F92082" w:rsidRPr="00F92082">
        <w:rPr>
          <w:rFonts w:ascii="Arial" w:hAnsi="Arial"/>
          <w:spacing w:val="-2"/>
          <w:sz w:val="24"/>
          <w:lang w:val="fr-CA"/>
        </w:rPr>
        <w:t>Pour confirmer la spécificité et la réactivité des cartes anti-IgG MTS, on recommande de tester chaque lot à chaque jour d’utilisation avec des échantillons d’anticorps positifs et négatifs connus et les globules rouges appropriés. Il doit y avoir réactivité uniquement avec les échantillons positifs</w:t>
      </w:r>
      <w:r w:rsidR="00BA37C8">
        <w:rPr>
          <w:rFonts w:ascii="Arial" w:hAnsi="Arial"/>
          <w:spacing w:val="-2"/>
          <w:sz w:val="24"/>
          <w:lang w:val="fr-CA"/>
        </w:rPr>
        <w:t>.</w:t>
      </w:r>
    </w:p>
    <w:p w:rsidR="00291756" w:rsidRPr="00295CC6" w:rsidRDefault="00291756">
      <w:pPr>
        <w:rPr>
          <w:rFonts w:ascii="Arial" w:hAnsi="Arial"/>
          <w:sz w:val="24"/>
          <w:lang w:val="fr-CA"/>
        </w:rPr>
      </w:pPr>
    </w:p>
    <w:p w:rsidR="00291756" w:rsidRPr="00BE3AC1" w:rsidRDefault="00291756">
      <w:pPr>
        <w:numPr>
          <w:ilvl w:val="1"/>
          <w:numId w:val="8"/>
        </w:numPr>
        <w:rPr>
          <w:rFonts w:ascii="Arial" w:hAnsi="Arial"/>
          <w:sz w:val="24"/>
          <w:lang w:val="fr-CA"/>
        </w:rPr>
      </w:pPr>
      <w:r w:rsidRPr="00295CC6">
        <w:rPr>
          <w:rFonts w:ascii="Arial" w:hAnsi="Arial"/>
          <w:sz w:val="24"/>
          <w:lang w:val="fr-CA"/>
        </w:rPr>
        <w:t xml:space="preserve"> </w:t>
      </w:r>
      <w:r w:rsidRPr="00295CC6">
        <w:rPr>
          <w:rFonts w:ascii="Arial" w:hAnsi="Arial"/>
          <w:sz w:val="24"/>
          <w:lang w:val="fr-CA"/>
        </w:rPr>
        <w:tab/>
      </w:r>
      <w:r w:rsidR="00BE3AC1" w:rsidRPr="00BE3AC1">
        <w:rPr>
          <w:rFonts w:ascii="Arial" w:hAnsi="Arial"/>
          <w:sz w:val="24"/>
          <w:lang w:val="fr-CA"/>
        </w:rPr>
        <w:t>Ne pas congeler ou exposer les cartes à une chaleur excessive.</w:t>
      </w:r>
      <w:r w:rsidRPr="00BE3AC1">
        <w:rPr>
          <w:rFonts w:ascii="Arial" w:hAnsi="Arial"/>
          <w:sz w:val="24"/>
          <w:lang w:val="fr-CA"/>
        </w:rPr>
        <w:t xml:space="preserve"> </w:t>
      </w:r>
    </w:p>
    <w:p w:rsidR="00291756" w:rsidRPr="00BE3AC1" w:rsidRDefault="00F92082">
      <w:pPr>
        <w:ind w:left="1440"/>
        <w:rPr>
          <w:rFonts w:ascii="Arial" w:hAnsi="Arial"/>
          <w:sz w:val="24"/>
          <w:lang w:val="fr-CA"/>
        </w:rPr>
      </w:pPr>
      <w:r w:rsidRPr="00BE3AC1">
        <w:rPr>
          <w:rFonts w:ascii="Arial" w:hAnsi="Arial"/>
          <w:sz w:val="24"/>
          <w:lang w:val="fr-CA"/>
        </w:rPr>
        <w:t>E</w:t>
      </w:r>
      <w:r w:rsidR="006D3F7A" w:rsidRPr="00BE3AC1">
        <w:rPr>
          <w:rFonts w:ascii="Arial" w:hAnsi="Arial"/>
          <w:sz w:val="24"/>
          <w:lang w:val="fr-CA"/>
        </w:rPr>
        <w:t>ntreposer en position verticale entre 2 et 25 °</w:t>
      </w:r>
      <w:r w:rsidRPr="00BE3AC1">
        <w:rPr>
          <w:rFonts w:ascii="Arial" w:hAnsi="Arial"/>
          <w:sz w:val="24"/>
          <w:lang w:val="fr-CA"/>
        </w:rPr>
        <w:t>C</w:t>
      </w:r>
      <w:r w:rsidR="006D3F7A" w:rsidRPr="00BE3AC1">
        <w:rPr>
          <w:rFonts w:ascii="Arial" w:hAnsi="Arial"/>
          <w:sz w:val="24"/>
          <w:lang w:val="fr-CA"/>
        </w:rPr>
        <w:t xml:space="preserve">. </w:t>
      </w:r>
      <w:r w:rsidRPr="00BE3AC1">
        <w:rPr>
          <w:rFonts w:ascii="Arial" w:hAnsi="Arial"/>
          <w:sz w:val="24"/>
          <w:lang w:val="fr-CA"/>
        </w:rPr>
        <w:t>S</w:t>
      </w:r>
      <w:r w:rsidR="006D3F7A" w:rsidRPr="00BE3AC1">
        <w:rPr>
          <w:rFonts w:ascii="Arial" w:hAnsi="Arial"/>
          <w:sz w:val="24"/>
          <w:lang w:val="fr-CA"/>
        </w:rPr>
        <w:t>i les cartes n</w:t>
      </w:r>
      <w:r w:rsidR="00714D4A">
        <w:rPr>
          <w:rFonts w:ascii="Arial" w:hAnsi="Arial"/>
          <w:sz w:val="24"/>
          <w:lang w:val="fr-CA"/>
        </w:rPr>
        <w:t>’</w:t>
      </w:r>
      <w:r w:rsidR="006D3F7A" w:rsidRPr="00BE3AC1">
        <w:rPr>
          <w:rFonts w:ascii="Arial" w:hAnsi="Arial"/>
          <w:sz w:val="24"/>
          <w:lang w:val="fr-CA"/>
        </w:rPr>
        <w:t>ont pas été entreposées en position verticale, il faut les centrifuger avant l</w:t>
      </w:r>
      <w:r w:rsidR="00714D4A">
        <w:rPr>
          <w:rFonts w:ascii="Arial" w:hAnsi="Arial"/>
          <w:sz w:val="24"/>
          <w:lang w:val="fr-CA"/>
        </w:rPr>
        <w:t>’</w:t>
      </w:r>
      <w:r w:rsidR="006D3F7A" w:rsidRPr="00BE3AC1">
        <w:rPr>
          <w:rFonts w:ascii="Arial" w:hAnsi="Arial"/>
          <w:sz w:val="24"/>
          <w:lang w:val="fr-CA"/>
        </w:rPr>
        <w:t>utilisation.</w:t>
      </w:r>
    </w:p>
    <w:p w:rsidR="00291756" w:rsidRPr="00295CC6" w:rsidRDefault="00291756">
      <w:pPr>
        <w:ind w:left="720"/>
        <w:rPr>
          <w:rFonts w:ascii="Arial" w:hAnsi="Arial"/>
          <w:sz w:val="24"/>
          <w:lang w:val="fr-CA"/>
        </w:rPr>
      </w:pPr>
    </w:p>
    <w:p w:rsidR="00291756" w:rsidRPr="00BE3AC1" w:rsidRDefault="00291756" w:rsidP="00BE3AC1">
      <w:pPr>
        <w:numPr>
          <w:ilvl w:val="1"/>
          <w:numId w:val="8"/>
        </w:numPr>
        <w:tabs>
          <w:tab w:val="clear" w:pos="1080"/>
          <w:tab w:val="num" w:pos="1418"/>
        </w:tabs>
        <w:ind w:left="1418" w:hanging="709"/>
        <w:rPr>
          <w:rFonts w:ascii="Arial" w:hAnsi="Arial"/>
          <w:sz w:val="24"/>
          <w:lang w:val="fr-CA"/>
        </w:rPr>
      </w:pPr>
      <w:r w:rsidRPr="00295CC6">
        <w:rPr>
          <w:rFonts w:ascii="Arial" w:hAnsi="Arial"/>
          <w:sz w:val="24"/>
          <w:lang w:val="fr-CA"/>
        </w:rPr>
        <w:t xml:space="preserve"> </w:t>
      </w:r>
      <w:r w:rsidR="006D3F7A" w:rsidRPr="00BE3AC1">
        <w:rPr>
          <w:rFonts w:ascii="Arial" w:hAnsi="Arial"/>
          <w:sz w:val="24"/>
          <w:lang w:val="fr-CA"/>
        </w:rPr>
        <w:t xml:space="preserve">Ne pas utiliser les cartes qui présentent des signes de </w:t>
      </w:r>
      <w:r w:rsidR="00BE3AC1" w:rsidRPr="00BE3AC1">
        <w:rPr>
          <w:rFonts w:ascii="Arial" w:hAnsi="Arial"/>
          <w:sz w:val="24"/>
          <w:lang w:val="fr-CA"/>
        </w:rPr>
        <w:t>d</w:t>
      </w:r>
      <w:r w:rsidR="006D3F7A" w:rsidRPr="00BE3AC1">
        <w:rPr>
          <w:rFonts w:ascii="Arial" w:hAnsi="Arial"/>
          <w:sz w:val="24"/>
          <w:lang w:val="fr-CA"/>
        </w:rPr>
        <w:t>essiccation.</w:t>
      </w:r>
      <w:r w:rsidR="00C17934">
        <w:rPr>
          <w:rFonts w:ascii="Arial" w:hAnsi="Arial"/>
          <w:sz w:val="24"/>
          <w:lang w:val="fr-CA"/>
        </w:rPr>
        <w:t xml:space="preserve"> </w:t>
      </w:r>
      <w:r w:rsidR="00BE3AC1">
        <w:rPr>
          <w:rFonts w:ascii="Arial" w:hAnsi="Arial"/>
          <w:sz w:val="24"/>
          <w:lang w:val="fr-CA"/>
        </w:rPr>
        <w:t>I</w:t>
      </w:r>
      <w:r w:rsidR="00BE3AC1" w:rsidRPr="00BE3AC1">
        <w:rPr>
          <w:rFonts w:ascii="Arial" w:hAnsi="Arial"/>
          <w:sz w:val="24"/>
          <w:lang w:val="fr-CA"/>
        </w:rPr>
        <w:t>l doit y avoir une couche liquide par-dessus le gel dans chaque microtube</w:t>
      </w:r>
      <w:r w:rsidRPr="00BE3AC1">
        <w:rPr>
          <w:rFonts w:ascii="Arial" w:hAnsi="Arial"/>
          <w:sz w:val="24"/>
          <w:lang w:val="fr-CA"/>
        </w:rPr>
        <w:t>.</w:t>
      </w:r>
    </w:p>
    <w:p w:rsidR="00291756" w:rsidRPr="00295CC6" w:rsidRDefault="00291756">
      <w:pPr>
        <w:ind w:left="720"/>
        <w:rPr>
          <w:rFonts w:ascii="Arial" w:hAnsi="Arial"/>
          <w:sz w:val="24"/>
          <w:lang w:val="fr-CA"/>
        </w:rPr>
      </w:pPr>
    </w:p>
    <w:p w:rsidR="00291756" w:rsidRPr="00C17934" w:rsidRDefault="00291756" w:rsidP="00BE3AC1">
      <w:pPr>
        <w:numPr>
          <w:ilvl w:val="1"/>
          <w:numId w:val="8"/>
        </w:numPr>
        <w:tabs>
          <w:tab w:val="clear" w:pos="1080"/>
          <w:tab w:val="num" w:pos="1418"/>
        </w:tabs>
        <w:ind w:left="1418" w:hanging="709"/>
        <w:rPr>
          <w:rFonts w:ascii="Arial" w:hAnsi="Arial"/>
          <w:sz w:val="24"/>
          <w:lang w:val="fr-CA"/>
        </w:rPr>
      </w:pPr>
      <w:r w:rsidRPr="00C17934">
        <w:rPr>
          <w:rFonts w:ascii="Arial" w:hAnsi="Arial"/>
          <w:sz w:val="24"/>
          <w:lang w:val="fr-CA"/>
        </w:rPr>
        <w:t xml:space="preserve"> </w:t>
      </w:r>
      <w:r w:rsidR="00BE3AC1" w:rsidRPr="00C17934">
        <w:rPr>
          <w:rFonts w:ascii="Arial" w:hAnsi="Arial"/>
          <w:sz w:val="24"/>
          <w:lang w:val="fr-CA"/>
        </w:rPr>
        <w:t>Ne pas utiliser les cartes en cas de décoloration ou de présence de bulles ou de cristaux dans les microtube</w:t>
      </w:r>
      <w:r w:rsidRPr="00C17934">
        <w:rPr>
          <w:rFonts w:ascii="Arial" w:hAnsi="Arial"/>
          <w:sz w:val="24"/>
          <w:lang w:val="fr-CA"/>
        </w:rPr>
        <w:t>s.</w:t>
      </w:r>
    </w:p>
    <w:p w:rsidR="00291756" w:rsidRPr="00C17934" w:rsidRDefault="00291756" w:rsidP="00BE3AC1">
      <w:pPr>
        <w:ind w:left="709"/>
        <w:rPr>
          <w:rFonts w:ascii="Arial" w:hAnsi="Arial"/>
          <w:sz w:val="24"/>
          <w:lang w:val="fr-CA"/>
        </w:rPr>
      </w:pPr>
    </w:p>
    <w:p w:rsidR="00291756" w:rsidRPr="00C17934" w:rsidRDefault="00291756" w:rsidP="00BE3AC1">
      <w:pPr>
        <w:numPr>
          <w:ilvl w:val="1"/>
          <w:numId w:val="8"/>
        </w:numPr>
        <w:tabs>
          <w:tab w:val="clear" w:pos="1080"/>
          <w:tab w:val="num" w:pos="1418"/>
        </w:tabs>
        <w:ind w:left="1418" w:hanging="709"/>
        <w:rPr>
          <w:rFonts w:ascii="Arial" w:hAnsi="Arial"/>
          <w:sz w:val="24"/>
          <w:lang w:val="fr-CA"/>
        </w:rPr>
      </w:pPr>
      <w:r w:rsidRPr="00C17934">
        <w:rPr>
          <w:rFonts w:ascii="Arial" w:hAnsi="Arial"/>
          <w:sz w:val="24"/>
          <w:lang w:val="fr-CA"/>
        </w:rPr>
        <w:tab/>
      </w:r>
      <w:r w:rsidR="00BE3AC1" w:rsidRPr="00C17934">
        <w:rPr>
          <w:rFonts w:ascii="Arial" w:hAnsi="Arial"/>
          <w:sz w:val="24"/>
          <w:lang w:val="fr-CA"/>
        </w:rPr>
        <w:t>Ne pas utiliser les cartes de microtubes si l</w:t>
      </w:r>
      <w:r w:rsidR="00714D4A">
        <w:rPr>
          <w:rFonts w:ascii="Arial" w:hAnsi="Arial"/>
          <w:sz w:val="24"/>
          <w:lang w:val="fr-CA"/>
        </w:rPr>
        <w:t>’</w:t>
      </w:r>
      <w:r w:rsidR="00BE3AC1" w:rsidRPr="00C17934">
        <w:rPr>
          <w:rFonts w:ascii="Arial" w:hAnsi="Arial"/>
          <w:sz w:val="24"/>
          <w:lang w:val="fr-CA"/>
        </w:rPr>
        <w:t>opercule du microtube semble endommagé ou ouvert</w:t>
      </w:r>
      <w:r w:rsidRPr="00C17934">
        <w:rPr>
          <w:rFonts w:ascii="Arial" w:hAnsi="Arial"/>
          <w:sz w:val="24"/>
          <w:lang w:val="fr-CA"/>
        </w:rPr>
        <w:t>.</w:t>
      </w:r>
    </w:p>
    <w:p w:rsidR="00291756" w:rsidRPr="00C17934" w:rsidRDefault="00291756">
      <w:pPr>
        <w:ind w:left="720"/>
        <w:rPr>
          <w:rFonts w:ascii="Arial" w:hAnsi="Arial"/>
          <w:sz w:val="24"/>
          <w:lang w:val="fr-CA"/>
        </w:rPr>
      </w:pPr>
    </w:p>
    <w:p w:rsidR="00291756" w:rsidRPr="00C17934" w:rsidRDefault="00291756" w:rsidP="00BE3AC1">
      <w:pPr>
        <w:numPr>
          <w:ilvl w:val="1"/>
          <w:numId w:val="8"/>
        </w:numPr>
        <w:tabs>
          <w:tab w:val="clear" w:pos="1080"/>
          <w:tab w:val="num" w:pos="1418"/>
        </w:tabs>
        <w:ind w:left="1418" w:hanging="698"/>
        <w:rPr>
          <w:rFonts w:ascii="Arial" w:hAnsi="Arial"/>
          <w:sz w:val="24"/>
          <w:lang w:val="fr-CA"/>
        </w:rPr>
      </w:pPr>
      <w:r w:rsidRPr="00C17934">
        <w:rPr>
          <w:rFonts w:ascii="Arial" w:hAnsi="Arial"/>
          <w:sz w:val="24"/>
          <w:lang w:val="fr-CA"/>
        </w:rPr>
        <w:tab/>
      </w:r>
      <w:r w:rsidR="006D3F7A" w:rsidRPr="00C17934">
        <w:rPr>
          <w:rFonts w:ascii="Arial" w:hAnsi="Arial"/>
          <w:sz w:val="24"/>
          <w:lang w:val="fr-CA"/>
        </w:rPr>
        <w:t>Ne pas enlever l</w:t>
      </w:r>
      <w:r w:rsidR="00714D4A">
        <w:rPr>
          <w:rFonts w:ascii="Arial" w:hAnsi="Arial"/>
          <w:sz w:val="24"/>
          <w:lang w:val="fr-CA"/>
        </w:rPr>
        <w:t>’</w:t>
      </w:r>
      <w:r w:rsidR="006D3F7A" w:rsidRPr="00C17934">
        <w:rPr>
          <w:rFonts w:ascii="Arial" w:hAnsi="Arial"/>
          <w:sz w:val="24"/>
          <w:lang w:val="fr-CA"/>
        </w:rPr>
        <w:t>opercule en aluminium des microtubes avant l</w:t>
      </w:r>
      <w:r w:rsidR="00714D4A">
        <w:rPr>
          <w:rFonts w:ascii="Arial" w:hAnsi="Arial"/>
          <w:sz w:val="24"/>
          <w:lang w:val="fr-CA"/>
        </w:rPr>
        <w:t>’</w:t>
      </w:r>
      <w:r w:rsidR="006D3F7A" w:rsidRPr="00C17934">
        <w:rPr>
          <w:rFonts w:ascii="Arial" w:hAnsi="Arial"/>
          <w:sz w:val="24"/>
          <w:lang w:val="fr-CA"/>
        </w:rPr>
        <w:t>utilisation.</w:t>
      </w:r>
    </w:p>
    <w:p w:rsidR="00291756" w:rsidRPr="00295CC6" w:rsidRDefault="00291756">
      <w:pPr>
        <w:ind w:left="720"/>
        <w:rPr>
          <w:rFonts w:ascii="Arial" w:hAnsi="Arial"/>
          <w:sz w:val="24"/>
          <w:lang w:val="fr-CA"/>
        </w:rPr>
      </w:pPr>
    </w:p>
    <w:p w:rsidR="00291756" w:rsidRPr="00C17934" w:rsidRDefault="00291756" w:rsidP="00C17934">
      <w:pPr>
        <w:numPr>
          <w:ilvl w:val="1"/>
          <w:numId w:val="8"/>
        </w:numPr>
        <w:tabs>
          <w:tab w:val="clear" w:pos="1080"/>
          <w:tab w:val="num" w:pos="1418"/>
        </w:tabs>
        <w:ind w:left="1418" w:hanging="709"/>
        <w:rPr>
          <w:rFonts w:ascii="Arial" w:hAnsi="Arial"/>
          <w:sz w:val="24"/>
          <w:lang w:val="fr-CA"/>
        </w:rPr>
      </w:pPr>
      <w:r w:rsidRPr="00C17934">
        <w:rPr>
          <w:rFonts w:ascii="Arial" w:hAnsi="Arial"/>
          <w:sz w:val="24"/>
          <w:lang w:val="fr-CA"/>
        </w:rPr>
        <w:tab/>
      </w:r>
      <w:r w:rsidR="00C17934" w:rsidRPr="00C17934">
        <w:rPr>
          <w:rFonts w:ascii="Arial" w:hAnsi="Arial"/>
          <w:sz w:val="24"/>
          <w:lang w:val="fr-CA"/>
        </w:rPr>
        <w:t xml:space="preserve">Le fabricant recommande de faire la lecture des épreuves immédiatement après la centrifugation. </w:t>
      </w:r>
      <w:r w:rsidR="006D3F7A" w:rsidRPr="00C17934">
        <w:rPr>
          <w:rFonts w:ascii="Arial" w:hAnsi="Arial"/>
          <w:sz w:val="24"/>
          <w:lang w:val="fr-CA"/>
        </w:rPr>
        <w:t>La dessiccation du gel, l</w:t>
      </w:r>
      <w:r w:rsidR="00714D4A">
        <w:rPr>
          <w:rFonts w:ascii="Arial" w:hAnsi="Arial"/>
          <w:sz w:val="24"/>
          <w:lang w:val="fr-CA"/>
        </w:rPr>
        <w:t>’</w:t>
      </w:r>
      <w:r w:rsidR="006D3F7A" w:rsidRPr="00C17934">
        <w:rPr>
          <w:rFonts w:ascii="Arial" w:hAnsi="Arial"/>
          <w:sz w:val="24"/>
          <w:lang w:val="fr-CA"/>
        </w:rPr>
        <w:t xml:space="preserve">hémolyse des globules rouges </w:t>
      </w:r>
      <w:r w:rsidR="00636602">
        <w:rPr>
          <w:rFonts w:ascii="Arial" w:hAnsi="Arial"/>
          <w:sz w:val="24"/>
          <w:lang w:val="fr-CA"/>
        </w:rPr>
        <w:t xml:space="preserve">ou </w:t>
      </w:r>
      <w:r w:rsidR="006D3F7A" w:rsidRPr="00C17934">
        <w:rPr>
          <w:rFonts w:ascii="Arial" w:hAnsi="Arial"/>
          <w:sz w:val="24"/>
          <w:lang w:val="fr-CA"/>
        </w:rPr>
        <w:t>l</w:t>
      </w:r>
      <w:r w:rsidR="00714D4A">
        <w:rPr>
          <w:rFonts w:ascii="Arial" w:hAnsi="Arial"/>
          <w:sz w:val="24"/>
          <w:lang w:val="fr-CA"/>
        </w:rPr>
        <w:t>’</w:t>
      </w:r>
      <w:r w:rsidR="006D3F7A" w:rsidRPr="00C17934">
        <w:rPr>
          <w:rFonts w:ascii="Arial" w:hAnsi="Arial"/>
          <w:sz w:val="24"/>
          <w:lang w:val="fr-CA"/>
        </w:rPr>
        <w:t>inclinaison des motifs de réactions due à un entreposage autre qu</w:t>
      </w:r>
      <w:r w:rsidR="00714D4A">
        <w:rPr>
          <w:rFonts w:ascii="Arial" w:hAnsi="Arial"/>
          <w:sz w:val="24"/>
          <w:lang w:val="fr-CA"/>
        </w:rPr>
        <w:t>’</w:t>
      </w:r>
      <w:r w:rsidR="006D3F7A" w:rsidRPr="00C17934">
        <w:rPr>
          <w:rFonts w:ascii="Arial" w:hAnsi="Arial"/>
          <w:sz w:val="24"/>
          <w:lang w:val="fr-CA"/>
        </w:rPr>
        <w:t>à la verticale peut modifier les résultats.</w:t>
      </w:r>
      <w:r w:rsidRPr="00C17934">
        <w:rPr>
          <w:rFonts w:ascii="Arial" w:hAnsi="Arial"/>
          <w:sz w:val="24"/>
          <w:lang w:val="fr-CA"/>
        </w:rPr>
        <w:t xml:space="preserve"> </w:t>
      </w:r>
    </w:p>
    <w:p w:rsidR="00291756" w:rsidRDefault="00291756">
      <w:pPr>
        <w:ind w:left="720"/>
        <w:rPr>
          <w:rFonts w:ascii="Arial" w:hAnsi="Arial"/>
          <w:sz w:val="24"/>
          <w:lang w:val="fr-CA"/>
        </w:rPr>
      </w:pPr>
    </w:p>
    <w:p w:rsidR="00BA37C8" w:rsidRDefault="00BA37C8">
      <w:pPr>
        <w:ind w:left="720"/>
        <w:rPr>
          <w:rFonts w:ascii="Arial" w:hAnsi="Arial"/>
          <w:sz w:val="24"/>
          <w:lang w:val="fr-CA"/>
        </w:rPr>
      </w:pPr>
    </w:p>
    <w:p w:rsidR="00291756" w:rsidRPr="00295CC6" w:rsidRDefault="00291756">
      <w:pPr>
        <w:numPr>
          <w:ilvl w:val="0"/>
          <w:numId w:val="1"/>
        </w:numPr>
        <w:rPr>
          <w:rFonts w:ascii="Arial" w:hAnsi="Arial"/>
          <w:b/>
          <w:sz w:val="28"/>
          <w:lang w:val="fr-CA"/>
        </w:rPr>
      </w:pPr>
      <w:r w:rsidRPr="00295CC6">
        <w:rPr>
          <w:rFonts w:ascii="Arial" w:hAnsi="Arial"/>
          <w:b/>
          <w:sz w:val="28"/>
          <w:lang w:val="fr-CA"/>
        </w:rPr>
        <w:t>Proc</w:t>
      </w:r>
      <w:r w:rsidR="00BE3AC1">
        <w:rPr>
          <w:rFonts w:ascii="Arial" w:hAnsi="Arial"/>
          <w:b/>
          <w:sz w:val="28"/>
          <w:lang w:val="fr-CA"/>
        </w:rPr>
        <w:t>é</w:t>
      </w:r>
      <w:r w:rsidRPr="00295CC6">
        <w:rPr>
          <w:rFonts w:ascii="Arial" w:hAnsi="Arial"/>
          <w:b/>
          <w:sz w:val="28"/>
          <w:lang w:val="fr-CA"/>
        </w:rPr>
        <w:t>dures</w:t>
      </w:r>
    </w:p>
    <w:p w:rsidR="00291756" w:rsidRPr="00295CC6" w:rsidRDefault="00291756">
      <w:pPr>
        <w:rPr>
          <w:rFonts w:ascii="Arial" w:hAnsi="Arial"/>
          <w:b/>
          <w:sz w:val="28"/>
          <w:lang w:val="fr-CA"/>
        </w:rPr>
      </w:pPr>
    </w:p>
    <w:p w:rsidR="00291756" w:rsidRPr="00C17934" w:rsidRDefault="00291756">
      <w:pPr>
        <w:numPr>
          <w:ilvl w:val="1"/>
          <w:numId w:val="1"/>
        </w:numPr>
        <w:tabs>
          <w:tab w:val="left" w:pos="-720"/>
        </w:tabs>
        <w:suppressAutoHyphens/>
        <w:rPr>
          <w:rFonts w:ascii="Arial" w:hAnsi="Arial"/>
          <w:spacing w:val="-2"/>
          <w:sz w:val="24"/>
          <w:lang w:val="fr-CA"/>
        </w:rPr>
      </w:pPr>
      <w:r w:rsidRPr="00C17934">
        <w:rPr>
          <w:rFonts w:ascii="Arial" w:hAnsi="Arial"/>
          <w:spacing w:val="-2"/>
          <w:sz w:val="24"/>
          <w:lang w:val="fr-CA"/>
        </w:rPr>
        <w:t>Pr</w:t>
      </w:r>
      <w:r w:rsidR="00BE3AC1" w:rsidRPr="00C17934">
        <w:rPr>
          <w:rFonts w:ascii="Arial" w:hAnsi="Arial"/>
          <w:spacing w:val="-2"/>
          <w:sz w:val="24"/>
          <w:lang w:val="fr-CA"/>
        </w:rPr>
        <w:t>é</w:t>
      </w:r>
      <w:r w:rsidRPr="00C17934">
        <w:rPr>
          <w:rFonts w:ascii="Arial" w:hAnsi="Arial"/>
          <w:spacing w:val="-2"/>
          <w:sz w:val="24"/>
          <w:lang w:val="fr-CA"/>
        </w:rPr>
        <w:t xml:space="preserve">paration </w:t>
      </w:r>
      <w:r w:rsidR="00C17934" w:rsidRPr="00C17934">
        <w:rPr>
          <w:rFonts w:ascii="Arial" w:hAnsi="Arial"/>
          <w:spacing w:val="-2"/>
          <w:sz w:val="24"/>
          <w:lang w:val="fr-CA"/>
        </w:rPr>
        <w:t xml:space="preserve">des cellules de dépistage à </w:t>
      </w:r>
      <w:r w:rsidRPr="00C17934">
        <w:rPr>
          <w:rFonts w:ascii="Arial" w:hAnsi="Arial"/>
          <w:spacing w:val="-2"/>
          <w:sz w:val="24"/>
          <w:lang w:val="fr-CA"/>
        </w:rPr>
        <w:t>0</w:t>
      </w:r>
      <w:r w:rsidR="00C17934" w:rsidRPr="00C17934">
        <w:rPr>
          <w:rFonts w:ascii="Arial" w:hAnsi="Arial"/>
          <w:spacing w:val="-2"/>
          <w:sz w:val="24"/>
          <w:lang w:val="fr-CA"/>
        </w:rPr>
        <w:t>,</w:t>
      </w:r>
      <w:r w:rsidRPr="00C17934">
        <w:rPr>
          <w:rFonts w:ascii="Arial" w:hAnsi="Arial"/>
          <w:spacing w:val="-2"/>
          <w:sz w:val="24"/>
          <w:lang w:val="fr-CA"/>
        </w:rPr>
        <w:t>8</w:t>
      </w:r>
      <w:r w:rsidR="00C17934" w:rsidRPr="00C17934">
        <w:rPr>
          <w:rFonts w:ascii="Arial" w:hAnsi="Arial"/>
          <w:spacing w:val="-2"/>
          <w:sz w:val="24"/>
          <w:lang w:val="fr-CA"/>
        </w:rPr>
        <w:t> </w:t>
      </w:r>
      <w:r w:rsidRPr="00C17934">
        <w:rPr>
          <w:rFonts w:ascii="Arial" w:hAnsi="Arial"/>
          <w:spacing w:val="-2"/>
          <w:sz w:val="24"/>
          <w:lang w:val="fr-CA"/>
        </w:rPr>
        <w:t>%</w:t>
      </w:r>
      <w:r w:rsidR="00C17934" w:rsidRPr="00C17934">
        <w:rPr>
          <w:rFonts w:ascii="Arial" w:hAnsi="Arial"/>
          <w:spacing w:val="-2"/>
          <w:sz w:val="24"/>
          <w:lang w:val="fr-CA"/>
        </w:rPr>
        <w:t xml:space="preserve"> à partir de globules rouges concentrés</w:t>
      </w:r>
    </w:p>
    <w:p w:rsidR="00291756" w:rsidRPr="00295CC6" w:rsidRDefault="00291756">
      <w:pPr>
        <w:tabs>
          <w:tab w:val="left" w:pos="-720"/>
        </w:tabs>
        <w:suppressAutoHyphens/>
        <w:rPr>
          <w:rFonts w:ascii="Arial" w:hAnsi="Arial"/>
          <w:spacing w:val="-2"/>
          <w:sz w:val="24"/>
          <w:lang w:val="fr-CA"/>
        </w:rPr>
      </w:pPr>
    </w:p>
    <w:p w:rsidR="00BA37C8" w:rsidRDefault="00C17934" w:rsidP="00BA37C8">
      <w:pPr>
        <w:numPr>
          <w:ilvl w:val="2"/>
          <w:numId w:val="1"/>
        </w:numPr>
        <w:tabs>
          <w:tab w:val="left" w:pos="-720"/>
          <w:tab w:val="left" w:pos="0"/>
          <w:tab w:val="left" w:pos="720"/>
        </w:tabs>
        <w:suppressAutoHyphens/>
        <w:rPr>
          <w:rFonts w:ascii="Arial" w:hAnsi="Arial"/>
          <w:spacing w:val="-2"/>
          <w:sz w:val="24"/>
          <w:lang w:val="fr-CA"/>
        </w:rPr>
      </w:pPr>
      <w:r w:rsidRPr="00BA37C8">
        <w:rPr>
          <w:rFonts w:ascii="Arial" w:hAnsi="Arial"/>
          <w:spacing w:val="-2"/>
          <w:sz w:val="24"/>
          <w:lang w:val="fr-CA"/>
        </w:rPr>
        <w:t>Mettre</w:t>
      </w:r>
      <w:r w:rsidR="00291756" w:rsidRPr="00BA37C8">
        <w:rPr>
          <w:rFonts w:ascii="Arial" w:hAnsi="Arial"/>
          <w:spacing w:val="-2"/>
          <w:sz w:val="24"/>
          <w:lang w:val="fr-CA"/>
        </w:rPr>
        <w:t xml:space="preserve"> 1</w:t>
      </w:r>
      <w:r w:rsidRPr="00BA37C8">
        <w:rPr>
          <w:rFonts w:ascii="Arial" w:hAnsi="Arial"/>
          <w:spacing w:val="-2"/>
          <w:sz w:val="24"/>
          <w:lang w:val="fr-CA"/>
        </w:rPr>
        <w:t>,</w:t>
      </w:r>
      <w:r w:rsidR="00291756" w:rsidRPr="00BA37C8">
        <w:rPr>
          <w:rFonts w:ascii="Arial" w:hAnsi="Arial"/>
          <w:spacing w:val="-2"/>
          <w:sz w:val="24"/>
          <w:lang w:val="fr-CA"/>
        </w:rPr>
        <w:t>0</w:t>
      </w:r>
      <w:r w:rsidR="00714D4A">
        <w:rPr>
          <w:rFonts w:ascii="Arial" w:hAnsi="Arial"/>
          <w:spacing w:val="-2"/>
          <w:sz w:val="24"/>
          <w:lang w:val="fr-CA"/>
        </w:rPr>
        <w:t> </w:t>
      </w:r>
      <w:r w:rsidR="00291756" w:rsidRPr="00BA37C8">
        <w:rPr>
          <w:rFonts w:ascii="Arial" w:hAnsi="Arial"/>
          <w:spacing w:val="-2"/>
          <w:sz w:val="24"/>
          <w:lang w:val="fr-CA"/>
        </w:rPr>
        <w:t xml:space="preserve">mL </w:t>
      </w:r>
      <w:r w:rsidRPr="00BA37C8">
        <w:rPr>
          <w:rFonts w:ascii="Arial" w:hAnsi="Arial"/>
          <w:spacing w:val="-2"/>
          <w:sz w:val="24"/>
          <w:lang w:val="fr-CA"/>
        </w:rPr>
        <w:t>de</w:t>
      </w:r>
      <w:r w:rsidR="00291756" w:rsidRPr="00BA37C8">
        <w:rPr>
          <w:rFonts w:ascii="Arial" w:hAnsi="Arial"/>
          <w:spacing w:val="-2"/>
          <w:sz w:val="24"/>
          <w:lang w:val="fr-CA"/>
        </w:rPr>
        <w:t xml:space="preserve"> MTS Diluent</w:t>
      </w:r>
      <w:r w:rsidR="00714D4A">
        <w:rPr>
          <w:rFonts w:ascii="Arial" w:hAnsi="Arial"/>
          <w:spacing w:val="-2"/>
          <w:sz w:val="24"/>
          <w:lang w:val="fr-CA"/>
        </w:rPr>
        <w:t> </w:t>
      </w:r>
      <w:r w:rsidR="00291756" w:rsidRPr="00BA37C8">
        <w:rPr>
          <w:rFonts w:ascii="Arial" w:hAnsi="Arial"/>
          <w:spacing w:val="-2"/>
          <w:sz w:val="24"/>
          <w:lang w:val="fr-CA"/>
        </w:rPr>
        <w:t xml:space="preserve">2 </w:t>
      </w:r>
      <w:r w:rsidRPr="00BA37C8">
        <w:rPr>
          <w:rFonts w:ascii="Arial" w:hAnsi="Arial"/>
          <w:spacing w:val="-2"/>
          <w:sz w:val="24"/>
          <w:lang w:val="fr-CA"/>
        </w:rPr>
        <w:t>dans un tube étiqueté</w:t>
      </w:r>
      <w:r w:rsidR="00291756" w:rsidRPr="00BA37C8">
        <w:rPr>
          <w:rFonts w:ascii="Arial" w:hAnsi="Arial"/>
          <w:spacing w:val="-2"/>
          <w:sz w:val="24"/>
          <w:lang w:val="fr-CA"/>
        </w:rPr>
        <w:t>.</w:t>
      </w:r>
    </w:p>
    <w:p w:rsidR="00BA37C8" w:rsidRDefault="00BA37C8" w:rsidP="00BA37C8">
      <w:pPr>
        <w:numPr>
          <w:ilvl w:val="2"/>
          <w:numId w:val="1"/>
        </w:numPr>
        <w:tabs>
          <w:tab w:val="left" w:pos="-720"/>
          <w:tab w:val="left" w:pos="0"/>
          <w:tab w:val="left" w:pos="720"/>
        </w:tabs>
        <w:suppressAutoHyphens/>
        <w:rPr>
          <w:rFonts w:ascii="Arial" w:hAnsi="Arial"/>
          <w:spacing w:val="-2"/>
          <w:sz w:val="24"/>
          <w:lang w:val="fr-CA"/>
        </w:rPr>
      </w:pPr>
      <w:r w:rsidRPr="00BA37C8">
        <w:rPr>
          <w:rFonts w:ascii="Arial" w:hAnsi="Arial"/>
          <w:spacing w:val="-2"/>
          <w:sz w:val="24"/>
          <w:lang w:val="fr-CA"/>
        </w:rPr>
        <w:t>Ajouter 10</w:t>
      </w:r>
      <w:r w:rsidR="00714D4A">
        <w:rPr>
          <w:rFonts w:ascii="Arial" w:hAnsi="Arial"/>
          <w:spacing w:val="-2"/>
          <w:sz w:val="24"/>
          <w:lang w:val="fr-CA"/>
        </w:rPr>
        <w:t> </w:t>
      </w:r>
      <w:r w:rsidRPr="00BA37C8">
        <w:rPr>
          <w:rFonts w:ascii="Arial" w:hAnsi="Arial"/>
          <w:spacing w:val="-2"/>
          <w:sz w:val="24"/>
          <w:lang w:val="fr-CA"/>
        </w:rPr>
        <w:t>µL de globules rouges concentrés au tube étiqueté.</w:t>
      </w:r>
    </w:p>
    <w:p w:rsidR="00291756" w:rsidRPr="00BA37C8" w:rsidRDefault="006D3F7A" w:rsidP="00BA37C8">
      <w:pPr>
        <w:numPr>
          <w:ilvl w:val="2"/>
          <w:numId w:val="1"/>
        </w:numPr>
        <w:tabs>
          <w:tab w:val="left" w:pos="-720"/>
          <w:tab w:val="left" w:pos="0"/>
          <w:tab w:val="left" w:pos="720"/>
        </w:tabs>
        <w:suppressAutoHyphens/>
        <w:rPr>
          <w:rFonts w:ascii="Arial" w:hAnsi="Arial"/>
          <w:spacing w:val="-2"/>
          <w:sz w:val="24"/>
          <w:lang w:val="fr-CA"/>
        </w:rPr>
      </w:pPr>
      <w:r w:rsidRPr="00BA37C8">
        <w:rPr>
          <w:rFonts w:ascii="Arial" w:hAnsi="Arial"/>
          <w:spacing w:val="-2"/>
          <w:sz w:val="24"/>
          <w:lang w:val="fr-CA"/>
        </w:rPr>
        <w:t>Mélanger doucement.</w:t>
      </w:r>
      <w:r w:rsidR="00C17934" w:rsidRPr="00BA37C8">
        <w:rPr>
          <w:rFonts w:ascii="Arial" w:hAnsi="Arial"/>
          <w:spacing w:val="-2"/>
          <w:sz w:val="24"/>
          <w:lang w:val="fr-CA"/>
        </w:rPr>
        <w:t xml:space="preserve"> </w:t>
      </w:r>
      <w:r w:rsidRPr="00BA37C8">
        <w:rPr>
          <w:rFonts w:ascii="Arial" w:hAnsi="Arial"/>
          <w:spacing w:val="-2"/>
          <w:sz w:val="24"/>
          <w:lang w:val="fr-CA"/>
        </w:rPr>
        <w:t>La suspension cellulaire finale devrait avoir une concentration d</w:t>
      </w:r>
      <w:r w:rsidR="00714D4A">
        <w:rPr>
          <w:rFonts w:ascii="Arial" w:hAnsi="Arial"/>
          <w:spacing w:val="-2"/>
          <w:sz w:val="24"/>
          <w:lang w:val="fr-CA"/>
        </w:rPr>
        <w:t>’</w:t>
      </w:r>
      <w:r w:rsidRPr="00BA37C8">
        <w:rPr>
          <w:rFonts w:ascii="Arial" w:hAnsi="Arial"/>
          <w:spacing w:val="-2"/>
          <w:sz w:val="24"/>
          <w:lang w:val="fr-CA"/>
        </w:rPr>
        <w:t>environ 0,8 %; elle est stable pendant 24 heures.</w:t>
      </w:r>
      <w:r w:rsidR="00C17934" w:rsidRPr="00BA37C8">
        <w:rPr>
          <w:rFonts w:ascii="Arial" w:hAnsi="Arial"/>
          <w:spacing w:val="-2"/>
          <w:sz w:val="24"/>
          <w:lang w:val="fr-CA"/>
        </w:rPr>
        <w:t xml:space="preserve"> </w:t>
      </w:r>
      <w:r w:rsidRPr="00BA37C8">
        <w:rPr>
          <w:rFonts w:ascii="Arial" w:hAnsi="Arial"/>
          <w:spacing w:val="-2"/>
          <w:sz w:val="24"/>
          <w:lang w:val="fr-CA"/>
        </w:rPr>
        <w:t>Pour de meilleurs résultats, la concentration des suspensions d</w:t>
      </w:r>
      <w:r w:rsidR="00636602" w:rsidRPr="00BA37C8">
        <w:rPr>
          <w:rFonts w:ascii="Arial" w:hAnsi="Arial"/>
          <w:spacing w:val="-2"/>
          <w:sz w:val="24"/>
          <w:lang w:val="fr-CA"/>
        </w:rPr>
        <w:t>oit</w:t>
      </w:r>
      <w:r w:rsidRPr="00BA37C8">
        <w:rPr>
          <w:rFonts w:ascii="Arial" w:hAnsi="Arial"/>
          <w:spacing w:val="-2"/>
          <w:sz w:val="24"/>
          <w:lang w:val="fr-CA"/>
        </w:rPr>
        <w:t xml:space="preserve"> se situer entre 0,6 % et 1,0 %.</w:t>
      </w:r>
    </w:p>
    <w:p w:rsidR="00291756" w:rsidRPr="00C17934" w:rsidRDefault="00291756">
      <w:pPr>
        <w:tabs>
          <w:tab w:val="left" w:pos="-720"/>
          <w:tab w:val="left" w:pos="0"/>
        </w:tabs>
        <w:suppressAutoHyphens/>
        <w:rPr>
          <w:rFonts w:ascii="Arial" w:hAnsi="Arial"/>
          <w:spacing w:val="-2"/>
          <w:sz w:val="24"/>
          <w:lang w:val="fr-CA"/>
        </w:rPr>
      </w:pPr>
    </w:p>
    <w:p w:rsidR="00291756" w:rsidRPr="00C17934" w:rsidRDefault="002817E1">
      <w:pPr>
        <w:numPr>
          <w:ilvl w:val="1"/>
          <w:numId w:val="1"/>
        </w:numPr>
        <w:tabs>
          <w:tab w:val="left" w:pos="-720"/>
        </w:tabs>
        <w:suppressAutoHyphens/>
        <w:jc w:val="both"/>
        <w:rPr>
          <w:rFonts w:ascii="Arial" w:hAnsi="Arial"/>
          <w:spacing w:val="-2"/>
          <w:sz w:val="24"/>
          <w:lang w:val="fr-CA"/>
        </w:rPr>
      </w:pPr>
      <w:r w:rsidRPr="00C17934">
        <w:rPr>
          <w:rFonts w:ascii="Arial" w:hAnsi="Arial"/>
          <w:spacing w:val="-2"/>
          <w:sz w:val="24"/>
          <w:lang w:val="fr-CA"/>
        </w:rPr>
        <w:t>Procédure du test direct à l’a</w:t>
      </w:r>
      <w:r w:rsidR="00291756" w:rsidRPr="00C17934">
        <w:rPr>
          <w:rFonts w:ascii="Arial" w:hAnsi="Arial"/>
          <w:spacing w:val="-2"/>
          <w:sz w:val="24"/>
          <w:lang w:val="fr-CA"/>
        </w:rPr>
        <w:t>ntiglobulin</w:t>
      </w:r>
      <w:r w:rsidRPr="00C17934">
        <w:rPr>
          <w:rFonts w:ascii="Arial" w:hAnsi="Arial"/>
          <w:spacing w:val="-2"/>
          <w:sz w:val="24"/>
          <w:lang w:val="fr-CA"/>
        </w:rPr>
        <w:t>e</w:t>
      </w:r>
    </w:p>
    <w:p w:rsidR="00291756" w:rsidRPr="00C17934" w:rsidRDefault="00291756">
      <w:pPr>
        <w:tabs>
          <w:tab w:val="left" w:pos="-720"/>
        </w:tabs>
        <w:suppressAutoHyphens/>
        <w:rPr>
          <w:rFonts w:ascii="Arial" w:hAnsi="Arial"/>
          <w:spacing w:val="-2"/>
          <w:sz w:val="24"/>
          <w:lang w:val="fr-CA"/>
        </w:rPr>
      </w:pPr>
    </w:p>
    <w:p w:rsidR="00291756" w:rsidRDefault="00636602">
      <w:pPr>
        <w:numPr>
          <w:ilvl w:val="2"/>
          <w:numId w:val="1"/>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 xml:space="preserve">Noter sur </w:t>
      </w:r>
      <w:r w:rsidR="006D3F7A" w:rsidRPr="00C17934">
        <w:rPr>
          <w:rFonts w:ascii="Arial" w:hAnsi="Arial"/>
          <w:spacing w:val="-2"/>
          <w:sz w:val="24"/>
          <w:lang w:val="fr-CA"/>
        </w:rPr>
        <w:t>la carte anti-</w:t>
      </w:r>
      <w:r w:rsidR="00295CC6" w:rsidRPr="00C17934">
        <w:rPr>
          <w:rFonts w:ascii="Arial" w:hAnsi="Arial"/>
          <w:spacing w:val="-2"/>
          <w:sz w:val="24"/>
          <w:lang w:val="fr-CA"/>
        </w:rPr>
        <w:t>I</w:t>
      </w:r>
      <w:r w:rsidR="006D3F7A" w:rsidRPr="00C17934">
        <w:rPr>
          <w:rFonts w:ascii="Arial" w:hAnsi="Arial"/>
          <w:spacing w:val="-2"/>
          <w:sz w:val="24"/>
          <w:lang w:val="fr-CA"/>
        </w:rPr>
        <w:t>g</w:t>
      </w:r>
      <w:r w:rsidR="00295CC6" w:rsidRPr="00C17934">
        <w:rPr>
          <w:rFonts w:ascii="Arial" w:hAnsi="Arial"/>
          <w:spacing w:val="-2"/>
          <w:sz w:val="24"/>
          <w:lang w:val="fr-CA"/>
        </w:rPr>
        <w:t>G</w:t>
      </w:r>
      <w:r w:rsidR="006D3F7A" w:rsidRPr="00C17934">
        <w:rPr>
          <w:rFonts w:ascii="Arial" w:hAnsi="Arial"/>
          <w:spacing w:val="-2"/>
          <w:sz w:val="24"/>
          <w:lang w:val="fr-CA"/>
        </w:rPr>
        <w:t xml:space="preserve"> </w:t>
      </w:r>
      <w:r w:rsidR="00295CC6" w:rsidRPr="00C17934">
        <w:rPr>
          <w:rFonts w:ascii="Arial" w:hAnsi="Arial"/>
          <w:spacing w:val="-2"/>
          <w:sz w:val="24"/>
          <w:lang w:val="fr-CA"/>
        </w:rPr>
        <w:t>MTS</w:t>
      </w:r>
      <w:r w:rsidR="006D3F7A" w:rsidRPr="00C17934">
        <w:rPr>
          <w:rFonts w:ascii="Arial" w:hAnsi="Arial"/>
          <w:spacing w:val="-2"/>
          <w:sz w:val="24"/>
          <w:lang w:val="fr-CA"/>
        </w:rPr>
        <w:t xml:space="preserve"> les renseignements appropriés concernant l</w:t>
      </w:r>
      <w:r w:rsidR="00714D4A">
        <w:rPr>
          <w:rFonts w:ascii="Arial" w:hAnsi="Arial"/>
          <w:spacing w:val="-2"/>
          <w:sz w:val="24"/>
          <w:lang w:val="fr-CA"/>
        </w:rPr>
        <w:t>’</w:t>
      </w:r>
      <w:r w:rsidR="006D3F7A" w:rsidRPr="00C17934">
        <w:rPr>
          <w:rFonts w:ascii="Arial" w:hAnsi="Arial"/>
          <w:spacing w:val="-2"/>
          <w:sz w:val="24"/>
          <w:lang w:val="fr-CA"/>
        </w:rPr>
        <w:t>identification du patient et l</w:t>
      </w:r>
      <w:r w:rsidR="00714D4A">
        <w:rPr>
          <w:rFonts w:ascii="Arial" w:hAnsi="Arial"/>
          <w:spacing w:val="-2"/>
          <w:sz w:val="24"/>
          <w:lang w:val="fr-CA"/>
        </w:rPr>
        <w:t>’</w:t>
      </w:r>
      <w:r w:rsidR="006D3F7A" w:rsidRPr="00C17934">
        <w:rPr>
          <w:rFonts w:ascii="Arial" w:hAnsi="Arial"/>
          <w:spacing w:val="-2"/>
          <w:sz w:val="24"/>
          <w:lang w:val="fr-CA"/>
        </w:rPr>
        <w:t>épreuve.</w:t>
      </w:r>
    </w:p>
    <w:p w:rsidR="00BA37C8" w:rsidRPr="00C17934" w:rsidRDefault="00BA37C8">
      <w:pPr>
        <w:numPr>
          <w:ilvl w:val="2"/>
          <w:numId w:val="1"/>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Laisser les réactifs atteindre la température ambiante (18-25 </w:t>
      </w:r>
      <w:r w:rsidRPr="00BA37C8">
        <w:rPr>
          <w:rFonts w:ascii="Arial" w:hAnsi="Arial"/>
          <w:spacing w:val="-2"/>
          <w:sz w:val="24"/>
          <w:vertAlign w:val="superscript"/>
          <w:lang w:val="fr-CA"/>
        </w:rPr>
        <w:t>o</w:t>
      </w:r>
      <w:r>
        <w:rPr>
          <w:rFonts w:ascii="Arial" w:hAnsi="Arial"/>
          <w:spacing w:val="-2"/>
          <w:sz w:val="24"/>
          <w:lang w:val="fr-CA"/>
        </w:rPr>
        <w:t>C) avant de les utiliser</w:t>
      </w:r>
    </w:p>
    <w:p w:rsidR="00291756" w:rsidRPr="00C17934" w:rsidRDefault="006D3F7A">
      <w:pPr>
        <w:numPr>
          <w:ilvl w:val="2"/>
          <w:numId w:val="1"/>
        </w:numPr>
        <w:tabs>
          <w:tab w:val="left" w:pos="-720"/>
          <w:tab w:val="left" w:pos="0"/>
          <w:tab w:val="left" w:pos="720"/>
        </w:tabs>
        <w:suppressAutoHyphens/>
        <w:rPr>
          <w:rFonts w:ascii="Arial" w:hAnsi="Arial"/>
          <w:spacing w:val="-2"/>
          <w:sz w:val="24"/>
          <w:lang w:val="fr-CA"/>
        </w:rPr>
      </w:pPr>
      <w:r w:rsidRPr="00C17934">
        <w:rPr>
          <w:rFonts w:ascii="Arial" w:hAnsi="Arial"/>
          <w:spacing w:val="-2"/>
          <w:sz w:val="24"/>
          <w:lang w:val="fr-CA"/>
        </w:rPr>
        <w:t>Enlever l</w:t>
      </w:r>
      <w:r w:rsidR="00714D4A">
        <w:rPr>
          <w:rFonts w:ascii="Arial" w:hAnsi="Arial"/>
          <w:spacing w:val="-2"/>
          <w:sz w:val="24"/>
          <w:lang w:val="fr-CA"/>
        </w:rPr>
        <w:t>’</w:t>
      </w:r>
      <w:r w:rsidRPr="00C17934">
        <w:rPr>
          <w:rFonts w:ascii="Arial" w:hAnsi="Arial"/>
          <w:spacing w:val="-2"/>
          <w:sz w:val="24"/>
          <w:lang w:val="fr-CA"/>
        </w:rPr>
        <w:t>opercule en aluminium du microtube à utiliser.</w:t>
      </w:r>
      <w:r w:rsidR="00291756" w:rsidRPr="00C17934">
        <w:rPr>
          <w:rFonts w:ascii="Arial" w:hAnsi="Arial"/>
          <w:spacing w:val="-2"/>
          <w:sz w:val="24"/>
          <w:lang w:val="fr-CA"/>
        </w:rPr>
        <w:t xml:space="preserve"> </w:t>
      </w:r>
      <w:r w:rsidR="00BA37C8">
        <w:rPr>
          <w:rFonts w:ascii="Arial" w:hAnsi="Arial"/>
          <w:spacing w:val="-2"/>
          <w:sz w:val="24"/>
          <w:lang w:val="fr-CA"/>
        </w:rPr>
        <w:br/>
      </w:r>
      <w:r w:rsidR="00BA37C8" w:rsidRPr="00BA37C8">
        <w:rPr>
          <w:rFonts w:ascii="Arial" w:hAnsi="Arial"/>
          <w:b/>
          <w:spacing w:val="-2"/>
          <w:sz w:val="24"/>
          <w:lang w:val="fr-CA"/>
        </w:rPr>
        <w:t>Remarque</w:t>
      </w:r>
      <w:r w:rsidR="00BA37C8">
        <w:rPr>
          <w:rFonts w:ascii="Arial" w:hAnsi="Arial"/>
          <w:spacing w:val="-2"/>
          <w:sz w:val="24"/>
          <w:lang w:val="fr-CA"/>
        </w:rPr>
        <w:t xml:space="preserve"> : </w:t>
      </w:r>
      <w:r w:rsidR="00BA37C8" w:rsidRPr="0055014C">
        <w:rPr>
          <w:rFonts w:ascii="Arial" w:hAnsi="Arial"/>
          <w:spacing w:val="-2"/>
          <w:sz w:val="24"/>
          <w:lang w:val="fr-CA"/>
        </w:rPr>
        <w:t>l’opercule doit être retiré juste avant le test ou dans l’heure qui le précède. Une fois l’aluminium retiré, le gel peut commencer à sécher, ce qui affecterait les résultats. On doit s’assurer qu’il ne reste aucun morceau d’aluminium obstruant l’ouverture d’un microtube</w:t>
      </w:r>
    </w:p>
    <w:p w:rsidR="00291756" w:rsidRPr="00C17934" w:rsidRDefault="00C17934">
      <w:pPr>
        <w:numPr>
          <w:ilvl w:val="2"/>
          <w:numId w:val="1"/>
        </w:numPr>
        <w:tabs>
          <w:tab w:val="left" w:pos="-720"/>
          <w:tab w:val="left" w:pos="0"/>
          <w:tab w:val="left" w:pos="720"/>
        </w:tabs>
        <w:suppressAutoHyphens/>
        <w:rPr>
          <w:rFonts w:ascii="Arial" w:hAnsi="Arial"/>
          <w:spacing w:val="-2"/>
          <w:sz w:val="24"/>
          <w:lang w:val="fr-CA"/>
        </w:rPr>
      </w:pPr>
      <w:r w:rsidRPr="00C17934">
        <w:rPr>
          <w:rFonts w:ascii="Arial" w:hAnsi="Arial"/>
          <w:spacing w:val="-2"/>
          <w:sz w:val="24"/>
          <w:lang w:val="fr-CA"/>
        </w:rPr>
        <w:t xml:space="preserve">À l’aide d’une pipette appropriée, ajouter </w:t>
      </w:r>
      <w:r w:rsidR="00291756" w:rsidRPr="00C17934">
        <w:rPr>
          <w:rFonts w:ascii="Arial" w:hAnsi="Arial"/>
          <w:spacing w:val="-2"/>
          <w:sz w:val="24"/>
          <w:lang w:val="fr-CA"/>
        </w:rPr>
        <w:t>50</w:t>
      </w:r>
      <w:r w:rsidR="00714D4A">
        <w:rPr>
          <w:rFonts w:ascii="Arial" w:hAnsi="Arial"/>
          <w:spacing w:val="-2"/>
          <w:sz w:val="24"/>
          <w:lang w:val="fr-CA"/>
        </w:rPr>
        <w:t> </w:t>
      </w:r>
      <w:r w:rsidR="00291756" w:rsidRPr="00C17934">
        <w:rPr>
          <w:rFonts w:ascii="Arial" w:hAnsi="Arial"/>
          <w:spacing w:val="-2"/>
          <w:sz w:val="24"/>
          <w:lang w:val="fr-CA"/>
        </w:rPr>
        <w:t xml:space="preserve">µL </w:t>
      </w:r>
      <w:r w:rsidRPr="00C17934">
        <w:rPr>
          <w:rFonts w:ascii="Arial" w:hAnsi="Arial"/>
          <w:spacing w:val="-2"/>
          <w:sz w:val="24"/>
          <w:lang w:val="fr-CA"/>
        </w:rPr>
        <w:t xml:space="preserve">de suspension de globules rouges à </w:t>
      </w:r>
      <w:r w:rsidR="00291756" w:rsidRPr="00C17934">
        <w:rPr>
          <w:rFonts w:ascii="Arial" w:hAnsi="Arial"/>
          <w:spacing w:val="-2"/>
          <w:sz w:val="24"/>
          <w:lang w:val="fr-CA"/>
        </w:rPr>
        <w:t>0</w:t>
      </w:r>
      <w:r w:rsidRPr="00C17934">
        <w:rPr>
          <w:rFonts w:ascii="Arial" w:hAnsi="Arial"/>
          <w:spacing w:val="-2"/>
          <w:sz w:val="24"/>
          <w:lang w:val="fr-CA"/>
        </w:rPr>
        <w:t>,</w:t>
      </w:r>
      <w:r w:rsidR="00291756" w:rsidRPr="00C17934">
        <w:rPr>
          <w:rFonts w:ascii="Arial" w:hAnsi="Arial"/>
          <w:spacing w:val="-2"/>
          <w:sz w:val="24"/>
          <w:lang w:val="fr-CA"/>
        </w:rPr>
        <w:t>8</w:t>
      </w:r>
      <w:r w:rsidRPr="00C17934">
        <w:rPr>
          <w:rFonts w:ascii="Arial" w:hAnsi="Arial"/>
          <w:spacing w:val="-2"/>
          <w:sz w:val="24"/>
          <w:lang w:val="fr-CA"/>
        </w:rPr>
        <w:t> </w:t>
      </w:r>
      <w:r w:rsidR="00291756" w:rsidRPr="00C17934">
        <w:rPr>
          <w:rFonts w:ascii="Arial" w:hAnsi="Arial"/>
          <w:spacing w:val="-2"/>
          <w:sz w:val="24"/>
          <w:lang w:val="fr-CA"/>
        </w:rPr>
        <w:t xml:space="preserve">% </w:t>
      </w:r>
      <w:r w:rsidRPr="00C17934">
        <w:rPr>
          <w:rFonts w:ascii="Arial" w:hAnsi="Arial"/>
          <w:spacing w:val="-2"/>
          <w:sz w:val="24"/>
          <w:lang w:val="fr-CA"/>
        </w:rPr>
        <w:t>au microtube étiqueté</w:t>
      </w:r>
      <w:r w:rsidR="00291756" w:rsidRPr="00C17934">
        <w:rPr>
          <w:rFonts w:ascii="Arial" w:hAnsi="Arial"/>
          <w:spacing w:val="-2"/>
          <w:sz w:val="24"/>
          <w:lang w:val="fr-CA"/>
        </w:rPr>
        <w:t>.</w:t>
      </w:r>
      <w:r>
        <w:rPr>
          <w:rFonts w:ascii="Arial" w:hAnsi="Arial"/>
          <w:spacing w:val="-2"/>
          <w:sz w:val="24"/>
          <w:lang w:val="fr-CA"/>
        </w:rPr>
        <w:t xml:space="preserve"> </w:t>
      </w:r>
      <w:r w:rsidR="006D3F7A" w:rsidRPr="00C17934">
        <w:rPr>
          <w:rFonts w:ascii="Arial" w:hAnsi="Arial"/>
          <w:spacing w:val="-2"/>
          <w:sz w:val="24"/>
          <w:lang w:val="fr-CA"/>
        </w:rPr>
        <w:t>La pipette ne doit pas toucher la carte de gel.</w:t>
      </w:r>
    </w:p>
    <w:p w:rsidR="00BA37C8" w:rsidRDefault="006D3F7A" w:rsidP="00BA37C8">
      <w:pPr>
        <w:numPr>
          <w:ilvl w:val="2"/>
          <w:numId w:val="1"/>
        </w:numPr>
        <w:tabs>
          <w:tab w:val="left" w:pos="-720"/>
          <w:tab w:val="left" w:pos="0"/>
          <w:tab w:val="left" w:pos="720"/>
        </w:tabs>
        <w:suppressAutoHyphens/>
        <w:ind w:left="2127" w:hanging="709"/>
        <w:rPr>
          <w:rFonts w:ascii="Arial" w:hAnsi="Arial"/>
          <w:spacing w:val="-2"/>
          <w:sz w:val="24"/>
          <w:lang w:val="fr-CA"/>
        </w:rPr>
      </w:pPr>
      <w:r w:rsidRPr="00BA37C8">
        <w:rPr>
          <w:rFonts w:ascii="Arial" w:hAnsi="Arial"/>
          <w:spacing w:val="-2"/>
          <w:sz w:val="24"/>
          <w:lang w:val="fr-CA"/>
        </w:rPr>
        <w:t>Centrifuger la carte de gel à la valeur prédéfinie de 895±5 rpm pendant 10 minutes.</w:t>
      </w:r>
    </w:p>
    <w:p w:rsidR="00BA37C8" w:rsidRPr="00BA37C8" w:rsidRDefault="00BA37C8" w:rsidP="00BA37C8">
      <w:pPr>
        <w:numPr>
          <w:ilvl w:val="2"/>
          <w:numId w:val="1"/>
        </w:numPr>
        <w:tabs>
          <w:tab w:val="clear" w:pos="2160"/>
          <w:tab w:val="left" w:pos="-720"/>
          <w:tab w:val="left" w:pos="0"/>
          <w:tab w:val="left" w:pos="720"/>
        </w:tabs>
        <w:suppressAutoHyphens/>
        <w:ind w:left="2127" w:hanging="709"/>
        <w:rPr>
          <w:rFonts w:ascii="Arial" w:hAnsi="Arial"/>
          <w:spacing w:val="-2"/>
          <w:sz w:val="24"/>
          <w:lang w:val="fr-CA"/>
        </w:rPr>
      </w:pPr>
      <w:r w:rsidRPr="00BA37C8">
        <w:rPr>
          <w:rFonts w:ascii="Arial" w:hAnsi="Arial"/>
          <w:spacing w:val="-2"/>
          <w:sz w:val="24"/>
          <w:lang w:val="fr-CA"/>
        </w:rPr>
        <w:t xml:space="preserve">Après la centrifugation, retirer la ou les cartes de la centrifugeuse et faire une lecture de chaque carte à la recherche des signes suivants : </w:t>
      </w:r>
    </w:p>
    <w:p w:rsidR="00BA37C8" w:rsidRPr="00D9091B" w:rsidRDefault="00BA37C8" w:rsidP="00BA37C8">
      <w:pPr>
        <w:numPr>
          <w:ilvl w:val="0"/>
          <w:numId w:val="13"/>
        </w:numPr>
        <w:tabs>
          <w:tab w:val="left" w:pos="-720"/>
          <w:tab w:val="left" w:pos="0"/>
          <w:tab w:val="left" w:pos="2552"/>
        </w:tabs>
        <w:suppressAutoHyphens/>
        <w:ind w:left="2552" w:hanging="425"/>
        <w:rPr>
          <w:rFonts w:ascii="Arial" w:hAnsi="Arial"/>
          <w:spacing w:val="-2"/>
          <w:sz w:val="24"/>
          <w:lang w:val="fr-CA"/>
        </w:rPr>
      </w:pPr>
      <w:r>
        <w:rPr>
          <w:rFonts w:ascii="Arial" w:hAnsi="Arial"/>
          <w:spacing w:val="-2"/>
          <w:sz w:val="24"/>
          <w:lang w:val="fr-CA"/>
        </w:rPr>
        <w:t xml:space="preserve">La présence </w:t>
      </w:r>
      <w:r w:rsidRPr="0055014C">
        <w:rPr>
          <w:rFonts w:ascii="Arial" w:hAnsi="Arial"/>
          <w:sz w:val="24"/>
          <w:lang w:val="fr-CA"/>
        </w:rPr>
        <w:t>de globules rouges non agglutinés dans le gel est habituellement due à une interruption du cycle de centrifugation. Ces globules rouges sont rose foncé et flo</w:t>
      </w:r>
      <w:r>
        <w:rPr>
          <w:rFonts w:ascii="Arial" w:hAnsi="Arial"/>
          <w:sz w:val="24"/>
          <w:lang w:val="fr-CA"/>
        </w:rPr>
        <w:t xml:space="preserve">us. </w:t>
      </w:r>
    </w:p>
    <w:p w:rsidR="00BA37C8" w:rsidRPr="00D9091B" w:rsidRDefault="00BA37C8" w:rsidP="00BA37C8">
      <w:pPr>
        <w:numPr>
          <w:ilvl w:val="0"/>
          <w:numId w:val="13"/>
        </w:numPr>
        <w:tabs>
          <w:tab w:val="left" w:pos="-720"/>
          <w:tab w:val="left" w:pos="0"/>
          <w:tab w:val="left" w:pos="2552"/>
        </w:tabs>
        <w:suppressAutoHyphens/>
        <w:ind w:left="2552" w:hanging="425"/>
        <w:rPr>
          <w:rFonts w:ascii="Arial" w:hAnsi="Arial"/>
          <w:spacing w:val="-2"/>
          <w:sz w:val="24"/>
          <w:lang w:val="fr-CA"/>
        </w:rPr>
      </w:pPr>
      <w:r>
        <w:rPr>
          <w:rFonts w:ascii="Arial" w:hAnsi="Arial"/>
          <w:spacing w:val="-2"/>
          <w:sz w:val="24"/>
          <w:lang w:val="fr-CA"/>
        </w:rPr>
        <w:t xml:space="preserve">La </w:t>
      </w:r>
      <w:r w:rsidRPr="00D9091B">
        <w:rPr>
          <w:rFonts w:ascii="Arial" w:hAnsi="Arial"/>
          <w:spacing w:val="-2"/>
          <w:sz w:val="24"/>
          <w:lang w:val="fr-CA"/>
        </w:rPr>
        <w:t>présence d’une traînée de globules rouges qui forme une sorte de « J » le long d’une paroi est due à une mauvaise disposition des cartes dans le support à cartes.</w:t>
      </w:r>
    </w:p>
    <w:p w:rsidR="00BA37C8" w:rsidRPr="00295CC6" w:rsidRDefault="00BA37C8" w:rsidP="00BA37C8">
      <w:pPr>
        <w:tabs>
          <w:tab w:val="left" w:pos="-720"/>
          <w:tab w:val="left" w:pos="0"/>
        </w:tabs>
        <w:suppressAutoHyphens/>
        <w:ind w:left="2127"/>
        <w:rPr>
          <w:rFonts w:ascii="Arial" w:hAnsi="Arial"/>
          <w:spacing w:val="-2"/>
          <w:sz w:val="24"/>
          <w:lang w:val="fr-CA"/>
        </w:rPr>
      </w:pPr>
      <w:r w:rsidRPr="00D9091B">
        <w:rPr>
          <w:rFonts w:ascii="Arial" w:hAnsi="Arial"/>
          <w:spacing w:val="-2"/>
          <w:sz w:val="24"/>
          <w:lang w:val="fr-CA"/>
        </w:rPr>
        <w:t>Si la ou les cartes semblent mal centrifugées, répéter le test. Ne jamais centrifuger une autre fois la</w:t>
      </w:r>
      <w:r>
        <w:rPr>
          <w:rFonts w:ascii="Arial" w:hAnsi="Arial"/>
          <w:spacing w:val="-2"/>
          <w:sz w:val="24"/>
          <w:lang w:val="fr-CA"/>
        </w:rPr>
        <w:t xml:space="preserve"> ou les cartes</w:t>
      </w:r>
    </w:p>
    <w:p w:rsidR="00BA37C8" w:rsidRDefault="006D3F7A">
      <w:pPr>
        <w:numPr>
          <w:ilvl w:val="2"/>
          <w:numId w:val="1"/>
        </w:numPr>
        <w:tabs>
          <w:tab w:val="left" w:pos="-720"/>
          <w:tab w:val="left" w:pos="0"/>
          <w:tab w:val="left" w:pos="720"/>
        </w:tabs>
        <w:suppressAutoHyphens/>
        <w:rPr>
          <w:rFonts w:ascii="Arial" w:hAnsi="Arial"/>
          <w:spacing w:val="-2"/>
          <w:sz w:val="24"/>
          <w:lang w:val="fr-CA"/>
        </w:rPr>
      </w:pPr>
      <w:r w:rsidRPr="00295CC6">
        <w:rPr>
          <w:rFonts w:ascii="Arial" w:hAnsi="Arial"/>
          <w:spacing w:val="-2"/>
          <w:sz w:val="24"/>
          <w:lang w:val="fr-CA"/>
        </w:rPr>
        <w:t>Lire l</w:t>
      </w:r>
      <w:r w:rsidR="00714D4A">
        <w:rPr>
          <w:rFonts w:ascii="Arial" w:hAnsi="Arial"/>
          <w:spacing w:val="-2"/>
          <w:sz w:val="24"/>
          <w:lang w:val="fr-CA"/>
        </w:rPr>
        <w:t>’</w:t>
      </w:r>
      <w:r w:rsidRPr="00295CC6">
        <w:rPr>
          <w:rFonts w:ascii="Arial" w:hAnsi="Arial"/>
          <w:spacing w:val="-2"/>
          <w:sz w:val="24"/>
          <w:lang w:val="fr-CA"/>
        </w:rPr>
        <w:t>avant et l</w:t>
      </w:r>
      <w:r w:rsidR="00714D4A">
        <w:rPr>
          <w:rFonts w:ascii="Arial" w:hAnsi="Arial"/>
          <w:spacing w:val="-2"/>
          <w:sz w:val="24"/>
          <w:lang w:val="fr-CA"/>
        </w:rPr>
        <w:t>’</w:t>
      </w:r>
      <w:r w:rsidRPr="00295CC6">
        <w:rPr>
          <w:rFonts w:ascii="Arial" w:hAnsi="Arial"/>
          <w:spacing w:val="-2"/>
          <w:sz w:val="24"/>
          <w:lang w:val="fr-CA"/>
        </w:rPr>
        <w:t>arrière de chaque microtube</w:t>
      </w:r>
      <w:r w:rsidR="00BA37C8">
        <w:rPr>
          <w:rFonts w:ascii="Arial" w:hAnsi="Arial"/>
          <w:spacing w:val="-2"/>
          <w:sz w:val="24"/>
          <w:lang w:val="fr-CA"/>
        </w:rPr>
        <w:t>.</w:t>
      </w:r>
    </w:p>
    <w:p w:rsidR="00C3658F" w:rsidRDefault="00BA37C8">
      <w:pPr>
        <w:numPr>
          <w:ilvl w:val="2"/>
          <w:numId w:val="1"/>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I</w:t>
      </w:r>
      <w:r w:rsidR="006D3F7A" w:rsidRPr="00295CC6">
        <w:rPr>
          <w:rFonts w:ascii="Arial" w:hAnsi="Arial"/>
          <w:spacing w:val="-2"/>
          <w:sz w:val="24"/>
          <w:lang w:val="fr-CA"/>
        </w:rPr>
        <w:t xml:space="preserve">nscrire les réactions conformément </w:t>
      </w:r>
      <w:r>
        <w:rPr>
          <w:rFonts w:ascii="Arial" w:hAnsi="Arial"/>
          <w:spacing w:val="-2"/>
          <w:sz w:val="24"/>
          <w:lang w:val="fr-CA"/>
        </w:rPr>
        <w:t>au tableau suivant.</w:t>
      </w:r>
    </w:p>
    <w:p w:rsidR="00C3658F" w:rsidRDefault="00C3658F" w:rsidP="00C3658F">
      <w:pPr>
        <w:tabs>
          <w:tab w:val="left" w:pos="-720"/>
          <w:tab w:val="left" w:pos="0"/>
        </w:tabs>
        <w:suppressAutoHyphens/>
        <w:rPr>
          <w:rFonts w:ascii="Arial" w:hAnsi="Arial"/>
          <w:spacing w:val="-2"/>
          <w:sz w:val="24"/>
          <w:lang w:val="fr-CA"/>
        </w:rPr>
      </w:pPr>
      <w:r>
        <w:rPr>
          <w:rFonts w:ascii="Arial" w:hAnsi="Arial"/>
          <w:spacing w:val="-2"/>
          <w:sz w:val="24"/>
          <w:lang w:val="fr-CA"/>
        </w:rPr>
        <w:br w:type="page"/>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22"/>
      </w:tblGrid>
      <w:tr w:rsidR="00C3658F" w:rsidRPr="0055014C" w:rsidTr="001803E2">
        <w:trPr>
          <w:trHeight w:val="218"/>
          <w:jc w:val="center"/>
        </w:trPr>
        <w:tc>
          <w:tcPr>
            <w:tcW w:w="1306" w:type="dxa"/>
          </w:tcPr>
          <w:p w:rsidR="00C3658F" w:rsidRPr="0055014C" w:rsidRDefault="00C3658F" w:rsidP="001803E2">
            <w:pPr>
              <w:keepNext/>
              <w:jc w:val="center"/>
              <w:rPr>
                <w:rFonts w:ascii="Arial" w:hAnsi="Arial"/>
                <w:b/>
                <w:lang w:val="fr-CA"/>
              </w:rPr>
            </w:pPr>
            <w:r w:rsidRPr="0055014C">
              <w:rPr>
                <w:rFonts w:ascii="Arial" w:hAnsi="Arial"/>
                <w:b/>
                <w:lang w:val="fr-CA"/>
              </w:rPr>
              <w:t>Code</w:t>
            </w:r>
          </w:p>
        </w:tc>
        <w:tc>
          <w:tcPr>
            <w:tcW w:w="5822" w:type="dxa"/>
          </w:tcPr>
          <w:p w:rsidR="00C3658F" w:rsidRPr="0055014C" w:rsidRDefault="00C3658F" w:rsidP="001803E2">
            <w:pPr>
              <w:keepNext/>
              <w:jc w:val="center"/>
              <w:rPr>
                <w:rFonts w:ascii="Arial" w:hAnsi="Arial"/>
                <w:b/>
                <w:lang w:val="fr-CA"/>
              </w:rPr>
            </w:pPr>
            <w:r w:rsidRPr="0055014C">
              <w:rPr>
                <w:rFonts w:ascii="Arial" w:hAnsi="Arial"/>
                <w:b/>
                <w:lang w:val="fr-CA"/>
              </w:rPr>
              <w:t>Description de la réaction*</w:t>
            </w:r>
          </w:p>
        </w:tc>
      </w:tr>
      <w:tr w:rsidR="00C3658F" w:rsidRPr="0055014C" w:rsidTr="001803E2">
        <w:trPr>
          <w:trHeight w:val="1088"/>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Nég</w:t>
            </w:r>
          </w:p>
        </w:tc>
        <w:tc>
          <w:tcPr>
            <w:tcW w:w="5822" w:type="dxa"/>
          </w:tcPr>
          <w:p w:rsidR="00C3658F" w:rsidRPr="0055014C" w:rsidRDefault="00C3658F" w:rsidP="001803E2">
            <w:pPr>
              <w:keepNext/>
              <w:rPr>
                <w:rFonts w:ascii="Arial" w:hAnsi="Arial"/>
                <w:lang w:val="fr-CA"/>
              </w:rPr>
            </w:pPr>
            <w:r w:rsidRPr="0055014C">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C3658F" w:rsidRPr="0055014C" w:rsidTr="001803E2">
        <w:trPr>
          <w:trHeight w:val="662"/>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 xml:space="preserve">1 </w:t>
            </w:r>
          </w:p>
        </w:tc>
        <w:tc>
          <w:tcPr>
            <w:tcW w:w="5822" w:type="dxa"/>
          </w:tcPr>
          <w:p w:rsidR="00C3658F" w:rsidRPr="0055014C" w:rsidRDefault="00C3658F" w:rsidP="001803E2">
            <w:pPr>
              <w:keepNext/>
              <w:rPr>
                <w:rFonts w:ascii="Arial" w:hAnsi="Arial"/>
                <w:lang w:val="fr-CA"/>
              </w:rPr>
            </w:pPr>
            <w:r w:rsidRPr="0055014C">
              <w:rPr>
                <w:rFonts w:ascii="Arial" w:hAnsi="Arial"/>
                <w:lang w:val="fr-CA"/>
              </w:rPr>
              <w:t>Agglutination surtout observée dans la moitié inférieure du microtube. Les globules rouges non agglutinés forment un culot au fond du microtube.</w:t>
            </w:r>
          </w:p>
        </w:tc>
      </w:tr>
      <w:tr w:rsidR="00C3658F" w:rsidRPr="0055014C" w:rsidTr="001803E2">
        <w:trPr>
          <w:trHeight w:val="653"/>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 xml:space="preserve">2 </w:t>
            </w:r>
          </w:p>
        </w:tc>
        <w:tc>
          <w:tcPr>
            <w:tcW w:w="5822" w:type="dxa"/>
          </w:tcPr>
          <w:p w:rsidR="00C3658F" w:rsidRPr="0055014C" w:rsidRDefault="00C3658F" w:rsidP="001803E2">
            <w:pPr>
              <w:keepNext/>
              <w:rPr>
                <w:rFonts w:ascii="Arial" w:hAnsi="Arial"/>
                <w:lang w:val="fr-CA"/>
              </w:rPr>
            </w:pPr>
            <w:r w:rsidRPr="0055014C">
              <w:rPr>
                <w:rFonts w:ascii="Arial" w:hAnsi="Arial"/>
                <w:lang w:val="fr-CA"/>
              </w:rPr>
              <w:t xml:space="preserve">Agglutinats dispersés tout le long de la colonne de gel. Quelques agglutinats peuvent être présents au fond du microtube. </w:t>
            </w:r>
          </w:p>
        </w:tc>
      </w:tr>
      <w:tr w:rsidR="00C3658F" w:rsidRPr="0055014C" w:rsidTr="001803E2">
        <w:trPr>
          <w:trHeight w:val="653"/>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 xml:space="preserve">3 </w:t>
            </w:r>
          </w:p>
        </w:tc>
        <w:tc>
          <w:tcPr>
            <w:tcW w:w="5822" w:type="dxa"/>
          </w:tcPr>
          <w:p w:rsidR="00C3658F" w:rsidRPr="0055014C" w:rsidRDefault="00C3658F" w:rsidP="001803E2">
            <w:pPr>
              <w:keepNext/>
              <w:rPr>
                <w:rFonts w:ascii="Arial" w:hAnsi="Arial"/>
                <w:lang w:val="fr-CA"/>
              </w:rPr>
            </w:pPr>
            <w:r w:rsidRPr="0055014C">
              <w:rPr>
                <w:rFonts w:ascii="Arial" w:hAnsi="Arial"/>
                <w:lang w:val="fr-CA"/>
              </w:rPr>
              <w:t>La plupart des agglutinats sont piégés dans la moitié supérieure du microtube. Voir Remarque 8.3.</w:t>
            </w:r>
          </w:p>
        </w:tc>
      </w:tr>
      <w:tr w:rsidR="00C3658F" w:rsidRPr="0055014C" w:rsidTr="001803E2">
        <w:trPr>
          <w:trHeight w:val="870"/>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 xml:space="preserve">4 </w:t>
            </w:r>
          </w:p>
        </w:tc>
        <w:tc>
          <w:tcPr>
            <w:tcW w:w="5822" w:type="dxa"/>
          </w:tcPr>
          <w:p w:rsidR="00C3658F" w:rsidRPr="0055014C" w:rsidRDefault="00C3658F" w:rsidP="001803E2">
            <w:pPr>
              <w:keepNext/>
              <w:rPr>
                <w:rFonts w:ascii="Arial" w:hAnsi="Arial"/>
                <w:lang w:val="fr-CA"/>
              </w:rPr>
            </w:pPr>
            <w:r w:rsidRPr="0055014C">
              <w:rPr>
                <w:rFonts w:ascii="Arial" w:hAnsi="Arial"/>
                <w:lang w:val="fr-CA"/>
              </w:rPr>
              <w:t xml:space="preserve">Bande solide de globules rouges agglutinés à la surface du gel. Quelques agglutinats peuvent descendre dans le gel, mais restent à proximité de la bande principale. </w:t>
            </w:r>
          </w:p>
        </w:tc>
      </w:tr>
      <w:tr w:rsidR="00C3658F" w:rsidRPr="0055014C" w:rsidTr="001803E2">
        <w:trPr>
          <w:trHeight w:val="870"/>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H</w:t>
            </w:r>
          </w:p>
        </w:tc>
        <w:tc>
          <w:tcPr>
            <w:tcW w:w="5822" w:type="dxa"/>
          </w:tcPr>
          <w:p w:rsidR="00C3658F" w:rsidRPr="0055014C" w:rsidRDefault="00C3658F" w:rsidP="001803E2">
            <w:pPr>
              <w:keepNext/>
              <w:rPr>
                <w:rFonts w:ascii="Arial" w:hAnsi="Arial"/>
                <w:lang w:val="fr-CA"/>
              </w:rPr>
            </w:pPr>
            <w:r w:rsidRPr="0055014C">
              <w:rPr>
                <w:rFonts w:ascii="Arial" w:hAnsi="Arial"/>
                <w:lang w:val="fr-CA"/>
              </w:rPr>
              <w:t xml:space="preserve">Hémolyse et absence ou presque de globules rouges dans le gel. Inscrivez la présence d’hémolyse dans le microtube, mais non dans l’échantillon. </w:t>
            </w:r>
          </w:p>
        </w:tc>
      </w:tr>
      <w:tr w:rsidR="00C3658F" w:rsidRPr="0055014C" w:rsidTr="001803E2">
        <w:trPr>
          <w:trHeight w:val="653"/>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cm</w:t>
            </w:r>
          </w:p>
        </w:tc>
        <w:tc>
          <w:tcPr>
            <w:tcW w:w="5822" w:type="dxa"/>
          </w:tcPr>
          <w:p w:rsidR="00C3658F" w:rsidRPr="0055014C" w:rsidRDefault="00C3658F" w:rsidP="001803E2">
            <w:pPr>
              <w:keepNext/>
              <w:rPr>
                <w:rFonts w:ascii="Arial" w:hAnsi="Arial"/>
                <w:lang w:val="fr-CA"/>
              </w:rPr>
            </w:pPr>
            <w:r w:rsidRPr="0055014C">
              <w:rPr>
                <w:rFonts w:ascii="Arial" w:hAnsi="Arial"/>
                <w:lang w:val="fr-CA"/>
              </w:rPr>
              <w:t xml:space="preserve">Bande de globules rouges agglutinés à la surface du gel et culot de globules rouges non agglutinés au fond du microtube. </w:t>
            </w:r>
          </w:p>
        </w:tc>
      </w:tr>
      <w:tr w:rsidR="00C3658F" w:rsidRPr="0055014C" w:rsidTr="001803E2">
        <w:trPr>
          <w:trHeight w:val="218"/>
          <w:jc w:val="center"/>
        </w:trPr>
        <w:tc>
          <w:tcPr>
            <w:tcW w:w="1306" w:type="dxa"/>
          </w:tcPr>
          <w:p w:rsidR="00C3658F" w:rsidRPr="0055014C" w:rsidRDefault="00C3658F" w:rsidP="001803E2">
            <w:pPr>
              <w:keepNext/>
              <w:jc w:val="center"/>
              <w:rPr>
                <w:rFonts w:ascii="Arial" w:hAnsi="Arial"/>
                <w:lang w:val="fr-CA"/>
              </w:rPr>
            </w:pPr>
            <w:r w:rsidRPr="0055014C">
              <w:rPr>
                <w:rFonts w:ascii="Arial" w:hAnsi="Arial"/>
                <w:lang w:val="fr-CA"/>
              </w:rPr>
              <w:t>NT ou NF</w:t>
            </w:r>
          </w:p>
        </w:tc>
        <w:tc>
          <w:tcPr>
            <w:tcW w:w="5822" w:type="dxa"/>
          </w:tcPr>
          <w:p w:rsidR="00C3658F" w:rsidRPr="0055014C" w:rsidRDefault="00C3658F" w:rsidP="001803E2">
            <w:pPr>
              <w:keepNext/>
              <w:rPr>
                <w:rFonts w:ascii="Arial" w:hAnsi="Arial"/>
                <w:lang w:val="fr-CA"/>
              </w:rPr>
            </w:pPr>
            <w:r w:rsidRPr="0055014C">
              <w:rPr>
                <w:rFonts w:ascii="Arial" w:hAnsi="Arial"/>
                <w:lang w:val="fr-CA"/>
              </w:rPr>
              <w:t>Non testé ou non fait</w:t>
            </w:r>
          </w:p>
        </w:tc>
      </w:tr>
      <w:tr w:rsidR="00C3658F" w:rsidRPr="0055014C" w:rsidTr="001803E2">
        <w:trPr>
          <w:trHeight w:val="445"/>
          <w:jc w:val="center"/>
        </w:trPr>
        <w:tc>
          <w:tcPr>
            <w:tcW w:w="7128" w:type="dxa"/>
            <w:gridSpan w:val="2"/>
          </w:tcPr>
          <w:p w:rsidR="00C3658F" w:rsidRPr="0055014C" w:rsidRDefault="00C3658F" w:rsidP="001803E2">
            <w:pPr>
              <w:rPr>
                <w:rFonts w:ascii="Arial" w:hAnsi="Arial"/>
                <w:lang w:val="fr-CA"/>
              </w:rPr>
            </w:pPr>
            <w:r w:rsidRPr="00827AB6">
              <w:rPr>
                <w:rFonts w:ascii="Arial" w:hAnsi="Arial"/>
                <w:lang w:val="fr-CA"/>
              </w:rPr>
              <w:t>*</w:t>
            </w:r>
            <w:r w:rsidRPr="0055014C">
              <w:rPr>
                <w:rFonts w:ascii="Arial" w:hAnsi="Arial"/>
                <w:lang w:val="fr-CA"/>
              </w:rPr>
              <w:t xml:space="preserve"> Ne pas utiliser de demi-niveau, d’exposant ou de signes « plus ». </w:t>
            </w:r>
          </w:p>
          <w:p w:rsidR="00C3658F" w:rsidRPr="0055014C" w:rsidRDefault="00C3658F" w:rsidP="001803E2">
            <w:pPr>
              <w:rPr>
                <w:rFonts w:ascii="Arial" w:hAnsi="Arial"/>
                <w:lang w:val="fr-CA"/>
              </w:rPr>
            </w:pPr>
          </w:p>
        </w:tc>
      </w:tr>
    </w:tbl>
    <w:p w:rsidR="00C3658F" w:rsidRDefault="00C3658F" w:rsidP="00C3658F">
      <w:pPr>
        <w:ind w:left="720"/>
        <w:rPr>
          <w:rFonts w:ascii="Arial" w:hAnsi="Arial"/>
          <w:color w:val="000000"/>
          <w:spacing w:val="-2"/>
          <w:sz w:val="24"/>
          <w:lang w:val="fr-CA"/>
        </w:rPr>
      </w:pPr>
      <w:r>
        <w:rPr>
          <w:rFonts w:ascii="Arial" w:hAnsi="Arial"/>
          <w:color w:val="000000"/>
          <w:spacing w:val="-2"/>
          <w:sz w:val="24"/>
          <w:lang w:val="fr-CA"/>
        </w:rPr>
        <w:t xml:space="preserve">Voir </w:t>
      </w:r>
      <w:r w:rsidRPr="00D9091B">
        <w:rPr>
          <w:rFonts w:ascii="Arial" w:hAnsi="Arial"/>
          <w:color w:val="000000"/>
          <w:spacing w:val="-2"/>
          <w:sz w:val="24"/>
          <w:lang w:val="fr-CA"/>
        </w:rPr>
        <w:t>la section de discussion sur chaque niveau dans le guide d’interprétation MTS pour plus d’information</w:t>
      </w:r>
      <w:r>
        <w:rPr>
          <w:rFonts w:ascii="Arial" w:hAnsi="Arial"/>
          <w:color w:val="000000"/>
          <w:spacing w:val="-2"/>
          <w:sz w:val="24"/>
          <w:lang w:val="fr-CA"/>
        </w:rPr>
        <w:t>.</w:t>
      </w:r>
    </w:p>
    <w:p w:rsidR="00BA37C8" w:rsidRDefault="00C3658F">
      <w:pPr>
        <w:numPr>
          <w:ilvl w:val="2"/>
          <w:numId w:val="1"/>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Noter les résultats.</w:t>
      </w:r>
    </w:p>
    <w:p w:rsidR="00291756" w:rsidRDefault="00291756">
      <w:pPr>
        <w:ind w:left="720"/>
        <w:rPr>
          <w:rFonts w:ascii="Arial" w:hAnsi="Arial"/>
          <w:sz w:val="24"/>
          <w:lang w:val="fr-CA"/>
        </w:rPr>
      </w:pPr>
    </w:p>
    <w:p w:rsidR="00C3658F" w:rsidRPr="002817E1" w:rsidRDefault="00C3658F">
      <w:pPr>
        <w:ind w:left="720"/>
        <w:rPr>
          <w:rFonts w:ascii="Arial" w:hAnsi="Arial"/>
          <w:sz w:val="24"/>
          <w:lang w:val="fr-CA"/>
        </w:rPr>
      </w:pPr>
    </w:p>
    <w:p w:rsidR="00291756" w:rsidRPr="002817E1" w:rsidRDefault="006D3F7A">
      <w:pPr>
        <w:numPr>
          <w:ilvl w:val="0"/>
          <w:numId w:val="1"/>
        </w:numPr>
        <w:rPr>
          <w:rFonts w:ascii="Arial" w:hAnsi="Arial"/>
          <w:b/>
          <w:sz w:val="28"/>
          <w:lang w:val="fr-CA"/>
        </w:rPr>
      </w:pPr>
      <w:r w:rsidRPr="002817E1">
        <w:rPr>
          <w:rFonts w:ascii="Arial" w:hAnsi="Arial"/>
          <w:b/>
          <w:sz w:val="28"/>
          <w:lang w:val="fr-CA"/>
        </w:rPr>
        <w:t>Documentation</w:t>
      </w:r>
    </w:p>
    <w:p w:rsidR="00291756" w:rsidRPr="002817E1" w:rsidRDefault="00291756">
      <w:pPr>
        <w:rPr>
          <w:rFonts w:ascii="Arial" w:hAnsi="Arial"/>
          <w:b/>
          <w:sz w:val="24"/>
          <w:lang w:val="fr-CA"/>
        </w:rPr>
      </w:pPr>
    </w:p>
    <w:p w:rsidR="00291756" w:rsidRPr="002817E1" w:rsidRDefault="002817E1">
      <w:pPr>
        <w:numPr>
          <w:ilvl w:val="1"/>
          <w:numId w:val="1"/>
        </w:numPr>
        <w:tabs>
          <w:tab w:val="left" w:pos="-720"/>
          <w:tab w:val="left" w:pos="0"/>
        </w:tabs>
        <w:suppressAutoHyphens/>
        <w:rPr>
          <w:rFonts w:ascii="Arial" w:hAnsi="Arial"/>
          <w:spacing w:val="-2"/>
          <w:sz w:val="24"/>
          <w:lang w:val="fr-CA"/>
        </w:rPr>
      </w:pPr>
      <w:r w:rsidRPr="002817E1">
        <w:rPr>
          <w:rFonts w:ascii="Arial" w:hAnsi="Arial"/>
          <w:spacing w:val="-2"/>
          <w:sz w:val="24"/>
          <w:lang w:val="fr-CA"/>
        </w:rPr>
        <w:t>L’ag</w:t>
      </w:r>
      <w:r w:rsidR="00291756" w:rsidRPr="002817E1">
        <w:rPr>
          <w:rFonts w:ascii="Arial" w:hAnsi="Arial"/>
          <w:spacing w:val="-2"/>
          <w:sz w:val="24"/>
          <w:lang w:val="fr-CA"/>
        </w:rPr>
        <w:t xml:space="preserve">glutination </w:t>
      </w:r>
      <w:r w:rsidRPr="002817E1">
        <w:rPr>
          <w:rFonts w:ascii="Arial" w:hAnsi="Arial"/>
          <w:spacing w:val="-2"/>
          <w:sz w:val="24"/>
          <w:lang w:val="fr-CA"/>
        </w:rPr>
        <w:t>de n’importe quelle quantité de globules rouges dans le microtube est une réaction positive.</w:t>
      </w:r>
    </w:p>
    <w:p w:rsidR="00291756" w:rsidRPr="00295CC6" w:rsidRDefault="00291756">
      <w:pPr>
        <w:tabs>
          <w:tab w:val="left" w:pos="-720"/>
        </w:tabs>
        <w:suppressAutoHyphens/>
        <w:rPr>
          <w:rFonts w:ascii="Arial" w:hAnsi="Arial"/>
          <w:spacing w:val="-2"/>
          <w:sz w:val="24"/>
          <w:lang w:val="fr-CA"/>
        </w:rPr>
      </w:pPr>
    </w:p>
    <w:p w:rsidR="00291756" w:rsidRPr="002817E1" w:rsidRDefault="002817E1">
      <w:pPr>
        <w:numPr>
          <w:ilvl w:val="1"/>
          <w:numId w:val="1"/>
        </w:numPr>
        <w:tabs>
          <w:tab w:val="left" w:pos="-720"/>
          <w:tab w:val="left" w:pos="0"/>
        </w:tabs>
        <w:suppressAutoHyphens/>
        <w:rPr>
          <w:rFonts w:ascii="Arial" w:hAnsi="Arial"/>
          <w:spacing w:val="-2"/>
          <w:sz w:val="24"/>
          <w:lang w:val="fr-CA"/>
        </w:rPr>
      </w:pPr>
      <w:r w:rsidRPr="002817E1">
        <w:rPr>
          <w:rFonts w:ascii="Arial" w:hAnsi="Arial"/>
          <w:spacing w:val="-2"/>
          <w:sz w:val="24"/>
          <w:lang w:val="fr-CA"/>
        </w:rPr>
        <w:t>L’absence d’</w:t>
      </w:r>
      <w:r w:rsidR="00291756" w:rsidRPr="002817E1">
        <w:rPr>
          <w:rFonts w:ascii="Arial" w:hAnsi="Arial"/>
          <w:spacing w:val="-2"/>
          <w:sz w:val="24"/>
          <w:lang w:val="fr-CA"/>
        </w:rPr>
        <w:t>agglutination indi</w:t>
      </w:r>
      <w:r w:rsidRPr="002817E1">
        <w:rPr>
          <w:rFonts w:ascii="Arial" w:hAnsi="Arial"/>
          <w:spacing w:val="-2"/>
          <w:sz w:val="24"/>
          <w:lang w:val="fr-CA"/>
        </w:rPr>
        <w:t>que l’absence de composants d’</w:t>
      </w:r>
      <w:r w:rsidR="00291756" w:rsidRPr="002817E1">
        <w:rPr>
          <w:rFonts w:ascii="Arial" w:hAnsi="Arial"/>
          <w:spacing w:val="-2"/>
          <w:sz w:val="24"/>
          <w:lang w:val="fr-CA"/>
        </w:rPr>
        <w:t xml:space="preserve">IgG </w:t>
      </w:r>
      <w:r w:rsidRPr="002817E1">
        <w:rPr>
          <w:rFonts w:ascii="Arial" w:hAnsi="Arial"/>
          <w:spacing w:val="-2"/>
          <w:sz w:val="24"/>
          <w:lang w:val="fr-CA"/>
        </w:rPr>
        <w:t>détectables sur les globules rouges</w:t>
      </w:r>
      <w:r w:rsidR="00291756" w:rsidRPr="002817E1">
        <w:rPr>
          <w:rFonts w:ascii="Arial" w:hAnsi="Arial"/>
          <w:spacing w:val="-2"/>
          <w:sz w:val="24"/>
          <w:lang w:val="fr-CA"/>
        </w:rPr>
        <w:t>.</w:t>
      </w:r>
    </w:p>
    <w:p w:rsidR="00291756" w:rsidRPr="002817E1" w:rsidRDefault="00291756">
      <w:pPr>
        <w:rPr>
          <w:rFonts w:ascii="Arial" w:hAnsi="Arial"/>
          <w:sz w:val="24"/>
          <w:lang w:val="fr-CA"/>
        </w:rPr>
      </w:pPr>
    </w:p>
    <w:p w:rsidR="00291756" w:rsidRDefault="002817E1">
      <w:pPr>
        <w:numPr>
          <w:ilvl w:val="1"/>
          <w:numId w:val="1"/>
        </w:numPr>
        <w:rPr>
          <w:rFonts w:ascii="Arial" w:hAnsi="Arial"/>
          <w:sz w:val="24"/>
          <w:lang w:val="fr-CA"/>
        </w:rPr>
      </w:pPr>
      <w:r w:rsidRPr="002817E1">
        <w:rPr>
          <w:rFonts w:ascii="Arial" w:hAnsi="Arial"/>
          <w:sz w:val="24"/>
          <w:lang w:val="fr-CA"/>
        </w:rPr>
        <w:t xml:space="preserve">Si le TDA est </w:t>
      </w:r>
      <w:r w:rsidR="00291756" w:rsidRPr="002817E1">
        <w:rPr>
          <w:rFonts w:ascii="Arial" w:hAnsi="Arial"/>
          <w:sz w:val="24"/>
          <w:lang w:val="fr-CA"/>
        </w:rPr>
        <w:t>positi</w:t>
      </w:r>
      <w:r w:rsidRPr="002817E1">
        <w:rPr>
          <w:rFonts w:ascii="Arial" w:hAnsi="Arial"/>
          <w:sz w:val="24"/>
          <w:lang w:val="fr-CA"/>
        </w:rPr>
        <w:t>f quant à l’</w:t>
      </w:r>
      <w:r w:rsidR="00291756" w:rsidRPr="002817E1">
        <w:rPr>
          <w:rFonts w:ascii="Arial" w:hAnsi="Arial"/>
          <w:sz w:val="24"/>
          <w:lang w:val="fr-CA"/>
        </w:rPr>
        <w:t xml:space="preserve">anti-IgG </w:t>
      </w:r>
      <w:r w:rsidRPr="002817E1">
        <w:rPr>
          <w:rFonts w:ascii="Arial" w:hAnsi="Arial"/>
          <w:sz w:val="24"/>
          <w:lang w:val="fr-CA"/>
        </w:rPr>
        <w:t>et</w:t>
      </w:r>
      <w:r w:rsidR="00291756" w:rsidRPr="002817E1">
        <w:rPr>
          <w:rFonts w:ascii="Arial" w:hAnsi="Arial"/>
          <w:sz w:val="24"/>
          <w:lang w:val="fr-CA"/>
        </w:rPr>
        <w:t xml:space="preserve"> </w:t>
      </w:r>
      <w:r w:rsidRPr="002817E1">
        <w:rPr>
          <w:rFonts w:ascii="Arial" w:hAnsi="Arial"/>
          <w:sz w:val="24"/>
          <w:lang w:val="fr-CA"/>
        </w:rPr>
        <w:t>que le témoin est négatif, obtenir la liste des médicaments que prend le patient et les antécédents récents de transfusion (trois derniers mois)</w:t>
      </w:r>
      <w:r w:rsidR="00291756" w:rsidRPr="002817E1">
        <w:rPr>
          <w:rFonts w:ascii="Arial" w:hAnsi="Arial"/>
          <w:sz w:val="24"/>
          <w:lang w:val="fr-CA"/>
        </w:rPr>
        <w:t>.</w:t>
      </w:r>
      <w:r w:rsidR="00C17934">
        <w:rPr>
          <w:rFonts w:ascii="Arial" w:hAnsi="Arial"/>
          <w:sz w:val="24"/>
          <w:lang w:val="fr-CA"/>
        </w:rPr>
        <w:t xml:space="preserve"> </w:t>
      </w:r>
      <w:r w:rsidR="006D3F7A" w:rsidRPr="002817E1">
        <w:rPr>
          <w:rFonts w:ascii="Arial" w:hAnsi="Arial"/>
          <w:sz w:val="24"/>
          <w:lang w:val="fr-CA"/>
        </w:rPr>
        <w:t>Pour obtenir des antécédents précis, il sera peut-être nécessaire de consulter le patient ou sa famille, l’infirmière et/ou le médecin.</w:t>
      </w:r>
      <w:r w:rsidR="00C17934">
        <w:rPr>
          <w:rFonts w:ascii="Arial" w:hAnsi="Arial"/>
          <w:sz w:val="24"/>
          <w:lang w:val="fr-CA"/>
        </w:rPr>
        <w:t xml:space="preserve"> </w:t>
      </w:r>
      <w:r w:rsidR="006D3F7A" w:rsidRPr="002817E1">
        <w:rPr>
          <w:rFonts w:ascii="Arial" w:hAnsi="Arial"/>
          <w:sz w:val="24"/>
          <w:lang w:val="fr-CA"/>
        </w:rPr>
        <w:t>Voir EC.005 - Investigation d’un test direct à l’antiglobuline (TDA)</w:t>
      </w:r>
      <w:r w:rsidR="00F60407" w:rsidRPr="00F60407">
        <w:rPr>
          <w:rFonts w:ascii="Arial" w:hAnsi="Arial"/>
          <w:sz w:val="24"/>
          <w:lang w:val="fr-CA"/>
        </w:rPr>
        <w:t xml:space="preserve"> </w:t>
      </w:r>
      <w:r w:rsidR="00F60407" w:rsidRPr="002817E1">
        <w:rPr>
          <w:rFonts w:ascii="Arial" w:hAnsi="Arial"/>
          <w:sz w:val="24"/>
          <w:lang w:val="fr-CA"/>
        </w:rPr>
        <w:t>positif</w:t>
      </w:r>
      <w:r w:rsidR="00F60407">
        <w:rPr>
          <w:rFonts w:ascii="Arial" w:hAnsi="Arial"/>
          <w:sz w:val="24"/>
          <w:lang w:val="fr-CA"/>
        </w:rPr>
        <w:t>.</w:t>
      </w:r>
    </w:p>
    <w:p w:rsidR="00F60407" w:rsidRPr="002817E1" w:rsidRDefault="00F60407" w:rsidP="00F60407">
      <w:pPr>
        <w:ind w:left="1440"/>
        <w:rPr>
          <w:rFonts w:ascii="Arial" w:hAnsi="Arial"/>
          <w:sz w:val="24"/>
          <w:lang w:val="fr-CA"/>
        </w:rPr>
      </w:pPr>
    </w:p>
    <w:p w:rsidR="00291756" w:rsidRPr="00295CC6" w:rsidRDefault="00291756">
      <w:pPr>
        <w:rPr>
          <w:rFonts w:ascii="Arial" w:hAnsi="Arial"/>
          <w:sz w:val="24"/>
          <w:lang w:val="fr-CA"/>
        </w:rPr>
      </w:pPr>
    </w:p>
    <w:p w:rsidR="00291756" w:rsidRPr="00295CC6" w:rsidRDefault="002817E1">
      <w:pPr>
        <w:numPr>
          <w:ilvl w:val="1"/>
          <w:numId w:val="1"/>
        </w:numPr>
        <w:rPr>
          <w:rFonts w:ascii="Arial" w:hAnsi="Arial"/>
          <w:sz w:val="24"/>
          <w:lang w:val="fr-CA"/>
        </w:rPr>
      </w:pPr>
      <w:r w:rsidRPr="002817E1">
        <w:rPr>
          <w:rFonts w:ascii="Arial" w:hAnsi="Arial"/>
          <w:sz w:val="24"/>
          <w:lang w:val="fr-CA"/>
        </w:rPr>
        <w:t xml:space="preserve">Pour un échantillon de nouveau-né, si le TDA est négatif, que le nouveau-né a la jaunisse, que le dépistage anticorps maternel est négatif et que les cellules du nouveau-né sont ABO incompatibles avec le plasma maternel, inscrire : « Bien que le TDA soit négatif, la maladie hémolytique du nouveau-né en raison d’anti-A ou </w:t>
      </w:r>
      <w:r w:rsidR="00F60407">
        <w:rPr>
          <w:rFonts w:ascii="Arial" w:hAnsi="Arial"/>
          <w:sz w:val="24"/>
          <w:lang w:val="fr-CA"/>
        </w:rPr>
        <w:t>d’anti</w:t>
      </w:r>
      <w:r>
        <w:rPr>
          <w:rFonts w:ascii="Arial" w:hAnsi="Arial"/>
          <w:sz w:val="24"/>
          <w:lang w:val="fr-CA"/>
        </w:rPr>
        <w:t>-</w:t>
      </w:r>
      <w:r w:rsidRPr="002817E1">
        <w:rPr>
          <w:rFonts w:ascii="Arial" w:hAnsi="Arial"/>
          <w:sz w:val="24"/>
          <w:lang w:val="fr-CA"/>
        </w:rPr>
        <w:t>B maternel ne peut être exclue</w:t>
      </w:r>
      <w:r>
        <w:rPr>
          <w:rFonts w:ascii="Arial" w:hAnsi="Arial"/>
          <w:sz w:val="24"/>
          <w:lang w:val="fr-CA"/>
        </w:rPr>
        <w:t>.</w:t>
      </w:r>
      <w:r w:rsidRPr="002817E1">
        <w:rPr>
          <w:rFonts w:ascii="Arial" w:hAnsi="Arial"/>
          <w:sz w:val="24"/>
          <w:lang w:val="fr-CA"/>
        </w:rPr>
        <w:t> »</w:t>
      </w:r>
      <w:r>
        <w:rPr>
          <w:rFonts w:ascii="Arial" w:hAnsi="Arial"/>
          <w:sz w:val="24"/>
          <w:lang w:val="fr-CA"/>
        </w:rPr>
        <w:t>.</w:t>
      </w:r>
      <w:r w:rsidRPr="002817E1">
        <w:rPr>
          <w:rFonts w:ascii="Arial" w:hAnsi="Arial"/>
          <w:sz w:val="24"/>
          <w:lang w:val="fr-CA"/>
        </w:rPr>
        <w:t xml:space="preserve"> </w:t>
      </w:r>
    </w:p>
    <w:p w:rsidR="00291756" w:rsidRDefault="00291756">
      <w:pPr>
        <w:rPr>
          <w:rFonts w:ascii="Arial" w:hAnsi="Arial"/>
          <w:sz w:val="24"/>
          <w:lang w:val="fr-CA"/>
        </w:rPr>
      </w:pPr>
    </w:p>
    <w:p w:rsidR="00F60407" w:rsidRPr="00295CC6" w:rsidRDefault="00F60407">
      <w:pPr>
        <w:rPr>
          <w:rFonts w:ascii="Arial" w:hAnsi="Arial"/>
          <w:sz w:val="24"/>
          <w:lang w:val="fr-CA"/>
        </w:rPr>
      </w:pPr>
    </w:p>
    <w:p w:rsidR="00291756" w:rsidRPr="00295CC6" w:rsidRDefault="006D3F7A">
      <w:pPr>
        <w:numPr>
          <w:ilvl w:val="0"/>
          <w:numId w:val="1"/>
        </w:numPr>
        <w:rPr>
          <w:rFonts w:ascii="Arial" w:hAnsi="Arial"/>
          <w:b/>
          <w:sz w:val="28"/>
          <w:lang w:val="fr-CA"/>
        </w:rPr>
      </w:pPr>
      <w:r w:rsidRPr="00295CC6">
        <w:rPr>
          <w:rFonts w:ascii="Arial" w:hAnsi="Arial"/>
          <w:b/>
          <w:sz w:val="28"/>
          <w:lang w:val="fr-CA"/>
        </w:rPr>
        <w:t>Remarques</w:t>
      </w:r>
    </w:p>
    <w:p w:rsidR="00291756" w:rsidRDefault="00291756">
      <w:pPr>
        <w:rPr>
          <w:rFonts w:ascii="Arial" w:hAnsi="Arial"/>
          <w:b/>
          <w:sz w:val="24"/>
          <w:lang w:val="fr-CA"/>
        </w:rPr>
      </w:pPr>
    </w:p>
    <w:p w:rsidR="00F60407" w:rsidRDefault="00F60407" w:rsidP="00F60407">
      <w:pPr>
        <w:numPr>
          <w:ilvl w:val="1"/>
          <w:numId w:val="18"/>
        </w:numPr>
        <w:spacing w:line="228" w:lineRule="auto"/>
        <w:rPr>
          <w:rFonts w:ascii="Arial" w:hAnsi="Arial"/>
          <w:spacing w:val="-2"/>
          <w:sz w:val="24"/>
          <w:lang w:val="fr-CA"/>
        </w:rPr>
      </w:pPr>
      <w:r>
        <w:rPr>
          <w:rFonts w:ascii="Arial" w:hAnsi="Arial"/>
          <w:spacing w:val="-2"/>
          <w:sz w:val="24"/>
          <w:lang w:val="fr-CA"/>
        </w:rPr>
        <w:t xml:space="preserve">Si un TDA effectué sur un échantillon coagulé détecte un complément, </w:t>
      </w:r>
      <w:r w:rsidR="003727F2">
        <w:rPr>
          <w:rFonts w:ascii="Arial" w:hAnsi="Arial"/>
          <w:spacing w:val="-2"/>
          <w:sz w:val="24"/>
          <w:lang w:val="fr-CA"/>
        </w:rPr>
        <w:t>le résultat sera vérifié sur un échantillon</w:t>
      </w:r>
      <w:r w:rsidR="00714D4A">
        <w:rPr>
          <w:rFonts w:ascii="Arial" w:hAnsi="Arial"/>
          <w:spacing w:val="-2"/>
          <w:sz w:val="24"/>
          <w:lang w:val="fr-CA"/>
        </w:rPr>
        <w:t> </w:t>
      </w:r>
      <w:r w:rsidR="003727F2">
        <w:rPr>
          <w:rFonts w:ascii="Arial" w:hAnsi="Arial"/>
          <w:spacing w:val="-2"/>
          <w:sz w:val="24"/>
          <w:lang w:val="fr-CA"/>
        </w:rPr>
        <w:t>EDTA</w:t>
      </w:r>
      <w:r w:rsidR="003727F2" w:rsidRPr="003727F2">
        <w:rPr>
          <w:rFonts w:ascii="Arial" w:hAnsi="Arial"/>
          <w:spacing w:val="-2"/>
          <w:sz w:val="24"/>
          <w:vertAlign w:val="superscript"/>
          <w:lang w:val="fr-CA"/>
        </w:rPr>
        <w:t>9.1</w:t>
      </w:r>
      <w:r w:rsidR="003727F2">
        <w:rPr>
          <w:rFonts w:ascii="Arial" w:hAnsi="Arial"/>
          <w:spacing w:val="-2"/>
          <w:sz w:val="24"/>
          <w:lang w:val="fr-CA"/>
        </w:rPr>
        <w:t>.</w:t>
      </w:r>
      <w:r w:rsidR="003727F2">
        <w:rPr>
          <w:rFonts w:ascii="Arial" w:hAnsi="Arial"/>
          <w:spacing w:val="-2"/>
          <w:sz w:val="24"/>
          <w:lang w:val="fr-CA"/>
        </w:rPr>
        <w:br/>
      </w:r>
    </w:p>
    <w:p w:rsidR="00F60407" w:rsidRPr="00F60407" w:rsidRDefault="00F60407" w:rsidP="00F60407">
      <w:pPr>
        <w:numPr>
          <w:ilvl w:val="1"/>
          <w:numId w:val="18"/>
        </w:numPr>
        <w:spacing w:line="228" w:lineRule="auto"/>
        <w:rPr>
          <w:rFonts w:ascii="Arial" w:hAnsi="Arial"/>
          <w:spacing w:val="-2"/>
          <w:sz w:val="24"/>
          <w:lang w:val="fr-CA"/>
        </w:rPr>
      </w:pPr>
      <w:r>
        <w:rPr>
          <w:rFonts w:ascii="Arial" w:hAnsi="Arial"/>
          <w:spacing w:val="-2"/>
          <w:sz w:val="24"/>
          <w:lang w:val="fr-CA"/>
        </w:rPr>
        <w:t>On doit procéder avec soin à l’interprétation des réactions de type champ mixte. La présence de fibrine, de caillots ou de particules peut entraîner la formation d’une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petite.</w:t>
      </w:r>
      <w:r w:rsidR="003727F2">
        <w:rPr>
          <w:rFonts w:ascii="Arial" w:hAnsi="Arial"/>
          <w:spacing w:val="-2"/>
          <w:sz w:val="24"/>
          <w:lang w:val="fr-CA"/>
        </w:rPr>
        <w:t xml:space="preserve"> Vérifier les antécédents du patient.</w:t>
      </w:r>
    </w:p>
    <w:p w:rsidR="00F60407" w:rsidRDefault="00F60407" w:rsidP="00F60407">
      <w:pPr>
        <w:ind w:left="1440"/>
        <w:rPr>
          <w:rFonts w:ascii="Arial" w:hAnsi="Arial"/>
          <w:sz w:val="24"/>
          <w:lang w:val="fr-CA"/>
        </w:rPr>
      </w:pPr>
    </w:p>
    <w:p w:rsidR="00F60407" w:rsidRDefault="00F60407" w:rsidP="00F60407">
      <w:pPr>
        <w:numPr>
          <w:ilvl w:val="1"/>
          <w:numId w:val="18"/>
        </w:numPr>
        <w:spacing w:line="228" w:lineRule="auto"/>
        <w:rPr>
          <w:rFonts w:ascii="Arial" w:hAnsi="Arial"/>
          <w:sz w:val="24"/>
          <w:lang w:val="fr-CA"/>
        </w:rPr>
      </w:pPr>
      <w:r w:rsidRPr="0055014C">
        <w:rPr>
          <w:rFonts w:ascii="Arial" w:hAnsi="Arial"/>
          <w:spacing w:val="-2"/>
          <w:sz w:val="24"/>
          <w:lang w:val="fr-CA"/>
        </w:rPr>
        <w:t xml:space="preserve">La présence de trop ou de trop peu de cellules </w:t>
      </w:r>
      <w:r w:rsidRPr="0055014C">
        <w:rPr>
          <w:rFonts w:ascii="Arial" w:hAnsi="Arial"/>
          <w:sz w:val="24"/>
          <w:lang w:val="fr-CA"/>
        </w:rPr>
        <w:t>dans le microtube peut susciter des réactions faussement positives ou faussement négatives. Cette situation peut être due à l’une ou aux deux erreurs suivantes</w:t>
      </w:r>
      <w:r>
        <w:rPr>
          <w:rFonts w:ascii="Arial" w:hAnsi="Arial"/>
          <w:sz w:val="24"/>
          <w:lang w:val="fr-CA"/>
        </w:rPr>
        <w:t> :</w:t>
      </w:r>
    </w:p>
    <w:p w:rsidR="00F60407" w:rsidRDefault="00F60407" w:rsidP="00F60407">
      <w:pPr>
        <w:numPr>
          <w:ilvl w:val="2"/>
          <w:numId w:val="17"/>
        </w:numPr>
        <w:ind w:hanging="579"/>
        <w:rPr>
          <w:rFonts w:ascii="Arial" w:hAnsi="Arial"/>
          <w:sz w:val="24"/>
          <w:lang w:val="fr-CA"/>
        </w:rPr>
      </w:pPr>
      <w:r w:rsidRPr="0055014C">
        <w:rPr>
          <w:rFonts w:ascii="Arial" w:hAnsi="Arial"/>
          <w:sz w:val="24"/>
          <w:lang w:val="fr-CA"/>
        </w:rPr>
        <w:t xml:space="preserve">suspension de cellules mal préparée </w:t>
      </w:r>
    </w:p>
    <w:p w:rsidR="00F60407" w:rsidRDefault="00F60407" w:rsidP="00F60407">
      <w:pPr>
        <w:numPr>
          <w:ilvl w:val="2"/>
          <w:numId w:val="17"/>
        </w:numPr>
        <w:ind w:hanging="579"/>
        <w:rPr>
          <w:rFonts w:ascii="Arial" w:hAnsi="Arial"/>
          <w:sz w:val="24"/>
          <w:lang w:val="fr-CA"/>
        </w:rPr>
      </w:pPr>
      <w:r w:rsidRPr="000D0ED1">
        <w:rPr>
          <w:rFonts w:ascii="Arial" w:hAnsi="Arial"/>
          <w:sz w:val="24"/>
          <w:lang w:val="fr-CA"/>
        </w:rPr>
        <w:t>ajout d’une mauvaise quantité de cellules dans la partie supérieure du microtu</w:t>
      </w:r>
      <w:r>
        <w:rPr>
          <w:rFonts w:ascii="Arial" w:hAnsi="Arial"/>
          <w:sz w:val="24"/>
          <w:lang w:val="fr-CA"/>
        </w:rPr>
        <w:t>be</w:t>
      </w:r>
      <w:r>
        <w:rPr>
          <w:rFonts w:ascii="Arial" w:hAnsi="Arial"/>
          <w:sz w:val="24"/>
          <w:lang w:val="fr-CA"/>
        </w:rPr>
        <w:br/>
      </w:r>
    </w:p>
    <w:p w:rsidR="00F60407" w:rsidRDefault="00F60407" w:rsidP="00827AB6">
      <w:pPr>
        <w:ind w:left="1440"/>
        <w:rPr>
          <w:rFonts w:ascii="Arial" w:hAnsi="Arial"/>
          <w:sz w:val="24"/>
          <w:lang w:val="fr-CA"/>
        </w:rPr>
      </w:pPr>
      <w:r w:rsidRPr="00827AB6">
        <w:rPr>
          <w:rFonts w:ascii="Arial" w:hAnsi="Arial"/>
          <w:sz w:val="24"/>
          <w:lang w:val="fr-CA"/>
        </w:rPr>
        <w:t>Si c’est le cas, répéter le ou les tests en s’assurant que les quantités sont bonnes et à l’aide de nouvelles suspensions de cellules.</w:t>
      </w:r>
      <w:r>
        <w:rPr>
          <w:rFonts w:ascii="Arial" w:hAnsi="Arial"/>
          <w:sz w:val="24"/>
          <w:lang w:val="fr-CA"/>
        </w:rPr>
        <w:br/>
      </w:r>
    </w:p>
    <w:p w:rsidR="00F60407" w:rsidRDefault="00F60407" w:rsidP="00F60407">
      <w:pPr>
        <w:numPr>
          <w:ilvl w:val="1"/>
          <w:numId w:val="18"/>
        </w:numPr>
        <w:rPr>
          <w:rFonts w:ascii="Arial" w:hAnsi="Arial"/>
          <w:sz w:val="24"/>
          <w:lang w:val="fr-CA"/>
        </w:rPr>
      </w:pPr>
      <w:r w:rsidRPr="0055014C">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w:t>
      </w:r>
      <w:r>
        <w:rPr>
          <w:rFonts w:ascii="Arial" w:hAnsi="Arial"/>
          <w:sz w:val="24"/>
          <w:lang w:val="fr-CA"/>
        </w:rPr>
        <w:t xml:space="preserve"> </w:t>
      </w:r>
      <w:r w:rsidRPr="0055014C">
        <w:rPr>
          <w:rFonts w:ascii="Arial" w:hAnsi="Arial"/>
          <w:sz w:val="24"/>
          <w:lang w:val="fr-CA"/>
        </w:rPr>
        <w:t>d’hémagglutination en tube et d’un remplacement par une solution saline, au besoin</w:t>
      </w:r>
      <w:r>
        <w:rPr>
          <w:rFonts w:ascii="Arial" w:hAnsi="Arial"/>
          <w:sz w:val="24"/>
          <w:lang w:val="fr-CA"/>
        </w:rPr>
        <w:t>.</w:t>
      </w:r>
    </w:p>
    <w:p w:rsidR="00F60407" w:rsidRDefault="00F60407" w:rsidP="00F60407">
      <w:pPr>
        <w:ind w:left="1440"/>
        <w:rPr>
          <w:rFonts w:ascii="Arial" w:hAnsi="Arial"/>
          <w:sz w:val="24"/>
          <w:lang w:val="fr-CA"/>
        </w:rPr>
      </w:pPr>
    </w:p>
    <w:p w:rsidR="00F60407" w:rsidRDefault="00F60407" w:rsidP="00F60407">
      <w:pPr>
        <w:numPr>
          <w:ilvl w:val="1"/>
          <w:numId w:val="18"/>
        </w:numPr>
        <w:rPr>
          <w:rFonts w:ascii="Arial" w:hAnsi="Arial"/>
          <w:sz w:val="24"/>
          <w:lang w:val="fr-CA"/>
        </w:rPr>
      </w:pPr>
      <w:r w:rsidRPr="0055014C">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r>
        <w:rPr>
          <w:rFonts w:ascii="Arial" w:hAnsi="Arial"/>
          <w:sz w:val="24"/>
          <w:lang w:val="fr-CA"/>
        </w:rPr>
        <w:t>.</w:t>
      </w:r>
    </w:p>
    <w:p w:rsidR="00F60407" w:rsidRDefault="00F60407" w:rsidP="00F60407">
      <w:pPr>
        <w:ind w:left="1997"/>
        <w:rPr>
          <w:rFonts w:ascii="Arial" w:hAnsi="Arial"/>
          <w:sz w:val="24"/>
          <w:lang w:val="fr-CA"/>
        </w:rPr>
      </w:pPr>
    </w:p>
    <w:p w:rsidR="00F60407" w:rsidRDefault="00F60407" w:rsidP="00F60B68">
      <w:pPr>
        <w:numPr>
          <w:ilvl w:val="1"/>
          <w:numId w:val="18"/>
        </w:numPr>
        <w:rPr>
          <w:rFonts w:ascii="Arial" w:hAnsi="Arial"/>
          <w:sz w:val="24"/>
          <w:lang w:val="fr-CA"/>
        </w:rPr>
      </w:pPr>
      <w:r w:rsidRPr="000D0ED1">
        <w:rPr>
          <w:rFonts w:ascii="Arial" w:hAnsi="Arial"/>
          <w:sz w:val="24"/>
          <w:lang w:val="fr-CA"/>
        </w:rPr>
        <w:t xml:space="preserve">De faux résultats positifs ou négatifs peuvent survenir dans les situations suivantes : contamination bactérienne du matériel de l’épreuve, température ou durée d’incubation inadéquate, mauvaise centrifugation, mauvais entreposage du matériel ou omission d’échantillons d’épreuves. </w:t>
      </w:r>
    </w:p>
    <w:p w:rsidR="00F60407" w:rsidRDefault="00F60407" w:rsidP="00F60407">
      <w:pPr>
        <w:pStyle w:val="ListParagraph"/>
        <w:rPr>
          <w:rFonts w:ascii="Arial" w:hAnsi="Arial"/>
          <w:spacing w:val="-2"/>
          <w:sz w:val="24"/>
          <w:lang w:val="fr-CA"/>
        </w:rPr>
      </w:pPr>
    </w:p>
    <w:p w:rsidR="00F60407" w:rsidRPr="005F4283" w:rsidRDefault="00F60407" w:rsidP="00F60407">
      <w:pPr>
        <w:numPr>
          <w:ilvl w:val="1"/>
          <w:numId w:val="18"/>
        </w:numPr>
        <w:rPr>
          <w:rFonts w:ascii="Arial" w:hAnsi="Arial"/>
          <w:sz w:val="24"/>
          <w:lang w:val="fr-CA"/>
        </w:rPr>
      </w:pPr>
      <w:r w:rsidRPr="000D0ED1">
        <w:rPr>
          <w:rFonts w:ascii="Arial" w:hAnsi="Arial"/>
          <w:spacing w:val="-2"/>
          <w:sz w:val="24"/>
          <w:lang w:val="fr-CA"/>
        </w:rPr>
        <w:t>De faux résultats positifs peuvent survenir dans le cas de cartes de gel qui présentent des signes de dessiccation</w:t>
      </w:r>
      <w:r>
        <w:rPr>
          <w:rFonts w:ascii="Arial" w:hAnsi="Arial"/>
          <w:spacing w:val="-2"/>
          <w:sz w:val="24"/>
          <w:lang w:val="fr-CA"/>
        </w:rPr>
        <w:t>.</w:t>
      </w:r>
    </w:p>
    <w:p w:rsidR="00F60407" w:rsidRDefault="00F60407" w:rsidP="00F60407">
      <w:pPr>
        <w:pStyle w:val="ListParagraph"/>
        <w:rPr>
          <w:rFonts w:ascii="Arial" w:hAnsi="Arial"/>
          <w:sz w:val="24"/>
          <w:lang w:val="fr-CA"/>
        </w:rPr>
      </w:pPr>
    </w:p>
    <w:p w:rsidR="00F60407" w:rsidRDefault="00F60407" w:rsidP="009A2397">
      <w:pPr>
        <w:numPr>
          <w:ilvl w:val="1"/>
          <w:numId w:val="18"/>
        </w:numPr>
        <w:ind w:left="1418" w:hanging="709"/>
        <w:rPr>
          <w:rFonts w:ascii="Arial" w:hAnsi="Arial"/>
          <w:sz w:val="24"/>
          <w:lang w:val="fr-CA"/>
        </w:rPr>
      </w:pPr>
      <w:r w:rsidRPr="009A2397">
        <w:rPr>
          <w:rFonts w:ascii="Arial" w:hAnsi="Arial"/>
          <w:spacing w:val="-2"/>
          <w:sz w:val="24"/>
          <w:lang w:val="fr-CA"/>
        </w:rPr>
        <w:t>Le sérum frais, la présence de fibrine ou de particules dans le sérum ou le plasma, ou l’adhérence de globules rouges aux parois du microtube peuvent entraîner des résultats anormaux. Le recours à du plasma avec EDTA minimisera le problème.</w:t>
      </w:r>
      <w:r w:rsidR="009A2397">
        <w:rPr>
          <w:rFonts w:ascii="Arial" w:hAnsi="Arial"/>
          <w:spacing w:val="-2"/>
          <w:sz w:val="24"/>
          <w:lang w:val="fr-CA"/>
        </w:rPr>
        <w:br/>
      </w:r>
    </w:p>
    <w:p w:rsidR="009A2397" w:rsidRDefault="00F60407" w:rsidP="009A2397">
      <w:pPr>
        <w:numPr>
          <w:ilvl w:val="1"/>
          <w:numId w:val="18"/>
        </w:numPr>
        <w:suppressAutoHyphens/>
        <w:rPr>
          <w:rFonts w:ascii="Arial" w:hAnsi="Arial"/>
          <w:spacing w:val="-2"/>
          <w:sz w:val="24"/>
          <w:szCs w:val="24"/>
          <w:lang w:val="fr-CA"/>
        </w:rPr>
      </w:pPr>
      <w:r w:rsidRPr="009A2397">
        <w:rPr>
          <w:rFonts w:ascii="Arial" w:hAnsi="Arial"/>
          <w:sz w:val="24"/>
          <w:lang w:val="fr-CA"/>
        </w:rPr>
        <w:t xml:space="preserve">Dans la </w:t>
      </w:r>
      <w:r w:rsidR="003727F2" w:rsidRPr="009A2397">
        <w:rPr>
          <w:rFonts w:ascii="Arial" w:hAnsi="Arial"/>
          <w:sz w:val="24"/>
          <w:lang w:val="fr-CA"/>
        </w:rPr>
        <w:t xml:space="preserve">littérature, </w:t>
      </w:r>
      <w:r w:rsidRPr="009A2397">
        <w:rPr>
          <w:rFonts w:ascii="Arial" w:hAnsi="Arial"/>
          <w:sz w:val="24"/>
          <w:lang w:val="fr-CA"/>
        </w:rPr>
        <w:t xml:space="preserve">on </w:t>
      </w:r>
      <w:r w:rsidR="003727F2" w:rsidRPr="009A2397">
        <w:rPr>
          <w:rFonts w:ascii="Arial" w:hAnsi="Arial"/>
          <w:sz w:val="24"/>
          <w:lang w:val="fr-CA"/>
        </w:rPr>
        <w:t xml:space="preserve">mentionne que </w:t>
      </w:r>
      <w:r w:rsidR="003727F2" w:rsidRPr="009A2397">
        <w:rPr>
          <w:rFonts w:ascii="Arial" w:hAnsi="Arial"/>
          <w:spacing w:val="-2"/>
          <w:sz w:val="24"/>
          <w:szCs w:val="24"/>
          <w:lang w:val="fr-CA"/>
        </w:rPr>
        <w:t xml:space="preserve">les anti-IgG pourraient ne pas détecter des anticorps dont on peut démontrer la présence à l’aide d’un réactif </w:t>
      </w:r>
      <w:r w:rsidR="009A2397" w:rsidRPr="009A2397">
        <w:rPr>
          <w:rFonts w:ascii="Arial" w:hAnsi="Arial"/>
          <w:spacing w:val="-2"/>
          <w:sz w:val="24"/>
          <w:szCs w:val="24"/>
          <w:lang w:val="fr-CA"/>
        </w:rPr>
        <w:t xml:space="preserve">polyspécifique </w:t>
      </w:r>
      <w:r w:rsidR="003727F2" w:rsidRPr="009A2397">
        <w:rPr>
          <w:rFonts w:ascii="Arial" w:hAnsi="Arial"/>
          <w:spacing w:val="-2"/>
          <w:sz w:val="24"/>
          <w:szCs w:val="24"/>
          <w:lang w:val="fr-CA"/>
        </w:rPr>
        <w:t xml:space="preserve">d’antiglobuline </w:t>
      </w:r>
      <w:r w:rsidR="009A2397" w:rsidRPr="009A2397">
        <w:rPr>
          <w:rFonts w:ascii="Arial" w:hAnsi="Arial"/>
          <w:spacing w:val="-2"/>
          <w:sz w:val="24"/>
          <w:szCs w:val="24"/>
          <w:lang w:val="fr-CA"/>
        </w:rPr>
        <w:t>humaine. Les antico</w:t>
      </w:r>
      <w:r w:rsidR="009A2397">
        <w:rPr>
          <w:rFonts w:ascii="Arial" w:hAnsi="Arial"/>
          <w:spacing w:val="-2"/>
          <w:sz w:val="24"/>
          <w:szCs w:val="24"/>
          <w:lang w:val="fr-CA"/>
        </w:rPr>
        <w:t>rps</w:t>
      </w:r>
      <w:r w:rsidR="009A2397" w:rsidRPr="009A2397">
        <w:rPr>
          <w:rFonts w:ascii="Arial" w:hAnsi="Arial"/>
          <w:spacing w:val="-2"/>
          <w:sz w:val="24"/>
          <w:szCs w:val="24"/>
          <w:lang w:val="fr-CA"/>
        </w:rPr>
        <w:t xml:space="preserve"> non détectés par anti IgG pourraient être d’importance clinique</w:t>
      </w:r>
      <w:r w:rsidR="009A2397">
        <w:rPr>
          <w:rFonts w:ascii="Arial" w:hAnsi="Arial"/>
          <w:spacing w:val="-2"/>
          <w:sz w:val="24"/>
          <w:szCs w:val="24"/>
          <w:lang w:val="fr-CA"/>
        </w:rPr>
        <w:t>.</w:t>
      </w:r>
    </w:p>
    <w:p w:rsidR="00F60B68" w:rsidRDefault="00F60B68" w:rsidP="00F60B68">
      <w:pPr>
        <w:suppressAutoHyphens/>
        <w:ind w:left="1440"/>
        <w:rPr>
          <w:rFonts w:ascii="Arial" w:hAnsi="Arial"/>
          <w:spacing w:val="-2"/>
          <w:sz w:val="24"/>
          <w:szCs w:val="24"/>
          <w:lang w:val="fr-CA"/>
        </w:rPr>
      </w:pPr>
    </w:p>
    <w:p w:rsidR="00F60B68" w:rsidRPr="00F60B68" w:rsidRDefault="00F60B68" w:rsidP="009A2397">
      <w:pPr>
        <w:numPr>
          <w:ilvl w:val="1"/>
          <w:numId w:val="18"/>
        </w:numPr>
        <w:suppressAutoHyphens/>
        <w:rPr>
          <w:rFonts w:ascii="Arial" w:hAnsi="Arial"/>
          <w:spacing w:val="-2"/>
          <w:sz w:val="24"/>
          <w:szCs w:val="24"/>
          <w:lang w:val="fr-CA"/>
        </w:rPr>
      </w:pPr>
      <w:r w:rsidRPr="00F60B68">
        <w:rPr>
          <w:rFonts w:ascii="Arial" w:hAnsi="Arial"/>
          <w:spacing w:val="-2"/>
          <w:sz w:val="24"/>
          <w:szCs w:val="24"/>
          <w:lang w:val="fr-CA"/>
        </w:rPr>
        <w:t>Pour assurer le bon déroulement de l’épreuve, il est essentiel de respecter les directives du dépliant du fabricant</w:t>
      </w:r>
      <w:r>
        <w:rPr>
          <w:rFonts w:ascii="Arial" w:hAnsi="Arial"/>
          <w:spacing w:val="-2"/>
          <w:sz w:val="24"/>
          <w:szCs w:val="24"/>
          <w:lang w:val="fr-CA"/>
        </w:rPr>
        <w:t>.</w:t>
      </w:r>
    </w:p>
    <w:p w:rsidR="009A2397" w:rsidRDefault="009A2397" w:rsidP="009A2397">
      <w:pPr>
        <w:suppressAutoHyphens/>
        <w:rPr>
          <w:rFonts w:ascii="Arial" w:hAnsi="Arial"/>
          <w:spacing w:val="-2"/>
          <w:sz w:val="24"/>
          <w:szCs w:val="24"/>
          <w:lang w:val="fr-CA"/>
        </w:rPr>
      </w:pPr>
    </w:p>
    <w:p w:rsidR="009A2397" w:rsidRDefault="009A2397" w:rsidP="009A2397">
      <w:pPr>
        <w:suppressAutoHyphens/>
        <w:rPr>
          <w:rFonts w:ascii="Arial" w:hAnsi="Arial"/>
          <w:spacing w:val="-2"/>
          <w:sz w:val="24"/>
          <w:szCs w:val="24"/>
          <w:lang w:val="fr-CA"/>
        </w:rPr>
      </w:pPr>
    </w:p>
    <w:p w:rsidR="00291756" w:rsidRPr="00BE3AC1" w:rsidRDefault="00291756" w:rsidP="009A2397">
      <w:pPr>
        <w:numPr>
          <w:ilvl w:val="0"/>
          <w:numId w:val="18"/>
        </w:numPr>
        <w:suppressAutoHyphens/>
        <w:rPr>
          <w:rFonts w:ascii="Arial" w:hAnsi="Arial"/>
          <w:b/>
          <w:sz w:val="28"/>
          <w:lang w:val="fr-CA"/>
        </w:rPr>
      </w:pPr>
      <w:r w:rsidRPr="00BE3AC1">
        <w:rPr>
          <w:rFonts w:ascii="Arial" w:hAnsi="Arial"/>
          <w:b/>
          <w:sz w:val="28"/>
          <w:lang w:val="fr-CA"/>
        </w:rPr>
        <w:t>R</w:t>
      </w:r>
      <w:r w:rsidR="00BE3AC1" w:rsidRPr="00BE3AC1">
        <w:rPr>
          <w:rFonts w:ascii="Arial" w:hAnsi="Arial"/>
          <w:b/>
          <w:sz w:val="28"/>
          <w:lang w:val="fr-CA"/>
        </w:rPr>
        <w:t>é</w:t>
      </w:r>
      <w:r w:rsidRPr="00BE3AC1">
        <w:rPr>
          <w:rFonts w:ascii="Arial" w:hAnsi="Arial"/>
          <w:b/>
          <w:sz w:val="28"/>
          <w:lang w:val="fr-CA"/>
        </w:rPr>
        <w:t>f</w:t>
      </w:r>
      <w:r w:rsidR="00BE3AC1" w:rsidRPr="00BE3AC1">
        <w:rPr>
          <w:rFonts w:ascii="Arial" w:hAnsi="Arial"/>
          <w:b/>
          <w:sz w:val="28"/>
          <w:lang w:val="fr-CA"/>
        </w:rPr>
        <w:t>é</w:t>
      </w:r>
      <w:r w:rsidRPr="00BE3AC1">
        <w:rPr>
          <w:rFonts w:ascii="Arial" w:hAnsi="Arial"/>
          <w:b/>
          <w:sz w:val="28"/>
          <w:lang w:val="fr-CA"/>
        </w:rPr>
        <w:t>rences</w:t>
      </w:r>
      <w:r w:rsidR="009A2397">
        <w:rPr>
          <w:rFonts w:ascii="Arial" w:hAnsi="Arial"/>
          <w:b/>
          <w:sz w:val="28"/>
          <w:lang w:val="fr-CA"/>
        </w:rPr>
        <w:br/>
      </w:r>
    </w:p>
    <w:p w:rsidR="00C05852" w:rsidRPr="00827AB6" w:rsidRDefault="00C05852" w:rsidP="00C05852">
      <w:pPr>
        <w:numPr>
          <w:ilvl w:val="0"/>
          <w:numId w:val="11"/>
        </w:numPr>
        <w:ind w:hanging="721"/>
        <w:rPr>
          <w:rFonts w:ascii="Arial" w:hAnsi="Arial"/>
          <w:sz w:val="24"/>
          <w:lang w:val="fr-CA"/>
        </w:rPr>
      </w:pPr>
      <w:r w:rsidRPr="00827AB6">
        <w:rPr>
          <w:rFonts w:ascii="Arial" w:hAnsi="Arial"/>
          <w:i/>
          <w:sz w:val="24"/>
          <w:lang w:val="fr-CA"/>
        </w:rPr>
        <w:t>Standards for Hospital Transfusion Services</w:t>
      </w:r>
      <w:r w:rsidR="009A2397" w:rsidRPr="00827AB6">
        <w:rPr>
          <w:rFonts w:ascii="Arial" w:hAnsi="Arial"/>
          <w:sz w:val="24"/>
          <w:lang w:val="fr-CA"/>
        </w:rPr>
        <w:t>, v</w:t>
      </w:r>
      <w:r w:rsidRPr="00827AB6">
        <w:rPr>
          <w:rFonts w:ascii="Arial" w:hAnsi="Arial"/>
          <w:sz w:val="24"/>
          <w:lang w:val="fr-CA"/>
        </w:rPr>
        <w:t xml:space="preserve">ersion 3 - </w:t>
      </w:r>
      <w:r w:rsidR="009A2397" w:rsidRPr="00827AB6">
        <w:rPr>
          <w:rFonts w:ascii="Arial" w:hAnsi="Arial"/>
          <w:sz w:val="24"/>
          <w:lang w:val="fr-CA"/>
        </w:rPr>
        <w:t>février</w:t>
      </w:r>
      <w:r w:rsidRPr="00827AB6">
        <w:rPr>
          <w:rFonts w:ascii="Arial" w:hAnsi="Arial"/>
          <w:sz w:val="24"/>
          <w:lang w:val="fr-CA"/>
        </w:rPr>
        <w:t xml:space="preserve"> 2011. </w:t>
      </w:r>
      <w:r w:rsidR="009A2397" w:rsidRPr="00827AB6">
        <w:rPr>
          <w:rFonts w:ascii="Arial" w:hAnsi="Arial"/>
          <w:sz w:val="24"/>
          <w:lang w:val="fr-CA"/>
        </w:rPr>
        <w:t>Société canadienne de m</w:t>
      </w:r>
      <w:r w:rsidR="00714D4A" w:rsidRPr="00827AB6">
        <w:rPr>
          <w:rFonts w:ascii="Arial" w:hAnsi="Arial"/>
          <w:sz w:val="24"/>
          <w:lang w:val="fr-CA"/>
        </w:rPr>
        <w:t>é</w:t>
      </w:r>
      <w:r w:rsidR="009A2397" w:rsidRPr="00827AB6">
        <w:rPr>
          <w:rFonts w:ascii="Arial" w:hAnsi="Arial"/>
          <w:sz w:val="24"/>
          <w:lang w:val="fr-CA"/>
        </w:rPr>
        <w:t>d</w:t>
      </w:r>
      <w:r w:rsidR="00714D4A" w:rsidRPr="00827AB6">
        <w:rPr>
          <w:rFonts w:ascii="Arial" w:hAnsi="Arial"/>
          <w:sz w:val="24"/>
          <w:lang w:val="fr-CA"/>
        </w:rPr>
        <w:t>e</w:t>
      </w:r>
      <w:r w:rsidR="009A2397" w:rsidRPr="00827AB6">
        <w:rPr>
          <w:rFonts w:ascii="Arial" w:hAnsi="Arial"/>
          <w:sz w:val="24"/>
          <w:lang w:val="fr-CA"/>
        </w:rPr>
        <w:t>cine transfusionnelle</w:t>
      </w:r>
      <w:r w:rsidRPr="00827AB6">
        <w:rPr>
          <w:rFonts w:ascii="Arial" w:hAnsi="Arial"/>
          <w:sz w:val="24"/>
          <w:lang w:val="fr-CA"/>
        </w:rPr>
        <w:t>, 5.3.6.2.</w:t>
      </w:r>
    </w:p>
    <w:p w:rsidR="00C05852" w:rsidRPr="00827AB6" w:rsidRDefault="00C05852" w:rsidP="00C05852">
      <w:pPr>
        <w:ind w:left="1430"/>
        <w:rPr>
          <w:rFonts w:ascii="Arial" w:hAnsi="Arial"/>
          <w:sz w:val="24"/>
          <w:lang w:val="fr-CA"/>
        </w:rPr>
      </w:pPr>
    </w:p>
    <w:p w:rsidR="00C05852" w:rsidRDefault="00C05852" w:rsidP="00C05852">
      <w:pPr>
        <w:numPr>
          <w:ilvl w:val="0"/>
          <w:numId w:val="11"/>
        </w:numPr>
        <w:ind w:hanging="721"/>
        <w:rPr>
          <w:rFonts w:ascii="Arial" w:hAnsi="Arial"/>
          <w:sz w:val="24"/>
        </w:rPr>
      </w:pPr>
      <w:r w:rsidRPr="00E843D0">
        <w:rPr>
          <w:rFonts w:ascii="Arial" w:hAnsi="Arial"/>
          <w:sz w:val="24"/>
        </w:rPr>
        <w:t xml:space="preserve">Roback JD, </w:t>
      </w:r>
      <w:r w:rsidR="009A2397">
        <w:rPr>
          <w:rFonts w:ascii="Arial" w:hAnsi="Arial"/>
          <w:sz w:val="24"/>
        </w:rPr>
        <w:t>é</w:t>
      </w:r>
      <w:r w:rsidRPr="00E843D0">
        <w:rPr>
          <w:rFonts w:ascii="Arial" w:hAnsi="Arial"/>
          <w:sz w:val="24"/>
        </w:rPr>
        <w:t xml:space="preserve">d. </w:t>
      </w:r>
      <w:r w:rsidRPr="009A2397">
        <w:rPr>
          <w:rFonts w:ascii="Arial" w:hAnsi="Arial"/>
          <w:i/>
          <w:sz w:val="24"/>
        </w:rPr>
        <w:t>American Association of Blood Banks Technical Manual</w:t>
      </w:r>
      <w:r w:rsidRPr="00E843D0">
        <w:rPr>
          <w:rFonts w:ascii="Arial" w:hAnsi="Arial"/>
          <w:sz w:val="24"/>
        </w:rPr>
        <w:t>, 17</w:t>
      </w:r>
      <w:r w:rsidR="009A2397">
        <w:rPr>
          <w:rFonts w:ascii="Arial" w:hAnsi="Arial"/>
          <w:sz w:val="24"/>
          <w:vertAlign w:val="superscript"/>
        </w:rPr>
        <w:t>e</w:t>
      </w:r>
      <w:r w:rsidRPr="00E843D0">
        <w:rPr>
          <w:rFonts w:ascii="Arial" w:hAnsi="Arial"/>
          <w:sz w:val="24"/>
        </w:rPr>
        <w:t xml:space="preserve"> </w:t>
      </w:r>
      <w:r w:rsidR="009A2397">
        <w:rPr>
          <w:rFonts w:ascii="Arial" w:hAnsi="Arial"/>
          <w:sz w:val="24"/>
        </w:rPr>
        <w:t>é</w:t>
      </w:r>
      <w:r w:rsidRPr="00E843D0">
        <w:rPr>
          <w:rFonts w:ascii="Arial" w:hAnsi="Arial"/>
          <w:sz w:val="24"/>
        </w:rPr>
        <w:t>d. Bethesda, MD:  American Association of Blood Banks, 2011:497-499</w:t>
      </w:r>
    </w:p>
    <w:p w:rsidR="00C05852" w:rsidRPr="006060E2" w:rsidRDefault="00C05852" w:rsidP="00C05852">
      <w:pPr>
        <w:rPr>
          <w:rFonts w:ascii="Arial" w:hAnsi="Arial"/>
          <w:sz w:val="24"/>
        </w:rPr>
      </w:pPr>
    </w:p>
    <w:p w:rsidR="00C05852" w:rsidRDefault="00C05852" w:rsidP="00C05852">
      <w:pPr>
        <w:numPr>
          <w:ilvl w:val="0"/>
          <w:numId w:val="11"/>
        </w:numPr>
        <w:ind w:hanging="721"/>
        <w:rPr>
          <w:rFonts w:ascii="Arial" w:hAnsi="Arial"/>
          <w:sz w:val="24"/>
        </w:rPr>
      </w:pPr>
      <w:r w:rsidRPr="00E843D0">
        <w:rPr>
          <w:rFonts w:ascii="Arial" w:hAnsi="Arial"/>
          <w:spacing w:val="-2"/>
          <w:sz w:val="24"/>
        </w:rPr>
        <w:t>Implementation Guide and Procedures -Procedure 13 Direct  Antiglobulin Test  Version 5 2010-05-31, ID-Micro Typing System</w:t>
      </w:r>
      <w:r w:rsidRPr="00E843D0">
        <w:rPr>
          <w:rFonts w:ascii="Arial" w:hAnsi="Arial"/>
          <w:sz w:val="24"/>
        </w:rPr>
        <w:t xml:space="preserve"> </w:t>
      </w:r>
    </w:p>
    <w:p w:rsidR="00C05852" w:rsidRPr="006060E2" w:rsidRDefault="00C05852" w:rsidP="00C05852">
      <w:pPr>
        <w:ind w:left="1430"/>
        <w:rPr>
          <w:rFonts w:ascii="Arial" w:hAnsi="Arial"/>
          <w:sz w:val="24"/>
        </w:rPr>
      </w:pPr>
    </w:p>
    <w:p w:rsidR="00C05852" w:rsidRDefault="00C05852" w:rsidP="00C05852">
      <w:pPr>
        <w:numPr>
          <w:ilvl w:val="0"/>
          <w:numId w:val="11"/>
        </w:numPr>
        <w:ind w:hanging="721"/>
        <w:rPr>
          <w:rFonts w:ascii="Arial" w:hAnsi="Arial"/>
          <w:sz w:val="24"/>
        </w:rPr>
      </w:pPr>
      <w:r w:rsidRPr="00E843D0">
        <w:rPr>
          <w:rFonts w:ascii="Arial" w:hAnsi="Arial"/>
          <w:spacing w:val="-2"/>
          <w:sz w:val="24"/>
        </w:rPr>
        <w:t>ID-Micro Typing System</w:t>
      </w:r>
      <w:r w:rsidRPr="00E843D0">
        <w:rPr>
          <w:rFonts w:ascii="Arial" w:hAnsi="Arial"/>
          <w:spacing w:val="-2"/>
          <w:sz w:val="24"/>
          <w:vertAlign w:val="superscript"/>
        </w:rPr>
        <w:t>TM</w:t>
      </w:r>
      <w:r w:rsidRPr="00E843D0">
        <w:rPr>
          <w:rFonts w:ascii="Arial" w:hAnsi="Arial"/>
          <w:spacing w:val="-2"/>
          <w:sz w:val="24"/>
        </w:rPr>
        <w:t xml:space="preserve"> Interpretation Guide-2010-06-04</w:t>
      </w:r>
    </w:p>
    <w:p w:rsidR="00C05852" w:rsidRPr="006060E2" w:rsidRDefault="00C05852" w:rsidP="00C05852">
      <w:pPr>
        <w:ind w:left="1430"/>
        <w:rPr>
          <w:rFonts w:ascii="Arial" w:hAnsi="Arial"/>
          <w:sz w:val="24"/>
        </w:rPr>
      </w:pPr>
    </w:p>
    <w:p w:rsidR="00C05852" w:rsidRPr="00E843D0" w:rsidRDefault="00C05852" w:rsidP="00C05852">
      <w:pPr>
        <w:numPr>
          <w:ilvl w:val="0"/>
          <w:numId w:val="11"/>
        </w:numPr>
        <w:ind w:hanging="721"/>
        <w:rPr>
          <w:rFonts w:ascii="Arial" w:hAnsi="Arial"/>
          <w:sz w:val="24"/>
        </w:rPr>
      </w:pPr>
      <w:r w:rsidRPr="00E843D0">
        <w:rPr>
          <w:rFonts w:ascii="Arial" w:hAnsi="Arial" w:cs="Arial"/>
          <w:bCs/>
          <w:i/>
          <w:sz w:val="24"/>
          <w:szCs w:val="24"/>
        </w:rPr>
        <w:t>INSTRUCTIONS</w:t>
      </w:r>
      <w:r w:rsidRPr="00E843D0">
        <w:rPr>
          <w:rFonts w:ascii="Arial" w:hAnsi="Arial" w:cs="Arial"/>
          <w:bCs/>
          <w:sz w:val="24"/>
          <w:szCs w:val="24"/>
        </w:rPr>
        <w:t xml:space="preserve"> FOR USE Anti-Human Globulin Anti-IgG (Rabbit) MTS™ Anti-IgG Card, Version</w:t>
      </w:r>
      <w:r w:rsidR="00714D4A">
        <w:rPr>
          <w:rFonts w:ascii="Arial" w:hAnsi="Arial" w:cs="Arial"/>
          <w:bCs/>
          <w:sz w:val="24"/>
          <w:szCs w:val="24"/>
        </w:rPr>
        <w:t> </w:t>
      </w:r>
      <w:r w:rsidRPr="00E843D0">
        <w:rPr>
          <w:rFonts w:ascii="Arial" w:hAnsi="Arial" w:cs="Arial"/>
          <w:bCs/>
          <w:sz w:val="24"/>
          <w:szCs w:val="24"/>
        </w:rPr>
        <w:t>2.0</w:t>
      </w:r>
    </w:p>
    <w:p w:rsidR="00C05852" w:rsidRDefault="00C05852" w:rsidP="00C05852">
      <w:pPr>
        <w:tabs>
          <w:tab w:val="left" w:pos="-720"/>
          <w:tab w:val="left" w:pos="0"/>
        </w:tabs>
        <w:suppressAutoHyphens/>
        <w:rPr>
          <w:rFonts w:ascii="Arial" w:hAnsi="Arial"/>
          <w:spacing w:val="-2"/>
          <w:sz w:val="24"/>
        </w:rPr>
      </w:pPr>
    </w:p>
    <w:p w:rsidR="009A2397" w:rsidRPr="00FD731A" w:rsidRDefault="009A2397" w:rsidP="009A2397">
      <w:pPr>
        <w:tabs>
          <w:tab w:val="left" w:pos="-720"/>
          <w:tab w:val="left" w:pos="0"/>
        </w:tabs>
        <w:suppressAutoHyphens/>
        <w:rPr>
          <w:rFonts w:ascii="Arial" w:hAnsi="Arial"/>
          <w:spacing w:val="-2"/>
          <w:sz w:val="28"/>
        </w:rPr>
      </w:pPr>
    </w:p>
    <w:p w:rsidR="009A2397" w:rsidRPr="00B21D19" w:rsidRDefault="009A2397" w:rsidP="009A2397">
      <w:pPr>
        <w:numPr>
          <w:ilvl w:val="0"/>
          <w:numId w:val="23"/>
        </w:numPr>
        <w:tabs>
          <w:tab w:val="left" w:pos="-720"/>
        </w:tabs>
        <w:suppressAutoHyphens/>
        <w:rPr>
          <w:rFonts w:ascii="Arial" w:hAnsi="Arial"/>
          <w:b/>
          <w:spacing w:val="-2"/>
          <w:sz w:val="28"/>
          <w:lang w:val="fr-CA"/>
        </w:rPr>
      </w:pPr>
      <w:r w:rsidRPr="00B21D19">
        <w:rPr>
          <w:rFonts w:ascii="Arial" w:hAnsi="Arial"/>
          <w:b/>
          <w:spacing w:val="-2"/>
          <w:sz w:val="28"/>
          <w:lang w:val="fr-CA"/>
        </w:rPr>
        <w:t>Suivi des révisions</w:t>
      </w:r>
    </w:p>
    <w:p w:rsidR="009A2397" w:rsidRDefault="009A2397" w:rsidP="009A2397">
      <w:pPr>
        <w:tabs>
          <w:tab w:val="left" w:pos="-720"/>
        </w:tabs>
        <w:suppressAutoHyphens/>
        <w:ind w:left="720"/>
        <w:rPr>
          <w:rFonts w:ascii="Arial" w:hAnsi="Arial"/>
          <w:b/>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9A2397" w:rsidRPr="0055014C" w:rsidTr="001803E2">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9A2397" w:rsidRPr="0055014C" w:rsidRDefault="009A2397" w:rsidP="001803E2">
            <w:pPr>
              <w:jc w:val="center"/>
              <w:rPr>
                <w:rFonts w:ascii="Arial" w:hAnsi="Arial" w:cs="Arial"/>
                <w:b/>
                <w:sz w:val="22"/>
                <w:szCs w:val="22"/>
                <w:lang w:val="fr-CA"/>
              </w:rPr>
            </w:pPr>
            <w:r w:rsidRPr="0055014C">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9A2397" w:rsidRPr="0055014C" w:rsidRDefault="009A2397" w:rsidP="009A2397">
            <w:pPr>
              <w:numPr>
                <w:ilvl w:val="0"/>
                <w:numId w:val="24"/>
              </w:numPr>
              <w:jc w:val="center"/>
              <w:rPr>
                <w:rFonts w:ascii="Arial" w:hAnsi="Arial" w:cs="Arial"/>
                <w:b/>
                <w:sz w:val="22"/>
                <w:szCs w:val="22"/>
                <w:lang w:val="fr-CA"/>
              </w:rPr>
            </w:pPr>
            <w:r w:rsidRPr="0055014C">
              <w:rPr>
                <w:rFonts w:ascii="Arial" w:hAnsi="Arial" w:cs="Arial"/>
                <w:b/>
                <w:sz w:val="22"/>
                <w:szCs w:val="22"/>
                <w:lang w:val="fr-CA"/>
              </w:rPr>
              <w:t>Résumé des changements</w:t>
            </w:r>
          </w:p>
        </w:tc>
      </w:tr>
      <w:tr w:rsidR="009A2397" w:rsidRPr="0055014C" w:rsidTr="001803E2">
        <w:tc>
          <w:tcPr>
            <w:tcW w:w="3085" w:type="dxa"/>
            <w:tcBorders>
              <w:top w:val="single" w:sz="4" w:space="0" w:color="auto"/>
              <w:left w:val="single" w:sz="4" w:space="0" w:color="auto"/>
              <w:bottom w:val="single" w:sz="4" w:space="0" w:color="auto"/>
              <w:right w:val="single" w:sz="4" w:space="0" w:color="auto"/>
            </w:tcBorders>
            <w:shd w:val="clear" w:color="auto" w:fill="auto"/>
          </w:tcPr>
          <w:p w:rsidR="009A2397" w:rsidRPr="0055014C" w:rsidRDefault="009A2397" w:rsidP="001803E2">
            <w:pPr>
              <w:pStyle w:val="Header"/>
              <w:tabs>
                <w:tab w:val="left" w:pos="720"/>
              </w:tabs>
              <w:rPr>
                <w:rFonts w:ascii="Arial" w:hAnsi="Arial" w:cs="Arial"/>
                <w:sz w:val="22"/>
                <w:szCs w:val="22"/>
                <w:lang w:val="fr-CA"/>
              </w:rPr>
            </w:pPr>
            <w:r w:rsidRPr="0055014C">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9A2397" w:rsidRPr="0055014C" w:rsidRDefault="009A2397" w:rsidP="009A2397">
            <w:pPr>
              <w:pStyle w:val="ListParagraph"/>
              <w:numPr>
                <w:ilvl w:val="0"/>
                <w:numId w:val="24"/>
              </w:numPr>
              <w:contextualSpacing/>
              <w:rPr>
                <w:rFonts w:ascii="Arial" w:hAnsi="Arial" w:cs="Arial"/>
                <w:sz w:val="22"/>
                <w:szCs w:val="22"/>
                <w:lang w:val="fr-CA"/>
              </w:rPr>
            </w:pPr>
            <w:r w:rsidRPr="0055014C">
              <w:rPr>
                <w:rFonts w:ascii="Arial" w:hAnsi="Arial" w:cs="Arial"/>
                <w:sz w:val="22"/>
                <w:szCs w:val="22"/>
                <w:lang w:val="fr-CA"/>
              </w:rPr>
              <w:t xml:space="preserve">Changement du nom du manuel </w:t>
            </w:r>
          </w:p>
          <w:p w:rsidR="009A2397" w:rsidRDefault="009A2397" w:rsidP="009A2397">
            <w:pPr>
              <w:pStyle w:val="Header"/>
              <w:numPr>
                <w:ilvl w:val="0"/>
                <w:numId w:val="24"/>
              </w:numPr>
              <w:tabs>
                <w:tab w:val="left" w:pos="601"/>
              </w:tabs>
              <w:rPr>
                <w:rFonts w:ascii="Arial" w:hAnsi="Arial" w:cs="Arial"/>
                <w:sz w:val="22"/>
                <w:szCs w:val="22"/>
                <w:lang w:val="fr-CA"/>
              </w:rPr>
            </w:pPr>
            <w:r w:rsidRPr="0066509F">
              <w:rPr>
                <w:rFonts w:ascii="Arial" w:hAnsi="Arial"/>
                <w:sz w:val="22"/>
                <w:szCs w:val="22"/>
                <w:lang w:val="fr-CA"/>
              </w:rPr>
              <w:tab/>
              <w:t>Changement du numéro du document anciennement T</w:t>
            </w:r>
            <w:r w:rsidRPr="0066509F">
              <w:rPr>
                <w:rFonts w:ascii="Arial" w:hAnsi="Arial" w:cs="Arial"/>
                <w:sz w:val="22"/>
                <w:szCs w:val="22"/>
                <w:lang w:val="fr-CA"/>
              </w:rPr>
              <w:t>G.00</w:t>
            </w:r>
            <w:r>
              <w:rPr>
                <w:rFonts w:ascii="Arial" w:hAnsi="Arial" w:cs="Arial"/>
                <w:sz w:val="22"/>
                <w:szCs w:val="22"/>
                <w:lang w:val="fr-CA"/>
              </w:rPr>
              <w:t>7</w:t>
            </w:r>
            <w:r w:rsidRPr="0066509F">
              <w:rPr>
                <w:rFonts w:ascii="Arial" w:hAnsi="Arial" w:cs="Arial"/>
                <w:sz w:val="22"/>
                <w:szCs w:val="22"/>
                <w:lang w:val="fr-CA"/>
              </w:rPr>
              <w:t>, maintenant TG.00</w:t>
            </w:r>
            <w:r>
              <w:rPr>
                <w:rFonts w:ascii="Arial" w:hAnsi="Arial" w:cs="Arial"/>
                <w:sz w:val="22"/>
                <w:szCs w:val="22"/>
                <w:lang w:val="fr-CA"/>
              </w:rPr>
              <w:t>8</w:t>
            </w:r>
          </w:p>
          <w:p w:rsidR="009A2397" w:rsidRPr="00A235C8" w:rsidRDefault="009A2397" w:rsidP="009A2397">
            <w:pPr>
              <w:pStyle w:val="Header"/>
              <w:numPr>
                <w:ilvl w:val="0"/>
                <w:numId w:val="24"/>
              </w:numPr>
              <w:tabs>
                <w:tab w:val="left" w:pos="601"/>
              </w:tabs>
              <w:rPr>
                <w:rFonts w:ascii="Arial" w:hAnsi="Arial" w:cs="Arial"/>
                <w:sz w:val="22"/>
                <w:szCs w:val="22"/>
                <w:lang w:val="fr-CA"/>
              </w:rPr>
            </w:pPr>
            <w:r w:rsidRPr="00A235C8">
              <w:rPr>
                <w:rFonts w:ascii="Arial" w:hAnsi="Arial" w:cs="Arial"/>
                <w:sz w:val="22"/>
                <w:szCs w:val="22"/>
                <w:lang w:val="fr-CA"/>
              </w:rPr>
              <w:tab/>
            </w:r>
            <w:r>
              <w:rPr>
                <w:rFonts w:ascii="Arial" w:hAnsi="Arial" w:cs="Arial"/>
                <w:sz w:val="22"/>
                <w:szCs w:val="22"/>
                <w:lang w:val="fr-CA"/>
              </w:rPr>
              <w:t>Ajout à la section</w:t>
            </w:r>
            <w:r w:rsidR="00714D4A">
              <w:rPr>
                <w:rFonts w:ascii="Arial" w:hAnsi="Arial" w:cs="Arial"/>
                <w:sz w:val="22"/>
                <w:szCs w:val="22"/>
                <w:lang w:val="fr-CA"/>
              </w:rPr>
              <w:t> </w:t>
            </w:r>
            <w:r>
              <w:rPr>
                <w:rFonts w:ascii="Arial" w:hAnsi="Arial" w:cs="Arial"/>
                <w:sz w:val="22"/>
                <w:szCs w:val="22"/>
                <w:lang w:val="fr-CA"/>
              </w:rPr>
              <w:t>3 d’un renvoi aux Remarques et d’explications </w:t>
            </w:r>
          </w:p>
          <w:p w:rsidR="009A2397" w:rsidRDefault="009A2397" w:rsidP="009A2397">
            <w:pPr>
              <w:pStyle w:val="Header"/>
              <w:numPr>
                <w:ilvl w:val="0"/>
                <w:numId w:val="24"/>
              </w:numPr>
              <w:tabs>
                <w:tab w:val="left" w:pos="720"/>
              </w:tabs>
              <w:rPr>
                <w:rFonts w:ascii="Arial" w:hAnsi="Arial" w:cs="Arial"/>
                <w:sz w:val="22"/>
                <w:lang w:val="fr-CA"/>
              </w:rPr>
            </w:pPr>
            <w:r>
              <w:rPr>
                <w:rFonts w:ascii="Arial" w:hAnsi="Arial" w:cs="Arial"/>
                <w:sz w:val="22"/>
                <w:lang w:val="fr-CA"/>
              </w:rPr>
              <w:t>Précisions apportées à la section</w:t>
            </w:r>
            <w:r w:rsidR="00714D4A">
              <w:rPr>
                <w:rFonts w:ascii="Arial" w:hAnsi="Arial" w:cs="Arial"/>
                <w:sz w:val="22"/>
                <w:lang w:val="fr-CA"/>
              </w:rPr>
              <w:t> </w:t>
            </w:r>
            <w:r>
              <w:rPr>
                <w:rFonts w:ascii="Arial" w:hAnsi="Arial" w:cs="Arial"/>
                <w:sz w:val="22"/>
                <w:lang w:val="fr-CA"/>
              </w:rPr>
              <w:t>5.2.</w:t>
            </w:r>
          </w:p>
          <w:p w:rsidR="009A2397" w:rsidRDefault="009A2397" w:rsidP="009A2397">
            <w:pPr>
              <w:pStyle w:val="Header"/>
              <w:numPr>
                <w:ilvl w:val="0"/>
                <w:numId w:val="24"/>
              </w:numPr>
              <w:tabs>
                <w:tab w:val="left" w:pos="720"/>
              </w:tabs>
              <w:rPr>
                <w:rFonts w:ascii="Arial" w:hAnsi="Arial" w:cs="Arial"/>
                <w:sz w:val="22"/>
                <w:lang w:val="fr-CA"/>
              </w:rPr>
            </w:pPr>
            <w:r>
              <w:rPr>
                <w:rFonts w:ascii="Arial" w:hAnsi="Arial" w:cs="Arial"/>
                <w:sz w:val="22"/>
                <w:lang w:val="fr-CA"/>
              </w:rPr>
              <w:t>Étape ajoutée en 6.2.2.</w:t>
            </w:r>
          </w:p>
          <w:p w:rsidR="002E55E5" w:rsidRDefault="002E55E5" w:rsidP="009A2397">
            <w:pPr>
              <w:pStyle w:val="Header"/>
              <w:numPr>
                <w:ilvl w:val="0"/>
                <w:numId w:val="24"/>
              </w:numPr>
              <w:tabs>
                <w:tab w:val="left" w:pos="720"/>
              </w:tabs>
              <w:rPr>
                <w:rFonts w:ascii="Arial" w:hAnsi="Arial" w:cs="Arial"/>
                <w:sz w:val="22"/>
                <w:szCs w:val="22"/>
                <w:lang w:val="fr-CA"/>
              </w:rPr>
            </w:pPr>
            <w:r>
              <w:rPr>
                <w:rFonts w:ascii="Arial" w:hAnsi="Arial" w:cs="Arial"/>
                <w:sz w:val="22"/>
                <w:szCs w:val="22"/>
                <w:lang w:val="fr-CA"/>
              </w:rPr>
              <w:t>Ret</w:t>
            </w:r>
            <w:r w:rsidR="00F60B68">
              <w:rPr>
                <w:rFonts w:ascii="Arial" w:hAnsi="Arial" w:cs="Arial"/>
                <w:sz w:val="22"/>
                <w:szCs w:val="22"/>
                <w:lang w:val="fr-CA"/>
              </w:rPr>
              <w:t>r</w:t>
            </w:r>
            <w:r>
              <w:rPr>
                <w:rFonts w:ascii="Arial" w:hAnsi="Arial" w:cs="Arial"/>
                <w:sz w:val="22"/>
                <w:szCs w:val="22"/>
                <w:lang w:val="fr-CA"/>
              </w:rPr>
              <w:t>ait des étapes</w:t>
            </w:r>
            <w:r w:rsidR="00714D4A">
              <w:rPr>
                <w:rFonts w:ascii="Arial" w:hAnsi="Arial" w:cs="Arial"/>
                <w:sz w:val="22"/>
                <w:szCs w:val="22"/>
                <w:lang w:val="fr-CA"/>
              </w:rPr>
              <w:t> </w:t>
            </w:r>
            <w:r>
              <w:rPr>
                <w:rFonts w:ascii="Arial" w:hAnsi="Arial" w:cs="Arial"/>
                <w:sz w:val="22"/>
                <w:szCs w:val="22"/>
                <w:lang w:val="fr-CA"/>
              </w:rPr>
              <w:t>6.3 à 6.5</w:t>
            </w:r>
          </w:p>
          <w:p w:rsidR="009A2397" w:rsidRPr="00A235C8" w:rsidRDefault="009A2397" w:rsidP="009A2397">
            <w:pPr>
              <w:pStyle w:val="Header"/>
              <w:numPr>
                <w:ilvl w:val="0"/>
                <w:numId w:val="24"/>
              </w:numPr>
              <w:tabs>
                <w:tab w:val="left" w:pos="720"/>
              </w:tabs>
              <w:rPr>
                <w:rFonts w:ascii="Arial" w:hAnsi="Arial" w:cs="Arial"/>
                <w:sz w:val="22"/>
                <w:szCs w:val="22"/>
                <w:lang w:val="fr-CA"/>
              </w:rPr>
            </w:pPr>
            <w:r w:rsidRPr="00A235C8">
              <w:rPr>
                <w:rFonts w:ascii="Arial" w:hAnsi="Arial" w:cs="Arial"/>
                <w:sz w:val="22"/>
                <w:szCs w:val="22"/>
                <w:lang w:val="fr-CA"/>
              </w:rPr>
              <w:t>Révision et renumérotation de</w:t>
            </w:r>
            <w:r>
              <w:rPr>
                <w:rFonts w:ascii="Arial" w:hAnsi="Arial" w:cs="Arial"/>
                <w:sz w:val="22"/>
                <w:szCs w:val="22"/>
                <w:lang w:val="fr-CA"/>
              </w:rPr>
              <w:t xml:space="preserve"> la section 8</w:t>
            </w:r>
            <w:r w:rsidRPr="00A235C8">
              <w:rPr>
                <w:rFonts w:ascii="Arial" w:hAnsi="Arial" w:cs="Arial"/>
                <w:sz w:val="22"/>
                <w:szCs w:val="22"/>
                <w:lang w:val="fr-CA"/>
              </w:rPr>
              <w:t>.0</w:t>
            </w:r>
            <w:r w:rsidR="002E55E5">
              <w:rPr>
                <w:rFonts w:ascii="Arial" w:hAnsi="Arial" w:cs="Arial"/>
                <w:sz w:val="22"/>
                <w:szCs w:val="22"/>
                <w:lang w:val="fr-CA"/>
              </w:rPr>
              <w:t>; ajout des paragraphes</w:t>
            </w:r>
            <w:r w:rsidR="00714D4A">
              <w:rPr>
                <w:rFonts w:ascii="Arial" w:hAnsi="Arial" w:cs="Arial"/>
                <w:sz w:val="22"/>
                <w:szCs w:val="22"/>
                <w:lang w:val="fr-CA"/>
              </w:rPr>
              <w:t> </w:t>
            </w:r>
            <w:r w:rsidR="00F60B68">
              <w:rPr>
                <w:rFonts w:ascii="Arial" w:hAnsi="Arial" w:cs="Arial"/>
                <w:sz w:val="22"/>
                <w:szCs w:val="22"/>
                <w:lang w:val="fr-CA"/>
              </w:rPr>
              <w:t>8</w:t>
            </w:r>
            <w:r w:rsidR="002E55E5">
              <w:rPr>
                <w:rFonts w:ascii="Arial" w:hAnsi="Arial" w:cs="Arial"/>
                <w:sz w:val="22"/>
                <w:szCs w:val="22"/>
                <w:lang w:val="fr-CA"/>
              </w:rPr>
              <w:t>.5 à 8.10</w:t>
            </w:r>
          </w:p>
          <w:p w:rsidR="009A2397" w:rsidRPr="0055014C" w:rsidRDefault="009A2397" w:rsidP="009A2397">
            <w:pPr>
              <w:pStyle w:val="Header"/>
              <w:numPr>
                <w:ilvl w:val="0"/>
                <w:numId w:val="24"/>
              </w:numPr>
              <w:tabs>
                <w:tab w:val="left" w:pos="720"/>
              </w:tabs>
              <w:rPr>
                <w:rFonts w:ascii="Arial" w:hAnsi="Arial" w:cs="Arial"/>
                <w:sz w:val="22"/>
                <w:szCs w:val="22"/>
                <w:lang w:val="fr-CA"/>
              </w:rPr>
            </w:pPr>
            <w:r w:rsidRPr="0055014C">
              <w:rPr>
                <w:rFonts w:ascii="Arial" w:hAnsi="Arial"/>
                <w:sz w:val="22"/>
                <w:lang w:val="fr-CA"/>
              </w:rPr>
              <w:t xml:space="preserve">Mise à jour des références </w:t>
            </w:r>
          </w:p>
        </w:tc>
      </w:tr>
    </w:tbl>
    <w:p w:rsidR="009A2397" w:rsidRDefault="009A2397" w:rsidP="009A2397">
      <w:pPr>
        <w:rPr>
          <w:lang w:val="fr-CA"/>
        </w:rPr>
      </w:pPr>
    </w:p>
    <w:p w:rsidR="00C05852" w:rsidRPr="00827AB6" w:rsidRDefault="00C05852" w:rsidP="00C05852">
      <w:pPr>
        <w:tabs>
          <w:tab w:val="left" w:pos="-720"/>
          <w:tab w:val="left" w:pos="0"/>
        </w:tabs>
        <w:suppressAutoHyphens/>
        <w:rPr>
          <w:rFonts w:ascii="Arial" w:hAnsi="Arial"/>
          <w:spacing w:val="-2"/>
          <w:sz w:val="24"/>
          <w:lang w:val="fr-CA"/>
        </w:rPr>
      </w:pPr>
    </w:p>
    <w:p w:rsidR="00C05852" w:rsidRPr="00BE3AC1" w:rsidRDefault="00C05852">
      <w:pPr>
        <w:rPr>
          <w:rFonts w:ascii="Arial" w:hAnsi="Arial"/>
          <w:sz w:val="24"/>
          <w:lang w:val="fr-CA"/>
        </w:rPr>
      </w:pPr>
    </w:p>
    <w:sectPr w:rsidR="00C05852" w:rsidRPr="00BE3AC1">
      <w:headerReference w:type="even" r:id="rId7"/>
      <w:headerReference w:type="default" r:id="rId8"/>
      <w:footerReference w:type="even" r:id="rId9"/>
      <w:footerReference w:type="default" r:id="rId10"/>
      <w:headerReference w:type="first" r:id="rId11"/>
      <w:footerReference w:type="first" r:id="rId12"/>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10" w:rsidRDefault="000A3710">
      <w:r>
        <w:separator/>
      </w:r>
    </w:p>
  </w:endnote>
  <w:endnote w:type="continuationSeparator" w:id="0">
    <w:p w:rsidR="000A3710" w:rsidRDefault="000A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8E" w:rsidRDefault="00F13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2061A">
      <w:trPr>
        <w:trHeight w:val="720"/>
      </w:trPr>
      <w:tc>
        <w:tcPr>
          <w:tcW w:w="1368" w:type="dxa"/>
        </w:tcPr>
        <w:p w:rsidR="0052061A" w:rsidRDefault="0052061A">
          <w:pPr>
            <w:pStyle w:val="Footer"/>
            <w:jc w:val="center"/>
            <w:rPr>
              <w:sz w:val="8"/>
            </w:rPr>
          </w:pPr>
        </w:p>
        <w:p w:rsidR="0052061A" w:rsidRDefault="008A6D2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2061A" w:rsidRDefault="0052061A">
          <w:pPr>
            <w:pStyle w:val="Footer"/>
            <w:jc w:val="center"/>
            <w:rPr>
              <w:rFonts w:ascii="Arial" w:hAnsi="Arial"/>
              <w:sz w:val="18"/>
            </w:rPr>
          </w:pPr>
        </w:p>
        <w:p w:rsidR="00C05852" w:rsidRDefault="00C05852" w:rsidP="00C0585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2061A" w:rsidRPr="00827AB6" w:rsidRDefault="00C05852" w:rsidP="00C05852">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52061A" w:rsidRPr="00827AB6" w:rsidRDefault="0052061A">
          <w:pPr>
            <w:pStyle w:val="Footer"/>
            <w:jc w:val="right"/>
            <w:rPr>
              <w:rFonts w:ascii="Arial" w:hAnsi="Arial"/>
              <w:sz w:val="18"/>
              <w:lang w:val="fr-CA"/>
            </w:rPr>
          </w:pPr>
        </w:p>
        <w:p w:rsidR="0052061A" w:rsidRDefault="0052061A" w:rsidP="00C05852">
          <w:pPr>
            <w:pStyle w:val="Footer"/>
            <w:jc w:val="right"/>
            <w:rPr>
              <w:rFonts w:ascii="Arial" w:hAnsi="Arial"/>
              <w:sz w:val="18"/>
            </w:rPr>
          </w:pPr>
          <w:r>
            <w:rPr>
              <w:rFonts w:ascii="Arial" w:hAnsi="Arial"/>
              <w:sz w:val="18"/>
            </w:rPr>
            <w:t>TG.00</w:t>
          </w:r>
          <w:r w:rsidR="00C05852">
            <w:rPr>
              <w:rFonts w:ascii="Arial" w:hAnsi="Arial"/>
              <w:sz w:val="18"/>
            </w:rPr>
            <w:t>8</w:t>
          </w:r>
          <w:r>
            <w:rPr>
              <w:rFonts w:ascii="Arial" w:hAnsi="Arial"/>
              <w:sz w:val="18"/>
            </w:rPr>
            <w:br/>
          </w:r>
          <w:r>
            <w:rPr>
              <w:rFonts w:ascii="Arial" w:hAnsi="Arial"/>
              <w:snapToGrid w:val="0"/>
              <w:sz w:val="18"/>
            </w:rPr>
            <w:t>Page</w:t>
          </w:r>
          <w:r w:rsidR="00714D4A">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F79C4">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F79C4">
            <w:rPr>
              <w:rFonts w:ascii="Arial" w:hAnsi="Arial"/>
              <w:noProof/>
              <w:snapToGrid w:val="0"/>
              <w:sz w:val="18"/>
            </w:rPr>
            <w:t>8</w:t>
          </w:r>
          <w:r>
            <w:rPr>
              <w:rFonts w:ascii="Arial" w:hAnsi="Arial"/>
              <w:snapToGrid w:val="0"/>
              <w:sz w:val="18"/>
            </w:rPr>
            <w:fldChar w:fldCharType="end"/>
          </w:r>
        </w:p>
      </w:tc>
    </w:tr>
  </w:tbl>
  <w:p w:rsidR="0052061A" w:rsidRDefault="00520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2061A">
      <w:trPr>
        <w:trHeight w:val="720"/>
      </w:trPr>
      <w:tc>
        <w:tcPr>
          <w:tcW w:w="1368" w:type="dxa"/>
        </w:tcPr>
        <w:p w:rsidR="0052061A" w:rsidRDefault="0052061A">
          <w:pPr>
            <w:pStyle w:val="Footer"/>
            <w:jc w:val="center"/>
            <w:rPr>
              <w:rFonts w:ascii="Verdana" w:hAnsi="Verdana"/>
              <w:sz w:val="8"/>
            </w:rPr>
          </w:pPr>
        </w:p>
        <w:p w:rsidR="0052061A" w:rsidRDefault="008A6D2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2061A" w:rsidRDefault="0052061A">
          <w:pPr>
            <w:pStyle w:val="Footer"/>
            <w:jc w:val="center"/>
            <w:rPr>
              <w:rFonts w:ascii="Arial" w:hAnsi="Arial"/>
              <w:sz w:val="18"/>
            </w:rPr>
          </w:pPr>
        </w:p>
        <w:p w:rsidR="00C05852" w:rsidRDefault="00C05852" w:rsidP="00C0585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2061A" w:rsidRPr="00827AB6" w:rsidRDefault="00C05852" w:rsidP="00C05852">
          <w:pPr>
            <w:pStyle w:val="Footer"/>
            <w:jc w:val="center"/>
            <w:rPr>
              <w:rFonts w:ascii="Arial" w:hAnsi="Arial"/>
              <w:sz w:val="18"/>
              <w:lang w:val="fr-CA"/>
            </w:rPr>
          </w:pPr>
          <w:r>
            <w:rPr>
              <w:rFonts w:ascii="Arial" w:hAnsi="Arial"/>
              <w:sz w:val="18"/>
              <w:lang w:val="fr-CA"/>
            </w:rPr>
            <w:t>Manuel de ressources techniques en transfusion de l’Ontario</w:t>
          </w:r>
          <w:r w:rsidRPr="00827AB6">
            <w:rPr>
              <w:rFonts w:ascii="Arial" w:hAnsi="Arial"/>
              <w:sz w:val="18"/>
              <w:lang w:val="fr-CA"/>
            </w:rPr>
            <w:t xml:space="preserve"> </w:t>
          </w:r>
        </w:p>
      </w:tc>
      <w:tc>
        <w:tcPr>
          <w:tcW w:w="1494" w:type="dxa"/>
        </w:tcPr>
        <w:p w:rsidR="0052061A" w:rsidRPr="00827AB6" w:rsidRDefault="0052061A">
          <w:pPr>
            <w:pStyle w:val="Footer"/>
            <w:jc w:val="right"/>
            <w:rPr>
              <w:rFonts w:ascii="Arial" w:hAnsi="Arial"/>
              <w:sz w:val="18"/>
              <w:lang w:val="fr-CA"/>
            </w:rPr>
          </w:pPr>
        </w:p>
        <w:p w:rsidR="0052061A" w:rsidRDefault="0052061A">
          <w:pPr>
            <w:pStyle w:val="Footer"/>
            <w:jc w:val="right"/>
            <w:rPr>
              <w:rFonts w:ascii="Arial" w:hAnsi="Arial"/>
              <w:sz w:val="18"/>
            </w:rPr>
          </w:pPr>
          <w:r>
            <w:rPr>
              <w:rFonts w:ascii="Arial" w:hAnsi="Arial"/>
              <w:sz w:val="18"/>
            </w:rPr>
            <w:t>TG.00</w:t>
          </w:r>
          <w:r w:rsidR="00C05852">
            <w:rPr>
              <w:rFonts w:ascii="Arial" w:hAnsi="Arial"/>
              <w:sz w:val="18"/>
            </w:rPr>
            <w:t>8</w:t>
          </w:r>
        </w:p>
        <w:p w:rsidR="0052061A" w:rsidRDefault="0052061A">
          <w:pPr>
            <w:pStyle w:val="Footer"/>
            <w:jc w:val="right"/>
            <w:rPr>
              <w:rFonts w:ascii="Arial" w:hAnsi="Arial"/>
              <w:sz w:val="18"/>
            </w:rPr>
          </w:pPr>
          <w:r>
            <w:rPr>
              <w:rFonts w:ascii="Arial" w:hAnsi="Arial"/>
              <w:snapToGrid w:val="0"/>
              <w:sz w:val="18"/>
            </w:rPr>
            <w:t>Page</w:t>
          </w:r>
          <w:r w:rsidR="00714D4A">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F79C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F79C4">
            <w:rPr>
              <w:rFonts w:ascii="Arial" w:hAnsi="Arial"/>
              <w:noProof/>
              <w:snapToGrid w:val="0"/>
              <w:sz w:val="18"/>
            </w:rPr>
            <w:t>1</w:t>
          </w:r>
          <w:r>
            <w:rPr>
              <w:rFonts w:ascii="Arial" w:hAnsi="Arial"/>
              <w:snapToGrid w:val="0"/>
              <w:sz w:val="18"/>
            </w:rPr>
            <w:fldChar w:fldCharType="end"/>
          </w:r>
        </w:p>
      </w:tc>
    </w:tr>
  </w:tbl>
  <w:p w:rsidR="0052061A" w:rsidRDefault="0052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10" w:rsidRDefault="000A3710">
      <w:r>
        <w:separator/>
      </w:r>
    </w:p>
  </w:footnote>
  <w:footnote w:type="continuationSeparator" w:id="0">
    <w:p w:rsidR="000A3710" w:rsidRDefault="000A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8E" w:rsidRDefault="00F13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1A" w:rsidRPr="00F92082" w:rsidRDefault="0052061A">
    <w:pPr>
      <w:pStyle w:val="Header"/>
      <w:jc w:val="center"/>
      <w:rPr>
        <w:rFonts w:ascii="Arial" w:hAnsi="Arial"/>
        <w:b/>
        <w:sz w:val="28"/>
        <w:highlight w:val="yellow"/>
        <w:lang w:val="fr-CA"/>
      </w:rPr>
    </w:pPr>
    <w:r w:rsidRPr="00F92082">
      <w:rPr>
        <w:rFonts w:ascii="Arial" w:hAnsi="Arial"/>
        <w:b/>
        <w:sz w:val="28"/>
        <w:lang w:val="fr-CA"/>
      </w:rPr>
      <w:t>Test direct à l</w:t>
    </w:r>
    <w:r w:rsidR="00714D4A">
      <w:rPr>
        <w:rFonts w:ascii="Arial" w:hAnsi="Arial"/>
        <w:b/>
        <w:sz w:val="28"/>
        <w:lang w:val="fr-CA"/>
      </w:rPr>
      <w:t>’</w:t>
    </w:r>
    <w:r w:rsidRPr="00F92082">
      <w:rPr>
        <w:rFonts w:ascii="Arial" w:hAnsi="Arial"/>
        <w:b/>
        <w:sz w:val="28"/>
        <w:lang w:val="fr-CA"/>
      </w:rPr>
      <w:t>antiglobuline - carte de gel anti-IgG</w:t>
    </w:r>
  </w:p>
  <w:p w:rsidR="0052061A" w:rsidRPr="00F92082" w:rsidRDefault="0052061A">
    <w:pPr>
      <w:pStyle w:val="Header"/>
      <w:jc w:val="center"/>
      <w:rPr>
        <w:rFonts w:ascii="Arial" w:hAnsi="Arial"/>
        <w:b/>
        <w:sz w:val="28"/>
        <w:highlight w:val="yellow"/>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1A" w:rsidRDefault="008A6D2B">
    <w:pPr>
      <w:pStyle w:val="Header"/>
      <w:tabs>
        <w:tab w:val="clear" w:pos="8640"/>
        <w:tab w:val="left" w:pos="5057"/>
      </w:tabs>
      <w:rPr>
        <w:lang w:val="fr-CA"/>
      </w:rPr>
    </w:pPr>
    <w:r>
      <w:rPr>
        <w:noProof/>
        <w:lang w:val="fr-CA"/>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827AB6" w:rsidRPr="0012445D" w:rsidRDefault="00827AB6">
    <w:pPr>
      <w:pStyle w:val="Header"/>
      <w:tabs>
        <w:tab w:val="clear" w:pos="8640"/>
        <w:tab w:val="left" w:pos="5057"/>
      </w:tabs>
      <w:rPr>
        <w:lang w:val="fr-CA"/>
      </w:rPr>
    </w:pPr>
  </w:p>
  <w:p w:rsidR="00C05852" w:rsidRPr="00827AB6" w:rsidRDefault="00C05852" w:rsidP="00C05852">
    <w:pPr>
      <w:pStyle w:val="Header"/>
      <w:jc w:val="center"/>
      <w:rPr>
        <w:rFonts w:ascii="Arial" w:hAnsi="Arial" w:cs="Arial"/>
        <w:b/>
        <w:bCs/>
        <w:sz w:val="24"/>
        <w:szCs w:val="28"/>
        <w:lang w:val="fr-CA"/>
      </w:rPr>
    </w:pPr>
    <w:r w:rsidRPr="00827AB6">
      <w:rPr>
        <w:rFonts w:ascii="Arial" w:hAnsi="Arial" w:cs="Arial"/>
        <w:b/>
        <w:bCs/>
        <w:sz w:val="24"/>
        <w:szCs w:val="28"/>
        <w:lang w:val="fr-CA"/>
      </w:rPr>
      <w:t>Réseau régional ontarien de coordination du sang</w:t>
    </w:r>
  </w:p>
  <w:p w:rsidR="00C05852" w:rsidRPr="00827AB6" w:rsidRDefault="00C05852" w:rsidP="00C05852">
    <w:pPr>
      <w:pStyle w:val="Header"/>
      <w:jc w:val="center"/>
      <w:rPr>
        <w:rFonts w:ascii="Arial" w:hAnsi="Arial" w:cs="Arial"/>
        <w:b/>
        <w:bCs/>
        <w:sz w:val="24"/>
        <w:szCs w:val="28"/>
        <w:lang w:val="fr-CA"/>
      </w:rPr>
    </w:pPr>
    <w:r w:rsidRPr="00827AB6">
      <w:rPr>
        <w:rFonts w:ascii="Arial" w:hAnsi="Arial" w:cs="Arial"/>
        <w:b/>
        <w:bCs/>
        <w:sz w:val="24"/>
        <w:szCs w:val="28"/>
        <w:lang w:val="fr-CA"/>
      </w:rPr>
      <w:t>Manuel de ressources techniques en transfusion de l’Ontario</w:t>
    </w:r>
  </w:p>
  <w:p w:rsidR="0052061A" w:rsidRPr="0012445D" w:rsidRDefault="0052061A">
    <w:pPr>
      <w:pStyle w:val="Header"/>
      <w:jc w:val="center"/>
      <w:rPr>
        <w:rFonts w:ascii="Arial" w:hAnsi="Arial" w:cs="Arial"/>
        <w:b/>
        <w:bCs/>
        <w:kern w:val="24"/>
        <w:sz w:val="22"/>
        <w:lang w:val="fr-CA"/>
      </w:rPr>
    </w:pPr>
  </w:p>
  <w:p w:rsidR="0052061A" w:rsidRPr="0012445D" w:rsidRDefault="0052061A">
    <w:pPr>
      <w:pStyle w:val="Header"/>
      <w:jc w:val="center"/>
      <w:rPr>
        <w:rFonts w:ascii="Arial" w:hAnsi="Arial"/>
        <w:b/>
        <w:sz w:val="28"/>
        <w:lang w:val="fr-CA"/>
      </w:rPr>
    </w:pPr>
    <w:r w:rsidRPr="0012445D">
      <w:rPr>
        <w:rFonts w:ascii="Arial" w:hAnsi="Arial"/>
        <w:b/>
        <w:color w:val="000000"/>
        <w:sz w:val="28"/>
        <w:lang w:val="fr-CA"/>
      </w:rPr>
      <w:t>Test direct à l</w:t>
    </w:r>
    <w:r w:rsidR="00714D4A">
      <w:rPr>
        <w:rFonts w:ascii="Arial" w:hAnsi="Arial"/>
        <w:b/>
        <w:color w:val="000000"/>
        <w:sz w:val="28"/>
        <w:lang w:val="fr-CA"/>
      </w:rPr>
      <w:t>’</w:t>
    </w:r>
    <w:r w:rsidRPr="0012445D">
      <w:rPr>
        <w:rFonts w:ascii="Arial" w:hAnsi="Arial"/>
        <w:b/>
        <w:color w:val="000000"/>
        <w:sz w:val="28"/>
        <w:lang w:val="fr-CA"/>
      </w:rPr>
      <w:t>antiglobuline - carte de gel anti-IgG</w:t>
    </w:r>
  </w:p>
  <w:p w:rsidR="0052061A" w:rsidRPr="0012445D" w:rsidRDefault="0052061A">
    <w:pPr>
      <w:pStyle w:val="Header"/>
      <w:jc w:val="center"/>
      <w:rPr>
        <w:rFonts w:ascii="Arial" w:hAnsi="Arial"/>
        <w:b/>
        <w:sz w:val="28"/>
        <w:lang w:val="fr-CA"/>
      </w:rPr>
    </w:pPr>
  </w:p>
  <w:p w:rsidR="0052061A" w:rsidRPr="0012445D" w:rsidRDefault="0052061A">
    <w:pPr>
      <w:pStyle w:val="Header"/>
      <w:tabs>
        <w:tab w:val="left" w:pos="6617"/>
      </w:tabs>
      <w:rPr>
        <w:rFonts w:ascii="Arial" w:hAnsi="Arial" w:cs="Arial"/>
        <w:b/>
        <w:bCs/>
        <w:kern w:val="24"/>
        <w:lang w:val="fr-CA"/>
      </w:rPr>
    </w:pPr>
    <w:r w:rsidRPr="0012445D">
      <w:rPr>
        <w:rFonts w:ascii="Arial" w:hAnsi="Arial" w:cs="Arial"/>
        <w:b/>
        <w:bCs/>
        <w:lang w:val="fr-CA"/>
      </w:rPr>
      <w:tab/>
    </w:r>
    <w:r w:rsidR="008A6D2B" w:rsidRPr="0012445D">
      <w:rPr>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581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52061A" w:rsidRPr="0012445D">
      <w:tc>
        <w:tcPr>
          <w:tcW w:w="4428" w:type="dxa"/>
        </w:tcPr>
        <w:p w:rsidR="0052061A" w:rsidRPr="0012445D" w:rsidRDefault="0052061A" w:rsidP="004344CD">
          <w:pPr>
            <w:pStyle w:val="Header"/>
            <w:rPr>
              <w:rFonts w:ascii="Arial" w:hAnsi="Arial" w:cs="Arial"/>
              <w:kern w:val="24"/>
              <w:lang w:val="fr-CA"/>
            </w:rPr>
          </w:pPr>
          <w:r w:rsidRPr="0012445D">
            <w:rPr>
              <w:rFonts w:ascii="Arial" w:hAnsi="Arial" w:cs="Arial"/>
              <w:lang w:val="fr-CA"/>
            </w:rPr>
            <w:t>Approbation :</w:t>
          </w:r>
          <w:r w:rsidR="000614BE" w:rsidRPr="0012445D">
            <w:rPr>
              <w:rFonts w:ascii="Arial" w:hAnsi="Arial" w:cs="Arial"/>
              <w:lang w:val="fr-CA"/>
            </w:rPr>
            <w:t xml:space="preserve"> </w:t>
          </w:r>
        </w:p>
      </w:tc>
      <w:tc>
        <w:tcPr>
          <w:tcW w:w="4428" w:type="dxa"/>
        </w:tcPr>
        <w:p w:rsidR="0052061A" w:rsidRPr="0012445D" w:rsidRDefault="0052061A" w:rsidP="00C05852">
          <w:pPr>
            <w:pStyle w:val="Header"/>
            <w:rPr>
              <w:rFonts w:ascii="Arial" w:hAnsi="Arial" w:cs="Arial"/>
              <w:kern w:val="24"/>
              <w:lang w:val="fr-CA"/>
            </w:rPr>
          </w:pPr>
          <w:r w:rsidRPr="0012445D">
            <w:rPr>
              <w:rFonts w:ascii="Arial" w:hAnsi="Arial" w:cs="Arial"/>
              <w:lang w:val="fr-CA"/>
            </w:rPr>
            <w:t>Document n</w:t>
          </w:r>
          <w:r w:rsidRPr="0012445D">
            <w:rPr>
              <w:rFonts w:ascii="Arial" w:hAnsi="Arial" w:cs="Arial"/>
              <w:vertAlign w:val="superscript"/>
              <w:lang w:val="fr-CA"/>
            </w:rPr>
            <w:t>o</w:t>
          </w:r>
          <w:r w:rsidRPr="0012445D">
            <w:rPr>
              <w:rFonts w:ascii="Arial" w:hAnsi="Arial" w:cs="Arial"/>
              <w:lang w:val="fr-CA"/>
            </w:rPr>
            <w:t xml:space="preserve"> :TG.00</w:t>
          </w:r>
          <w:r w:rsidR="00C05852" w:rsidRPr="0012445D">
            <w:rPr>
              <w:rFonts w:ascii="Arial" w:hAnsi="Arial" w:cs="Arial"/>
              <w:lang w:val="fr-CA"/>
            </w:rPr>
            <w:t>8</w:t>
          </w:r>
        </w:p>
      </w:tc>
    </w:tr>
    <w:tr w:rsidR="0052061A" w:rsidRPr="0012445D">
      <w:tc>
        <w:tcPr>
          <w:tcW w:w="4428" w:type="dxa"/>
        </w:tcPr>
        <w:p w:rsidR="0052061A" w:rsidRPr="0012445D" w:rsidRDefault="0052061A">
          <w:pPr>
            <w:pStyle w:val="Header"/>
            <w:rPr>
              <w:rFonts w:ascii="Arial" w:hAnsi="Arial" w:cs="Arial"/>
              <w:kern w:val="24"/>
              <w:lang w:val="fr-CA"/>
            </w:rPr>
          </w:pPr>
          <w:r w:rsidRPr="0012445D">
            <w:rPr>
              <w:rFonts w:ascii="Arial" w:hAnsi="Arial" w:cs="Arial"/>
              <w:lang w:val="fr-CA"/>
            </w:rPr>
            <w:t>Date de publication : 2006/06/01</w:t>
          </w:r>
        </w:p>
      </w:tc>
      <w:tc>
        <w:tcPr>
          <w:tcW w:w="4428" w:type="dxa"/>
        </w:tcPr>
        <w:p w:rsidR="0052061A" w:rsidRPr="0012445D" w:rsidRDefault="0052061A">
          <w:pPr>
            <w:pStyle w:val="Header"/>
            <w:rPr>
              <w:rFonts w:ascii="Arial" w:hAnsi="Arial" w:cs="Arial"/>
              <w:kern w:val="24"/>
              <w:lang w:val="fr-CA"/>
            </w:rPr>
          </w:pPr>
          <w:r w:rsidRPr="0012445D">
            <w:rPr>
              <w:rFonts w:ascii="Arial" w:hAnsi="Arial" w:cs="Arial"/>
              <w:lang w:val="fr-CA"/>
            </w:rPr>
            <w:t>Catégorie : Techniques en gel</w:t>
          </w:r>
        </w:p>
      </w:tc>
    </w:tr>
    <w:tr w:rsidR="0052061A" w:rsidRPr="0012445D">
      <w:tc>
        <w:tcPr>
          <w:tcW w:w="4428" w:type="dxa"/>
        </w:tcPr>
        <w:p w:rsidR="0052061A" w:rsidRPr="0012445D" w:rsidRDefault="0052061A">
          <w:pPr>
            <w:pStyle w:val="Header"/>
            <w:rPr>
              <w:rFonts w:ascii="Arial" w:hAnsi="Arial" w:cs="Arial"/>
              <w:kern w:val="24"/>
              <w:lang w:val="fr-CA"/>
            </w:rPr>
          </w:pPr>
          <w:r w:rsidRPr="0012445D">
            <w:rPr>
              <w:rFonts w:ascii="Arial" w:hAnsi="Arial" w:cs="Arial"/>
              <w:lang w:val="fr-CA"/>
            </w:rPr>
            <w:t>Date de révision :</w:t>
          </w:r>
          <w:r w:rsidR="000614BE" w:rsidRPr="0012445D">
            <w:rPr>
              <w:rFonts w:ascii="Arial" w:hAnsi="Arial" w:cs="Arial"/>
              <w:lang w:val="fr-CA"/>
            </w:rPr>
            <w:t xml:space="preserve"> 2009/12/31</w:t>
          </w:r>
          <w:r w:rsidR="004344CD" w:rsidRPr="0012445D">
            <w:rPr>
              <w:rFonts w:ascii="Arial" w:hAnsi="Arial" w:cs="Arial"/>
              <w:lang w:val="fr-CA"/>
            </w:rPr>
            <w:t>; 2014/04/30</w:t>
          </w:r>
        </w:p>
      </w:tc>
      <w:tc>
        <w:tcPr>
          <w:tcW w:w="4428" w:type="dxa"/>
        </w:tcPr>
        <w:p w:rsidR="0052061A" w:rsidRPr="0012445D" w:rsidRDefault="0052061A">
          <w:pPr>
            <w:pStyle w:val="Header"/>
            <w:rPr>
              <w:rFonts w:ascii="Arial" w:hAnsi="Arial" w:cs="Arial"/>
              <w:kern w:val="24"/>
              <w:lang w:val="fr-CA"/>
            </w:rPr>
          </w:pPr>
          <w:r w:rsidRPr="0012445D">
            <w:rPr>
              <w:rFonts w:ascii="Arial" w:hAnsi="Arial" w:cs="Arial"/>
              <w:lang w:val="fr-CA"/>
            </w:rPr>
            <w:t>Pages :</w:t>
          </w:r>
          <w:r w:rsidR="00636602" w:rsidRPr="0012445D">
            <w:rPr>
              <w:rFonts w:ascii="Arial" w:hAnsi="Arial" w:cs="Arial"/>
              <w:lang w:val="fr-CA"/>
            </w:rPr>
            <w:t xml:space="preserve"> </w:t>
          </w:r>
          <w:r w:rsidRPr="0012445D">
            <w:rPr>
              <w:rFonts w:ascii="Arial" w:hAnsi="Arial" w:cs="Arial"/>
              <w:lang w:val="fr-CA"/>
            </w:rPr>
            <w:fldChar w:fldCharType="begin"/>
          </w:r>
          <w:r w:rsidRPr="0012445D">
            <w:rPr>
              <w:rFonts w:ascii="Arial" w:hAnsi="Arial" w:cs="Arial"/>
              <w:lang w:val="fr-CA"/>
            </w:rPr>
            <w:instrText xml:space="preserve"> NUMPAGES </w:instrText>
          </w:r>
          <w:r w:rsidRPr="0012445D">
            <w:rPr>
              <w:rFonts w:ascii="Arial" w:hAnsi="Arial" w:cs="Arial"/>
              <w:lang w:val="fr-CA"/>
            </w:rPr>
            <w:fldChar w:fldCharType="separate"/>
          </w:r>
          <w:r w:rsidR="003F79C4">
            <w:rPr>
              <w:rFonts w:ascii="Arial" w:hAnsi="Arial" w:cs="Arial"/>
              <w:noProof/>
              <w:lang w:val="fr-CA"/>
            </w:rPr>
            <w:t>1</w:t>
          </w:r>
          <w:r w:rsidRPr="0012445D">
            <w:rPr>
              <w:rFonts w:ascii="Arial" w:hAnsi="Arial" w:cs="Arial"/>
              <w:lang w:val="fr-CA"/>
            </w:rPr>
            <w:fldChar w:fldCharType="end"/>
          </w:r>
        </w:p>
      </w:tc>
    </w:tr>
  </w:tbl>
  <w:p w:rsidR="0052061A" w:rsidRPr="0012445D" w:rsidRDefault="008A6D2B">
    <w:pPr>
      <w:pStyle w:val="Header"/>
      <w:rPr>
        <w:lang w:val="fr-CA"/>
      </w:rPr>
    </w:pPr>
    <w:r w:rsidRPr="0012445D">
      <w:rPr>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41D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52061A" w:rsidRPr="0012445D">
      <w:rPr>
        <w:lang w:val="fr-CA"/>
      </w:rPr>
      <w:tab/>
    </w:r>
  </w:p>
  <w:p w:rsidR="0052061A" w:rsidRPr="0012445D" w:rsidRDefault="0052061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EB3"/>
    <w:multiLevelType w:val="multilevel"/>
    <w:tmpl w:val="58D685E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174C1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E650DB"/>
    <w:multiLevelType w:val="hybridMultilevel"/>
    <w:tmpl w:val="68201420"/>
    <w:lvl w:ilvl="0" w:tplc="34E21FBA">
      <w:start w:val="1"/>
      <w:numFmt w:val="decimal"/>
      <w:lvlText w:val="9.%1"/>
      <w:lvlJc w:val="left"/>
      <w:pPr>
        <w:ind w:left="1430" w:hanging="360"/>
      </w:pPr>
      <w:rPr>
        <w:rFonts w:hint="default"/>
      </w:r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4"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3E3135"/>
    <w:multiLevelType w:val="multilevel"/>
    <w:tmpl w:val="C892FDB4"/>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094A2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FF43AB"/>
    <w:multiLevelType w:val="multilevel"/>
    <w:tmpl w:val="554E1CA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34D5F5C"/>
    <w:multiLevelType w:val="hybridMultilevel"/>
    <w:tmpl w:val="3C2CB7F0"/>
    <w:lvl w:ilvl="0" w:tplc="E8EC6C1E">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371" w:hanging="360"/>
      </w:pPr>
      <w:rPr>
        <w:rFonts w:ascii="Courier New" w:hAnsi="Courier New" w:cs="Courier New" w:hint="default"/>
      </w:rPr>
    </w:lvl>
    <w:lvl w:ilvl="2" w:tplc="10090005" w:tentative="1">
      <w:start w:val="1"/>
      <w:numFmt w:val="bullet"/>
      <w:lvlText w:val=""/>
      <w:lvlJc w:val="left"/>
      <w:pPr>
        <w:ind w:left="1091" w:hanging="360"/>
      </w:pPr>
      <w:rPr>
        <w:rFonts w:ascii="Wingdings" w:hAnsi="Wingdings" w:hint="default"/>
      </w:rPr>
    </w:lvl>
    <w:lvl w:ilvl="3" w:tplc="10090001" w:tentative="1">
      <w:start w:val="1"/>
      <w:numFmt w:val="bullet"/>
      <w:lvlText w:val=""/>
      <w:lvlJc w:val="left"/>
      <w:pPr>
        <w:ind w:left="1811" w:hanging="360"/>
      </w:pPr>
      <w:rPr>
        <w:rFonts w:ascii="Symbol" w:hAnsi="Symbol" w:hint="default"/>
      </w:rPr>
    </w:lvl>
    <w:lvl w:ilvl="4" w:tplc="10090003" w:tentative="1">
      <w:start w:val="1"/>
      <w:numFmt w:val="bullet"/>
      <w:lvlText w:val="o"/>
      <w:lvlJc w:val="left"/>
      <w:pPr>
        <w:ind w:left="2531" w:hanging="360"/>
      </w:pPr>
      <w:rPr>
        <w:rFonts w:ascii="Courier New" w:hAnsi="Courier New" w:cs="Courier New" w:hint="default"/>
      </w:rPr>
    </w:lvl>
    <w:lvl w:ilvl="5" w:tplc="10090005" w:tentative="1">
      <w:start w:val="1"/>
      <w:numFmt w:val="bullet"/>
      <w:lvlText w:val=""/>
      <w:lvlJc w:val="left"/>
      <w:pPr>
        <w:ind w:left="3251" w:hanging="360"/>
      </w:pPr>
      <w:rPr>
        <w:rFonts w:ascii="Wingdings" w:hAnsi="Wingdings" w:hint="default"/>
      </w:rPr>
    </w:lvl>
    <w:lvl w:ilvl="6" w:tplc="10090001" w:tentative="1">
      <w:start w:val="1"/>
      <w:numFmt w:val="bullet"/>
      <w:lvlText w:val=""/>
      <w:lvlJc w:val="left"/>
      <w:pPr>
        <w:ind w:left="3971" w:hanging="360"/>
      </w:pPr>
      <w:rPr>
        <w:rFonts w:ascii="Symbol" w:hAnsi="Symbol" w:hint="default"/>
      </w:rPr>
    </w:lvl>
    <w:lvl w:ilvl="7" w:tplc="10090003" w:tentative="1">
      <w:start w:val="1"/>
      <w:numFmt w:val="bullet"/>
      <w:lvlText w:val="o"/>
      <w:lvlJc w:val="left"/>
      <w:pPr>
        <w:ind w:left="4691" w:hanging="360"/>
      </w:pPr>
      <w:rPr>
        <w:rFonts w:ascii="Courier New" w:hAnsi="Courier New" w:cs="Courier New" w:hint="default"/>
      </w:rPr>
    </w:lvl>
    <w:lvl w:ilvl="8" w:tplc="10090005" w:tentative="1">
      <w:start w:val="1"/>
      <w:numFmt w:val="bullet"/>
      <w:lvlText w:val=""/>
      <w:lvlJc w:val="left"/>
      <w:pPr>
        <w:ind w:left="5411" w:hanging="360"/>
      </w:pPr>
      <w:rPr>
        <w:rFonts w:ascii="Wingdings" w:hAnsi="Wingdings" w:hint="default"/>
      </w:rPr>
    </w:lvl>
  </w:abstractNum>
  <w:abstractNum w:abstractNumId="9" w15:restartNumberingAfterBreak="0">
    <w:nsid w:val="36593687"/>
    <w:multiLevelType w:val="hybridMultilevel"/>
    <w:tmpl w:val="E12CFFE0"/>
    <w:lvl w:ilvl="0" w:tplc="10090001">
      <w:start w:val="1"/>
      <w:numFmt w:val="bullet"/>
      <w:lvlText w:val=""/>
      <w:lvlJc w:val="left"/>
      <w:pPr>
        <w:ind w:left="2487" w:hanging="360"/>
      </w:pPr>
      <w:rPr>
        <w:rFonts w:ascii="Symbol" w:hAnsi="Symbol" w:hint="default"/>
      </w:rPr>
    </w:lvl>
    <w:lvl w:ilvl="1" w:tplc="10090003" w:tentative="1">
      <w:start w:val="1"/>
      <w:numFmt w:val="bullet"/>
      <w:lvlText w:val="o"/>
      <w:lvlJc w:val="left"/>
      <w:pPr>
        <w:ind w:left="3207" w:hanging="360"/>
      </w:pPr>
      <w:rPr>
        <w:rFonts w:ascii="Courier New" w:hAnsi="Courier New" w:cs="Courier New" w:hint="default"/>
      </w:rPr>
    </w:lvl>
    <w:lvl w:ilvl="2" w:tplc="10090005" w:tentative="1">
      <w:start w:val="1"/>
      <w:numFmt w:val="bullet"/>
      <w:lvlText w:val=""/>
      <w:lvlJc w:val="left"/>
      <w:pPr>
        <w:ind w:left="3927" w:hanging="360"/>
      </w:pPr>
      <w:rPr>
        <w:rFonts w:ascii="Wingdings" w:hAnsi="Wingdings" w:hint="default"/>
      </w:rPr>
    </w:lvl>
    <w:lvl w:ilvl="3" w:tplc="10090001" w:tentative="1">
      <w:start w:val="1"/>
      <w:numFmt w:val="bullet"/>
      <w:lvlText w:val=""/>
      <w:lvlJc w:val="left"/>
      <w:pPr>
        <w:ind w:left="4647" w:hanging="360"/>
      </w:pPr>
      <w:rPr>
        <w:rFonts w:ascii="Symbol" w:hAnsi="Symbol" w:hint="default"/>
      </w:rPr>
    </w:lvl>
    <w:lvl w:ilvl="4" w:tplc="10090003" w:tentative="1">
      <w:start w:val="1"/>
      <w:numFmt w:val="bullet"/>
      <w:lvlText w:val="o"/>
      <w:lvlJc w:val="left"/>
      <w:pPr>
        <w:ind w:left="5367" w:hanging="360"/>
      </w:pPr>
      <w:rPr>
        <w:rFonts w:ascii="Courier New" w:hAnsi="Courier New" w:cs="Courier New" w:hint="default"/>
      </w:rPr>
    </w:lvl>
    <w:lvl w:ilvl="5" w:tplc="10090005" w:tentative="1">
      <w:start w:val="1"/>
      <w:numFmt w:val="bullet"/>
      <w:lvlText w:val=""/>
      <w:lvlJc w:val="left"/>
      <w:pPr>
        <w:ind w:left="6087" w:hanging="360"/>
      </w:pPr>
      <w:rPr>
        <w:rFonts w:ascii="Wingdings" w:hAnsi="Wingdings" w:hint="default"/>
      </w:rPr>
    </w:lvl>
    <w:lvl w:ilvl="6" w:tplc="10090001" w:tentative="1">
      <w:start w:val="1"/>
      <w:numFmt w:val="bullet"/>
      <w:lvlText w:val=""/>
      <w:lvlJc w:val="left"/>
      <w:pPr>
        <w:ind w:left="6807" w:hanging="360"/>
      </w:pPr>
      <w:rPr>
        <w:rFonts w:ascii="Symbol" w:hAnsi="Symbol" w:hint="default"/>
      </w:rPr>
    </w:lvl>
    <w:lvl w:ilvl="7" w:tplc="10090003" w:tentative="1">
      <w:start w:val="1"/>
      <w:numFmt w:val="bullet"/>
      <w:lvlText w:val="o"/>
      <w:lvlJc w:val="left"/>
      <w:pPr>
        <w:ind w:left="7527" w:hanging="360"/>
      </w:pPr>
      <w:rPr>
        <w:rFonts w:ascii="Courier New" w:hAnsi="Courier New" w:cs="Courier New" w:hint="default"/>
      </w:rPr>
    </w:lvl>
    <w:lvl w:ilvl="8" w:tplc="10090005" w:tentative="1">
      <w:start w:val="1"/>
      <w:numFmt w:val="bullet"/>
      <w:lvlText w:val=""/>
      <w:lvlJc w:val="left"/>
      <w:pPr>
        <w:ind w:left="8247" w:hanging="360"/>
      </w:pPr>
      <w:rPr>
        <w:rFonts w:ascii="Wingdings" w:hAnsi="Wingdings" w:hint="default"/>
      </w:rPr>
    </w:lvl>
  </w:abstractNum>
  <w:abstractNum w:abstractNumId="10" w15:restartNumberingAfterBreak="0">
    <w:nsid w:val="36D36BB9"/>
    <w:multiLevelType w:val="multilevel"/>
    <w:tmpl w:val="005063D8"/>
    <w:lvl w:ilvl="0">
      <w:start w:val="8"/>
      <w:numFmt w:val="decimal"/>
      <w:lvlText w:val="%1.0"/>
      <w:lvlJc w:val="left"/>
      <w:pPr>
        <w:tabs>
          <w:tab w:val="num" w:pos="525"/>
        </w:tabs>
        <w:ind w:left="525" w:hanging="525"/>
      </w:pPr>
      <w:rPr>
        <w:rFonts w:hint="default"/>
      </w:rPr>
    </w:lvl>
    <w:lvl w:ilvl="1">
      <w:start w:val="10"/>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9F0A38"/>
    <w:multiLevelType w:val="multilevel"/>
    <w:tmpl w:val="49140A8A"/>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94839E5"/>
    <w:multiLevelType w:val="multilevel"/>
    <w:tmpl w:val="005063D8"/>
    <w:lvl w:ilvl="0">
      <w:start w:val="8"/>
      <w:numFmt w:val="decimal"/>
      <w:lvlText w:val="%1.0"/>
      <w:lvlJc w:val="left"/>
      <w:pPr>
        <w:tabs>
          <w:tab w:val="num" w:pos="525"/>
        </w:tabs>
        <w:ind w:left="525" w:hanging="525"/>
      </w:pPr>
      <w:rPr>
        <w:rFonts w:hint="default"/>
      </w:rPr>
    </w:lvl>
    <w:lvl w:ilvl="1">
      <w:start w:val="10"/>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859524A"/>
    <w:multiLevelType w:val="multilevel"/>
    <w:tmpl w:val="EAB246C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A7A7B1D"/>
    <w:multiLevelType w:val="multilevel"/>
    <w:tmpl w:val="9B885D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56C5CE0"/>
    <w:multiLevelType w:val="multilevel"/>
    <w:tmpl w:val="D2EEB61E"/>
    <w:lvl w:ilvl="0">
      <w:start w:val="8"/>
      <w:numFmt w:val="decimal"/>
      <w:lvlText w:val="%1"/>
      <w:lvlJc w:val="left"/>
      <w:pPr>
        <w:ind w:left="1245" w:hanging="525"/>
      </w:pPr>
      <w:rPr>
        <w:rFonts w:hint="default"/>
      </w:rPr>
    </w:lvl>
    <w:lvl w:ilvl="1">
      <w:start w:val="4"/>
      <w:numFmt w:val="decimal"/>
      <w:lvlText w:val="%1.%2"/>
      <w:lvlJc w:val="left"/>
      <w:pPr>
        <w:ind w:left="1965" w:hanging="525"/>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5A9A7E58"/>
    <w:multiLevelType w:val="multilevel"/>
    <w:tmpl w:val="B750E9AA"/>
    <w:lvl w:ilvl="0">
      <w:start w:val="7"/>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0B1D6A"/>
    <w:multiLevelType w:val="multilevel"/>
    <w:tmpl w:val="5D9C91DA"/>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8747BA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077DAB"/>
    <w:multiLevelType w:val="multilevel"/>
    <w:tmpl w:val="C892FDB4"/>
    <w:lvl w:ilvl="0">
      <w:start w:val="6"/>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2"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3" w15:restartNumberingAfterBreak="0">
    <w:nsid w:val="7C800B95"/>
    <w:multiLevelType w:val="multilevel"/>
    <w:tmpl w:val="38D0055C"/>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2"/>
  </w:num>
  <w:num w:numId="3">
    <w:abstractNumId w:val="21"/>
  </w:num>
  <w:num w:numId="4">
    <w:abstractNumId w:val="7"/>
  </w:num>
  <w:num w:numId="5">
    <w:abstractNumId w:val="19"/>
  </w:num>
  <w:num w:numId="6">
    <w:abstractNumId w:val="6"/>
  </w:num>
  <w:num w:numId="7">
    <w:abstractNumId w:val="2"/>
  </w:num>
  <w:num w:numId="8">
    <w:abstractNumId w:val="15"/>
  </w:num>
  <w:num w:numId="9">
    <w:abstractNumId w:val="23"/>
  </w:num>
  <w:num w:numId="10">
    <w:abstractNumId w:val="8"/>
  </w:num>
  <w:num w:numId="11">
    <w:abstractNumId w:val="3"/>
  </w:num>
  <w:num w:numId="12">
    <w:abstractNumId w:val="0"/>
  </w:num>
  <w:num w:numId="13">
    <w:abstractNumId w:val="9"/>
  </w:num>
  <w:num w:numId="14">
    <w:abstractNumId w:val="20"/>
  </w:num>
  <w:num w:numId="15">
    <w:abstractNumId w:val="5"/>
  </w:num>
  <w:num w:numId="16">
    <w:abstractNumId w:val="17"/>
  </w:num>
  <w:num w:numId="17">
    <w:abstractNumId w:val="14"/>
  </w:num>
  <w:num w:numId="18">
    <w:abstractNumId w:val="11"/>
  </w:num>
  <w:num w:numId="19">
    <w:abstractNumId w:val="12"/>
  </w:num>
  <w:num w:numId="20">
    <w:abstractNumId w:val="16"/>
  </w:num>
  <w:num w:numId="21">
    <w:abstractNumId w:val="18"/>
  </w:num>
  <w:num w:numId="22">
    <w:abstractNumId w:val="10"/>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A9"/>
    <w:rsid w:val="000207E0"/>
    <w:rsid w:val="000614BE"/>
    <w:rsid w:val="00077FCC"/>
    <w:rsid w:val="000A3710"/>
    <w:rsid w:val="001073D1"/>
    <w:rsid w:val="0012445D"/>
    <w:rsid w:val="00167FD7"/>
    <w:rsid w:val="001803E2"/>
    <w:rsid w:val="001E4F99"/>
    <w:rsid w:val="00241507"/>
    <w:rsid w:val="002817E1"/>
    <w:rsid w:val="00291756"/>
    <w:rsid w:val="00295CC6"/>
    <w:rsid w:val="002A1EE8"/>
    <w:rsid w:val="002E55E5"/>
    <w:rsid w:val="002E5A34"/>
    <w:rsid w:val="003727F2"/>
    <w:rsid w:val="00384F55"/>
    <w:rsid w:val="003907DC"/>
    <w:rsid w:val="003C5E7A"/>
    <w:rsid w:val="003F79C4"/>
    <w:rsid w:val="004064B7"/>
    <w:rsid w:val="004174ED"/>
    <w:rsid w:val="004225CE"/>
    <w:rsid w:val="004344CD"/>
    <w:rsid w:val="0049536A"/>
    <w:rsid w:val="004D0E78"/>
    <w:rsid w:val="0052061A"/>
    <w:rsid w:val="005451E6"/>
    <w:rsid w:val="00570415"/>
    <w:rsid w:val="006322FC"/>
    <w:rsid w:val="00636602"/>
    <w:rsid w:val="006B1973"/>
    <w:rsid w:val="006D3F7A"/>
    <w:rsid w:val="006D5888"/>
    <w:rsid w:val="00714D4A"/>
    <w:rsid w:val="007E1B6E"/>
    <w:rsid w:val="00822B6F"/>
    <w:rsid w:val="00827AB6"/>
    <w:rsid w:val="008A6D2B"/>
    <w:rsid w:val="009A2397"/>
    <w:rsid w:val="00A24BBA"/>
    <w:rsid w:val="00A360A9"/>
    <w:rsid w:val="00B21D19"/>
    <w:rsid w:val="00BA37C8"/>
    <w:rsid w:val="00BE3AC1"/>
    <w:rsid w:val="00C05852"/>
    <w:rsid w:val="00C05D28"/>
    <w:rsid w:val="00C17934"/>
    <w:rsid w:val="00C3658F"/>
    <w:rsid w:val="00C80486"/>
    <w:rsid w:val="00D05A07"/>
    <w:rsid w:val="00EF1738"/>
    <w:rsid w:val="00F1308E"/>
    <w:rsid w:val="00F14083"/>
    <w:rsid w:val="00F33EAE"/>
    <w:rsid w:val="00F60407"/>
    <w:rsid w:val="00F60B68"/>
    <w:rsid w:val="00F92082"/>
    <w:rsid w:val="00FB2629"/>
    <w:rsid w:val="00FC7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36BCD1-5BEA-4691-BC90-61897C4C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character" w:styleId="CommentReference">
    <w:name w:val="annotation reference"/>
    <w:semiHidden/>
    <w:rsid w:val="004064B7"/>
    <w:rPr>
      <w:sz w:val="16"/>
      <w:szCs w:val="16"/>
    </w:rPr>
  </w:style>
  <w:style w:type="paragraph" w:styleId="CommentText">
    <w:name w:val="annotation text"/>
    <w:basedOn w:val="Normal"/>
    <w:semiHidden/>
    <w:rsid w:val="004064B7"/>
  </w:style>
  <w:style w:type="paragraph" w:styleId="CommentSubject">
    <w:name w:val="annotation subject"/>
    <w:basedOn w:val="CommentText"/>
    <w:next w:val="CommentText"/>
    <w:semiHidden/>
    <w:rsid w:val="004064B7"/>
    <w:rPr>
      <w:b/>
      <w:bCs/>
    </w:rPr>
  </w:style>
  <w:style w:type="paragraph" w:styleId="BalloonText">
    <w:name w:val="Balloon Text"/>
    <w:basedOn w:val="Normal"/>
    <w:semiHidden/>
    <w:rsid w:val="004064B7"/>
    <w:rPr>
      <w:rFonts w:ascii="Tahoma" w:hAnsi="Tahoma" w:cs="Tahoma"/>
      <w:sz w:val="16"/>
      <w:szCs w:val="16"/>
    </w:rPr>
  </w:style>
  <w:style w:type="character" w:customStyle="1" w:styleId="FooterChar">
    <w:name w:val="Footer Char"/>
    <w:link w:val="Footer"/>
    <w:rsid w:val="000614BE"/>
    <w:rPr>
      <w:lang w:val="en-US" w:eastAsia="en-US"/>
    </w:rPr>
  </w:style>
  <w:style w:type="character" w:customStyle="1" w:styleId="HeaderChar">
    <w:name w:val="Header Char"/>
    <w:link w:val="Header"/>
    <w:rsid w:val="00C05852"/>
    <w:rPr>
      <w:lang w:val="en-US" w:eastAsia="en-US"/>
    </w:rPr>
  </w:style>
  <w:style w:type="paragraph" w:styleId="ListParagraph">
    <w:name w:val="List Paragraph"/>
    <w:basedOn w:val="Normal"/>
    <w:uiPriority w:val="34"/>
    <w:qFormat/>
    <w:rsid w:val="00F604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1948</Words>
  <Characters>11109</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GM.009 Direct Antiglobulin Test - Anti-IgG Gel Card</vt:lpstr>
      <vt:lpstr>GM.009 Direct Antiglobulin Test - Anti-IgG Gel Card</vt:lpstr>
    </vt:vector>
  </TitlesOfParts>
  <Company>Microsoft</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GM.009 Direct Antiglobulin Test - Anti-IgG Gel Card</dc:title>
  <dc:subject/>
  <dc:creator>Transfusion Ontario Program Office</dc:creator>
  <cp:keywords/>
  <cp:lastModifiedBy>Nesrallah, Heather</cp:lastModifiedBy>
  <cp:revision>2</cp:revision>
  <cp:lastPrinted>2011-06-10T18:58:00Z</cp:lastPrinted>
  <dcterms:created xsi:type="dcterms:W3CDTF">2020-08-10T19:20:00Z</dcterms:created>
  <dcterms:modified xsi:type="dcterms:W3CDTF">2020-08-10T19:20:00Z</dcterms:modified>
</cp:coreProperties>
</file>