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36F" w:rsidRPr="003D7739" w:rsidRDefault="003D7739">
      <w:pPr>
        <w:numPr>
          <w:ilvl w:val="0"/>
          <w:numId w:val="1"/>
        </w:numPr>
        <w:rPr>
          <w:rFonts w:ascii="Arial" w:hAnsi="Arial"/>
          <w:b/>
          <w:sz w:val="28"/>
          <w:lang w:val="fr-CA"/>
        </w:rPr>
      </w:pPr>
      <w:bookmarkStart w:id="0" w:name="_GoBack"/>
      <w:bookmarkEnd w:id="0"/>
      <w:r>
        <w:rPr>
          <w:rFonts w:ascii="Arial" w:hAnsi="Arial"/>
          <w:b/>
          <w:sz w:val="28"/>
          <w:lang w:val="fr-CA"/>
        </w:rPr>
        <w:t>Principe</w:t>
      </w:r>
    </w:p>
    <w:p w:rsidR="00B4636F" w:rsidRPr="003D7739" w:rsidRDefault="00B4636F">
      <w:pPr>
        <w:ind w:left="720"/>
        <w:rPr>
          <w:rFonts w:ascii="Arial" w:hAnsi="Arial"/>
          <w:sz w:val="24"/>
          <w:lang w:val="fr-CA"/>
        </w:rPr>
      </w:pPr>
    </w:p>
    <w:p w:rsidR="00B4636F" w:rsidRPr="006638D0" w:rsidRDefault="003D7739">
      <w:pPr>
        <w:pStyle w:val="BodyTextIndent"/>
        <w:rPr>
          <w:spacing w:val="-2"/>
          <w:lang w:val="fr-CA"/>
        </w:rPr>
      </w:pPr>
      <w:r w:rsidRPr="006638D0">
        <w:rPr>
          <w:spacing w:val="-2"/>
          <w:lang w:val="fr-CA"/>
        </w:rPr>
        <w:t xml:space="preserve">L’épreuve de compatibilité croisée permet de dépister la présence anticorps irréguliers dans le </w:t>
      </w:r>
      <w:r w:rsidR="00397AE4">
        <w:rPr>
          <w:spacing w:val="-2"/>
          <w:lang w:val="fr-CA"/>
        </w:rPr>
        <w:t>plasma</w:t>
      </w:r>
      <w:r w:rsidRPr="006638D0">
        <w:rPr>
          <w:spacing w:val="-2"/>
          <w:lang w:val="fr-CA"/>
        </w:rPr>
        <w:t xml:space="preserve"> du receveur éventuel de sang en fonction des antigènes</w:t>
      </w:r>
      <w:r w:rsidR="00B4636F" w:rsidRPr="006638D0">
        <w:rPr>
          <w:spacing w:val="-2"/>
          <w:lang w:val="fr-CA"/>
        </w:rPr>
        <w:t xml:space="preserve"> pr</w:t>
      </w:r>
      <w:r w:rsidR="006638D0">
        <w:rPr>
          <w:spacing w:val="-2"/>
          <w:lang w:val="fr-CA"/>
        </w:rPr>
        <w:t>é</w:t>
      </w:r>
      <w:r w:rsidR="00B4636F" w:rsidRPr="006638D0">
        <w:rPr>
          <w:spacing w:val="-2"/>
          <w:lang w:val="fr-CA"/>
        </w:rPr>
        <w:t>sent</w:t>
      </w:r>
      <w:r w:rsidRPr="006638D0">
        <w:rPr>
          <w:spacing w:val="-2"/>
          <w:lang w:val="fr-CA"/>
        </w:rPr>
        <w:t xml:space="preserve">s </w:t>
      </w:r>
      <w:r w:rsidR="00397AE4">
        <w:rPr>
          <w:spacing w:val="-2"/>
          <w:lang w:val="fr-CA"/>
        </w:rPr>
        <w:t>sur</w:t>
      </w:r>
      <w:r w:rsidR="00397AE4" w:rsidRPr="006638D0">
        <w:rPr>
          <w:spacing w:val="-2"/>
          <w:lang w:val="fr-CA"/>
        </w:rPr>
        <w:t xml:space="preserve"> </w:t>
      </w:r>
      <w:r w:rsidRPr="006638D0">
        <w:rPr>
          <w:spacing w:val="-2"/>
          <w:lang w:val="fr-CA"/>
        </w:rPr>
        <w:t>les globules rouges du donneur</w:t>
      </w:r>
      <w:r w:rsidR="00B4636F" w:rsidRPr="006638D0">
        <w:rPr>
          <w:spacing w:val="-2"/>
          <w:lang w:val="fr-CA"/>
        </w:rPr>
        <w:t>.</w:t>
      </w:r>
      <w:r w:rsidR="003B473F">
        <w:rPr>
          <w:spacing w:val="-2"/>
          <w:lang w:val="fr-CA"/>
        </w:rPr>
        <w:t xml:space="preserve"> </w:t>
      </w:r>
      <w:r w:rsidRPr="006638D0">
        <w:rPr>
          <w:spacing w:val="-2"/>
          <w:lang w:val="fr-CA"/>
        </w:rPr>
        <w:t>Dans cette épreuve, les globules rouges de donneur en suspension dans une solution saline hypotonique sont combinés au plasma du patient pour susciter une interaction antigène-anticorps dans la partie supérieure du microtube</w:t>
      </w:r>
      <w:r w:rsidR="00B4636F" w:rsidRPr="006638D0">
        <w:rPr>
          <w:spacing w:val="-2"/>
          <w:lang w:val="fr-CA"/>
        </w:rPr>
        <w:t>.</w:t>
      </w:r>
      <w:r w:rsidR="003B473F">
        <w:rPr>
          <w:spacing w:val="-2"/>
          <w:lang w:val="fr-CA"/>
        </w:rPr>
        <w:t xml:space="preserve"> </w:t>
      </w:r>
      <w:r w:rsidRPr="006638D0">
        <w:rPr>
          <w:spacing w:val="-2"/>
          <w:lang w:val="fr-CA"/>
        </w:rPr>
        <w:t>Cette manipulation stimule la fixation des anticorps.</w:t>
      </w:r>
      <w:r w:rsidR="00A33D41">
        <w:rPr>
          <w:spacing w:val="-2"/>
          <w:lang w:val="fr-CA"/>
        </w:rPr>
        <w:t xml:space="preserve"> Les cartes sont ensuite incubées pour stimuler l’interaction antigène/anticorps; si </w:t>
      </w:r>
      <w:r w:rsidRPr="006638D0">
        <w:rPr>
          <w:spacing w:val="-2"/>
          <w:lang w:val="fr-CA"/>
        </w:rPr>
        <w:t xml:space="preserve">les globules rouges </w:t>
      </w:r>
      <w:r w:rsidR="00A33D41">
        <w:rPr>
          <w:spacing w:val="-2"/>
          <w:lang w:val="fr-CA"/>
        </w:rPr>
        <w:t xml:space="preserve">sont </w:t>
      </w:r>
      <w:r w:rsidRPr="006638D0">
        <w:rPr>
          <w:spacing w:val="-2"/>
          <w:lang w:val="fr-CA"/>
        </w:rPr>
        <w:t>sensibilisés</w:t>
      </w:r>
      <w:r w:rsidR="00A33D41">
        <w:rPr>
          <w:spacing w:val="-2"/>
          <w:lang w:val="fr-CA"/>
        </w:rPr>
        <w:t>,</w:t>
      </w:r>
      <w:r w:rsidRPr="006638D0">
        <w:rPr>
          <w:spacing w:val="-2"/>
          <w:lang w:val="fr-CA"/>
        </w:rPr>
        <w:t xml:space="preserve"> </w:t>
      </w:r>
      <w:r w:rsidR="00A33D41">
        <w:rPr>
          <w:spacing w:val="-2"/>
          <w:lang w:val="fr-CA"/>
        </w:rPr>
        <w:t xml:space="preserve">ils </w:t>
      </w:r>
      <w:r w:rsidRPr="006638D0">
        <w:rPr>
          <w:spacing w:val="-2"/>
          <w:lang w:val="fr-CA"/>
        </w:rPr>
        <w:t>réagi</w:t>
      </w:r>
      <w:r w:rsidR="00A33D41">
        <w:rPr>
          <w:spacing w:val="-2"/>
          <w:lang w:val="fr-CA"/>
        </w:rPr>
        <w:t>ront</w:t>
      </w:r>
      <w:r w:rsidRPr="006638D0">
        <w:rPr>
          <w:spacing w:val="-2"/>
          <w:lang w:val="fr-CA"/>
        </w:rPr>
        <w:t xml:space="preserve"> avec l’anti-IgG dans le microtube pendant la centrifugation</w:t>
      </w:r>
      <w:r w:rsidR="00B4636F" w:rsidRPr="006638D0">
        <w:rPr>
          <w:spacing w:val="-2"/>
          <w:lang w:val="fr-CA"/>
        </w:rPr>
        <w:t>.</w:t>
      </w:r>
      <w:r w:rsidR="00A33D41">
        <w:rPr>
          <w:spacing w:val="-2"/>
          <w:lang w:val="fr-CA"/>
        </w:rPr>
        <w:t xml:space="preserve"> </w:t>
      </w:r>
      <w:r w:rsidR="00A33D41" w:rsidRPr="002C6BC4">
        <w:rPr>
          <w:rFonts w:cs="Arial"/>
          <w:color w:val="000000"/>
          <w:lang w:val="fr-CA"/>
        </w:rPr>
        <w:t>L’agglutination indique la présence d’une réaction antigène-anticorps. L’absence d’agglutination indique l’absence de réaction antigène-anticorps</w:t>
      </w:r>
      <w:r w:rsidR="0018371B">
        <w:rPr>
          <w:rFonts w:cs="Arial"/>
          <w:color w:val="000000"/>
          <w:lang w:val="fr-CA"/>
        </w:rPr>
        <w:t>.</w:t>
      </w:r>
    </w:p>
    <w:p w:rsidR="00B4636F" w:rsidRPr="003D7739" w:rsidRDefault="00B4636F">
      <w:pPr>
        <w:ind w:left="720"/>
        <w:rPr>
          <w:rFonts w:ascii="Arial" w:hAnsi="Arial"/>
          <w:sz w:val="24"/>
          <w:lang w:val="fr-CA"/>
        </w:rPr>
      </w:pPr>
    </w:p>
    <w:p w:rsidR="00B4636F" w:rsidRPr="00E120C5" w:rsidRDefault="003D7739">
      <w:pPr>
        <w:numPr>
          <w:ilvl w:val="0"/>
          <w:numId w:val="1"/>
        </w:numPr>
        <w:rPr>
          <w:rFonts w:ascii="Arial" w:hAnsi="Arial"/>
          <w:b/>
          <w:sz w:val="28"/>
          <w:lang w:val="fr-CA"/>
        </w:rPr>
      </w:pPr>
      <w:r w:rsidRPr="00E120C5">
        <w:rPr>
          <w:rFonts w:ascii="Arial" w:hAnsi="Arial"/>
          <w:b/>
          <w:color w:val="000000"/>
          <w:sz w:val="28"/>
          <w:lang w:val="fr-CA"/>
        </w:rPr>
        <w:t>Portée et politiques connexes</w:t>
      </w:r>
    </w:p>
    <w:p w:rsidR="00B4636F" w:rsidRPr="00FB7CAC" w:rsidRDefault="00B4636F" w:rsidP="00FB7CAC">
      <w:pPr>
        <w:ind w:left="720"/>
        <w:rPr>
          <w:rFonts w:ascii="Arial" w:hAnsi="Arial"/>
          <w:sz w:val="24"/>
          <w:lang w:val="fr-CA"/>
        </w:rPr>
      </w:pPr>
    </w:p>
    <w:p w:rsidR="009614E1" w:rsidRPr="00FB7CAC" w:rsidRDefault="00E120C5" w:rsidP="00FB7CAC">
      <w:pPr>
        <w:numPr>
          <w:ilvl w:val="1"/>
          <w:numId w:val="1"/>
        </w:numPr>
        <w:rPr>
          <w:rFonts w:ascii="Arial" w:hAnsi="Arial"/>
          <w:sz w:val="24"/>
          <w:lang w:val="fr-CA"/>
        </w:rPr>
      </w:pPr>
      <w:r w:rsidRPr="00FB7CAC">
        <w:rPr>
          <w:rFonts w:ascii="Arial" w:hAnsi="Arial"/>
          <w:sz w:val="24"/>
          <w:lang w:val="fr-CA"/>
        </w:rPr>
        <w:t>Si le temps manque pour déterminer le groupe ABO et le facteur Rh du receveur</w:t>
      </w:r>
      <w:r w:rsidR="00A33D41" w:rsidRPr="00FB7CAC">
        <w:rPr>
          <w:rFonts w:ascii="Arial" w:hAnsi="Arial"/>
          <w:sz w:val="24"/>
          <w:lang w:val="fr-CA"/>
        </w:rPr>
        <w:t>, i</w:t>
      </w:r>
      <w:r w:rsidRPr="00FB7CAC">
        <w:rPr>
          <w:rFonts w:ascii="Arial" w:hAnsi="Arial"/>
          <w:sz w:val="24"/>
          <w:lang w:val="fr-CA"/>
        </w:rPr>
        <w:t>l faut émettre des culots de groupe O</w:t>
      </w:r>
      <w:r w:rsidR="00B4636F" w:rsidRPr="00FB7CAC">
        <w:rPr>
          <w:rFonts w:ascii="Arial" w:hAnsi="Arial"/>
          <w:sz w:val="24"/>
          <w:lang w:val="fr-CA"/>
        </w:rPr>
        <w:t>.</w:t>
      </w:r>
      <w:r w:rsidR="003B473F" w:rsidRPr="00FB7CAC">
        <w:rPr>
          <w:rFonts w:ascii="Arial" w:hAnsi="Arial"/>
          <w:sz w:val="24"/>
          <w:lang w:val="fr-CA"/>
        </w:rPr>
        <w:t xml:space="preserve"> </w:t>
      </w:r>
      <w:r w:rsidRPr="00FB7CAC">
        <w:rPr>
          <w:rFonts w:ascii="Arial" w:hAnsi="Arial"/>
          <w:sz w:val="24"/>
          <w:lang w:val="fr-CA"/>
        </w:rPr>
        <w:t xml:space="preserve">Dans ce cas, </w:t>
      </w:r>
      <w:r w:rsidR="00337113" w:rsidRPr="00FB7CAC">
        <w:rPr>
          <w:rFonts w:ascii="Arial" w:hAnsi="Arial"/>
          <w:sz w:val="24"/>
          <w:lang w:val="fr-CA"/>
        </w:rPr>
        <w:t>d</w:t>
      </w:r>
      <w:r w:rsidRPr="00FB7CAC">
        <w:rPr>
          <w:rFonts w:ascii="Arial" w:hAnsi="Arial"/>
          <w:sz w:val="24"/>
          <w:lang w:val="fr-CA"/>
        </w:rPr>
        <w:t>es globules rouges O négatif devraient être émis autant que possible</w:t>
      </w:r>
      <w:r w:rsidR="00A33D41" w:rsidRPr="00FB7CAC">
        <w:rPr>
          <w:rFonts w:ascii="Arial" w:hAnsi="Arial"/>
          <w:sz w:val="24"/>
          <w:lang w:val="fr-CA"/>
        </w:rPr>
        <w:t xml:space="preserve"> aux enfants et aux femmes en âge d’avoir des enfants</w:t>
      </w:r>
      <w:r w:rsidR="00E85F42" w:rsidRPr="00FB7CAC">
        <w:rPr>
          <w:rFonts w:ascii="Arial" w:hAnsi="Arial"/>
          <w:sz w:val="24"/>
          <w:vertAlign w:val="superscript"/>
          <w:lang w:val="fr-CA"/>
        </w:rPr>
        <w:t>9.1</w:t>
      </w:r>
      <w:r w:rsidR="009614E1" w:rsidRPr="00FB7CAC">
        <w:rPr>
          <w:rFonts w:ascii="Arial" w:hAnsi="Arial"/>
          <w:sz w:val="24"/>
          <w:lang w:val="fr-CA"/>
        </w:rPr>
        <w:t>.</w:t>
      </w:r>
    </w:p>
    <w:p w:rsidR="009614E1" w:rsidRPr="00FB7CAC" w:rsidRDefault="009614E1" w:rsidP="00FB7CAC">
      <w:pPr>
        <w:ind w:left="720"/>
        <w:rPr>
          <w:rFonts w:ascii="Arial" w:hAnsi="Arial"/>
          <w:sz w:val="24"/>
          <w:lang w:val="fr-CA"/>
        </w:rPr>
      </w:pPr>
    </w:p>
    <w:p w:rsidR="00B4636F" w:rsidRPr="00FB7CAC" w:rsidRDefault="009614E1" w:rsidP="00FB7CAC">
      <w:pPr>
        <w:numPr>
          <w:ilvl w:val="1"/>
          <w:numId w:val="1"/>
        </w:numPr>
        <w:rPr>
          <w:rFonts w:ascii="Arial" w:hAnsi="Arial"/>
          <w:sz w:val="24"/>
          <w:lang w:val="fr-CA"/>
        </w:rPr>
      </w:pPr>
      <w:r w:rsidRPr="00FB7CAC">
        <w:rPr>
          <w:rFonts w:ascii="Arial" w:hAnsi="Arial"/>
          <w:sz w:val="24"/>
          <w:lang w:val="fr-CA"/>
        </w:rPr>
        <w:t>S</w:t>
      </w:r>
      <w:r w:rsidR="003C0D64" w:rsidRPr="00FB7CAC">
        <w:rPr>
          <w:rFonts w:ascii="Arial" w:hAnsi="Arial"/>
          <w:sz w:val="24"/>
          <w:lang w:val="fr-CA"/>
        </w:rPr>
        <w:t>i les culots globulaires sont émis avant que les épreuves de compatibilité ne soient terminées, on doit inscrire sur le bordereau d</w:t>
      </w:r>
      <w:r w:rsidR="001F2B03">
        <w:rPr>
          <w:rFonts w:ascii="Arial" w:hAnsi="Arial"/>
          <w:sz w:val="24"/>
          <w:lang w:val="fr-CA"/>
        </w:rPr>
        <w:t>’</w:t>
      </w:r>
      <w:r w:rsidR="003C0D64" w:rsidRPr="00FB7CAC">
        <w:rPr>
          <w:rFonts w:ascii="Arial" w:hAnsi="Arial"/>
          <w:sz w:val="24"/>
          <w:lang w:val="fr-CA"/>
        </w:rPr>
        <w:t xml:space="preserve">émission </w:t>
      </w:r>
      <w:r w:rsidR="00E52132" w:rsidRPr="00FB7CAC">
        <w:rPr>
          <w:rFonts w:ascii="Arial" w:hAnsi="Arial"/>
          <w:sz w:val="24"/>
          <w:lang w:val="fr-CA"/>
        </w:rPr>
        <w:t>q</w:t>
      </w:r>
      <w:r w:rsidR="003C0D64" w:rsidRPr="00FB7CAC">
        <w:rPr>
          <w:rFonts w:ascii="Arial" w:hAnsi="Arial"/>
          <w:sz w:val="24"/>
          <w:lang w:val="fr-CA"/>
        </w:rPr>
        <w:t xml:space="preserve">ue les épreuves ne sont pas terminées. </w:t>
      </w:r>
      <w:r w:rsidR="00A33D41" w:rsidRPr="00FB7CAC">
        <w:rPr>
          <w:rFonts w:ascii="Arial" w:hAnsi="Arial"/>
          <w:sz w:val="24"/>
          <w:lang w:val="fr-CA"/>
        </w:rPr>
        <w:t xml:space="preserve">Cette donnée doit être notée au dossier du receveur. </w:t>
      </w:r>
      <w:r w:rsidR="003C0D64" w:rsidRPr="00FB7CAC">
        <w:rPr>
          <w:rFonts w:ascii="Arial" w:hAnsi="Arial"/>
          <w:sz w:val="24"/>
          <w:lang w:val="fr-CA"/>
        </w:rPr>
        <w:t xml:space="preserve">Si </w:t>
      </w:r>
      <w:r w:rsidR="00A33D41" w:rsidRPr="00FB7CAC">
        <w:rPr>
          <w:rFonts w:ascii="Arial" w:hAnsi="Arial"/>
          <w:sz w:val="24"/>
          <w:lang w:val="fr-CA"/>
        </w:rPr>
        <w:t>p</w:t>
      </w:r>
      <w:r w:rsidR="003C0D64" w:rsidRPr="00FB7CAC">
        <w:rPr>
          <w:rFonts w:ascii="Arial" w:hAnsi="Arial"/>
          <w:sz w:val="24"/>
          <w:lang w:val="fr-CA"/>
        </w:rPr>
        <w:t>ar la suite les culots globulaires émis s</w:t>
      </w:r>
      <w:r w:rsidR="00A33D41" w:rsidRPr="00FB7CAC">
        <w:rPr>
          <w:rFonts w:ascii="Arial" w:hAnsi="Arial"/>
          <w:sz w:val="24"/>
          <w:lang w:val="fr-CA"/>
        </w:rPr>
        <w:t xml:space="preserve">e révèlent </w:t>
      </w:r>
      <w:r w:rsidR="003C0D64" w:rsidRPr="00FB7CAC">
        <w:rPr>
          <w:rFonts w:ascii="Arial" w:hAnsi="Arial"/>
          <w:sz w:val="24"/>
          <w:lang w:val="fr-CA"/>
        </w:rPr>
        <w:t xml:space="preserve">incompatibles, </w:t>
      </w:r>
      <w:r w:rsidR="00A33D41" w:rsidRPr="00FB7CAC">
        <w:rPr>
          <w:rFonts w:ascii="Arial" w:hAnsi="Arial"/>
          <w:sz w:val="24"/>
          <w:lang w:val="fr-CA"/>
        </w:rPr>
        <w:t xml:space="preserve">il faut </w:t>
      </w:r>
      <w:r w:rsidR="003C0D64" w:rsidRPr="00FB7CAC">
        <w:rPr>
          <w:rFonts w:ascii="Arial" w:hAnsi="Arial"/>
          <w:sz w:val="24"/>
          <w:lang w:val="fr-CA"/>
        </w:rPr>
        <w:t xml:space="preserve">en informer le médecin traitant et le directeur médical du </w:t>
      </w:r>
      <w:r w:rsidR="00E52132" w:rsidRPr="00FB7CAC">
        <w:rPr>
          <w:rFonts w:ascii="Arial" w:hAnsi="Arial"/>
          <w:sz w:val="24"/>
          <w:lang w:val="fr-CA"/>
        </w:rPr>
        <w:t>Laboratoire de médecine transfusionnelle (LMT)</w:t>
      </w:r>
      <w:r w:rsidR="003C0D64" w:rsidRPr="00FB7CAC">
        <w:rPr>
          <w:rFonts w:ascii="Arial" w:hAnsi="Arial"/>
          <w:sz w:val="24"/>
          <w:lang w:val="fr-CA"/>
        </w:rPr>
        <w:t xml:space="preserve"> (ou leur représentant). On doit cesser immédiatement la transfusion des culots incompatibles et les mettre à l</w:t>
      </w:r>
      <w:r w:rsidR="001F2B03">
        <w:rPr>
          <w:rFonts w:ascii="Arial" w:hAnsi="Arial"/>
          <w:sz w:val="24"/>
          <w:lang w:val="fr-CA"/>
        </w:rPr>
        <w:t>’</w:t>
      </w:r>
      <w:r w:rsidR="003C0D64" w:rsidRPr="00FB7CAC">
        <w:rPr>
          <w:rFonts w:ascii="Arial" w:hAnsi="Arial"/>
          <w:sz w:val="24"/>
          <w:lang w:val="fr-CA"/>
        </w:rPr>
        <w:t>écart en attendant la décision des médecins</w:t>
      </w:r>
      <w:r w:rsidR="00B4636F" w:rsidRPr="00FB7CAC">
        <w:rPr>
          <w:rFonts w:ascii="Arial" w:hAnsi="Arial"/>
          <w:sz w:val="24"/>
          <w:lang w:val="fr-CA"/>
        </w:rPr>
        <w:t>9.1</w:t>
      </w:r>
      <w:r w:rsidR="003C0D64" w:rsidRPr="00FB7CAC">
        <w:rPr>
          <w:rFonts w:ascii="Arial" w:hAnsi="Arial"/>
          <w:sz w:val="24"/>
          <w:lang w:val="fr-CA"/>
        </w:rPr>
        <w:t>.</w:t>
      </w:r>
    </w:p>
    <w:p w:rsidR="00B4636F" w:rsidRPr="00FB7CAC" w:rsidRDefault="00B4636F" w:rsidP="00FB7CAC">
      <w:pPr>
        <w:ind w:left="720"/>
        <w:rPr>
          <w:rFonts w:ascii="Arial" w:hAnsi="Arial"/>
          <w:sz w:val="24"/>
          <w:lang w:val="fr-CA"/>
        </w:rPr>
      </w:pPr>
    </w:p>
    <w:p w:rsidR="00B4636F" w:rsidRPr="00285159" w:rsidRDefault="00FB7CAC" w:rsidP="00FB7CAC">
      <w:pPr>
        <w:ind w:left="1418" w:hanging="709"/>
        <w:rPr>
          <w:rFonts w:ascii="Arial" w:hAnsi="Arial"/>
          <w:sz w:val="24"/>
          <w:lang w:val="fr-CA"/>
        </w:rPr>
      </w:pPr>
      <w:r>
        <w:rPr>
          <w:rFonts w:ascii="Arial" w:hAnsi="Arial"/>
          <w:sz w:val="24"/>
          <w:lang w:val="fr-CA"/>
        </w:rPr>
        <w:lastRenderedPageBreak/>
        <w:t>2.3</w:t>
      </w:r>
      <w:r>
        <w:rPr>
          <w:rFonts w:ascii="Arial" w:hAnsi="Arial"/>
          <w:sz w:val="24"/>
          <w:lang w:val="fr-CA"/>
        </w:rPr>
        <w:tab/>
      </w:r>
      <w:r w:rsidR="003C0D64" w:rsidRPr="00FB7CAC">
        <w:rPr>
          <w:rFonts w:ascii="Arial" w:hAnsi="Arial"/>
          <w:sz w:val="24"/>
          <w:lang w:val="fr-CA"/>
        </w:rPr>
        <w:t>Avant tout</w:t>
      </w:r>
      <w:r w:rsidR="00337113" w:rsidRPr="00FB7CAC">
        <w:rPr>
          <w:rFonts w:ascii="Arial" w:hAnsi="Arial"/>
          <w:sz w:val="24"/>
          <w:lang w:val="fr-CA"/>
        </w:rPr>
        <w:t>e</w:t>
      </w:r>
      <w:r w:rsidR="003C0D64" w:rsidRPr="00FB7CAC">
        <w:rPr>
          <w:rFonts w:ascii="Arial" w:hAnsi="Arial"/>
          <w:sz w:val="24"/>
          <w:lang w:val="fr-CA"/>
        </w:rPr>
        <w:t xml:space="preserve"> administration, la compatibilité d’un échantillon du plasma du receveur</w:t>
      </w:r>
      <w:r w:rsidR="003C0D64" w:rsidRPr="00E85F42">
        <w:rPr>
          <w:rFonts w:ascii="Arial" w:hAnsi="Arial"/>
          <w:sz w:val="24"/>
          <w:szCs w:val="24"/>
          <w:lang w:val="fr-CA"/>
        </w:rPr>
        <w:t xml:space="preserve"> sera vérifiée contre un échantillon des cellules de donneur provenant </w:t>
      </w:r>
      <w:r w:rsidR="00397AE4" w:rsidRPr="00E85F42">
        <w:rPr>
          <w:rFonts w:ascii="Arial" w:hAnsi="Arial"/>
          <w:sz w:val="24"/>
          <w:szCs w:val="24"/>
          <w:lang w:val="fr-CA"/>
        </w:rPr>
        <w:t xml:space="preserve">d’un </w:t>
      </w:r>
      <w:r w:rsidR="003C0D64" w:rsidRPr="00E85F42">
        <w:rPr>
          <w:rFonts w:ascii="Arial" w:hAnsi="Arial"/>
          <w:sz w:val="24"/>
          <w:szCs w:val="24"/>
          <w:lang w:val="fr-CA"/>
        </w:rPr>
        <w:t>segment attaché à l’origine au sac de sang total ou de culot globulaire</w:t>
      </w:r>
      <w:r w:rsidR="00B4636F" w:rsidRPr="00E85F42">
        <w:rPr>
          <w:rFonts w:ascii="Arial" w:hAnsi="Arial"/>
          <w:sz w:val="24"/>
          <w:szCs w:val="24"/>
          <w:lang w:val="fr-CA"/>
        </w:rPr>
        <w:t xml:space="preserve">. </w:t>
      </w:r>
      <w:r w:rsidR="006638D0" w:rsidRPr="00E85F42">
        <w:rPr>
          <w:rFonts w:ascii="Arial" w:hAnsi="Arial"/>
          <w:sz w:val="24"/>
          <w:szCs w:val="24"/>
          <w:lang w:val="fr-CA"/>
        </w:rPr>
        <w:t>L</w:t>
      </w:r>
      <w:r w:rsidR="001F2B03">
        <w:rPr>
          <w:rFonts w:ascii="Arial" w:hAnsi="Arial"/>
          <w:sz w:val="24"/>
          <w:szCs w:val="24"/>
          <w:lang w:val="fr-CA"/>
        </w:rPr>
        <w:t>’</w:t>
      </w:r>
      <w:r w:rsidR="006638D0" w:rsidRPr="00E85F42">
        <w:rPr>
          <w:rFonts w:ascii="Arial" w:hAnsi="Arial"/>
          <w:sz w:val="24"/>
          <w:szCs w:val="24"/>
          <w:lang w:val="fr-CA"/>
        </w:rPr>
        <w:t xml:space="preserve">épreuve de compatibilité se fera </w:t>
      </w:r>
      <w:r w:rsidR="006638D0" w:rsidRPr="00285159">
        <w:rPr>
          <w:rFonts w:ascii="Arial" w:hAnsi="Arial"/>
          <w:sz w:val="24"/>
          <w:lang w:val="fr-CA"/>
        </w:rPr>
        <w:t>à l</w:t>
      </w:r>
      <w:r w:rsidR="001F2B03">
        <w:rPr>
          <w:rFonts w:ascii="Arial" w:hAnsi="Arial"/>
          <w:sz w:val="24"/>
          <w:lang w:val="fr-CA"/>
        </w:rPr>
        <w:t>’</w:t>
      </w:r>
      <w:r w:rsidR="006638D0" w:rsidRPr="00285159">
        <w:rPr>
          <w:rFonts w:ascii="Arial" w:hAnsi="Arial"/>
          <w:sz w:val="24"/>
          <w:lang w:val="fr-CA"/>
        </w:rPr>
        <w:t>aide de méthodes qui démontrent l</w:t>
      </w:r>
      <w:r w:rsidR="001F2B03">
        <w:rPr>
          <w:rFonts w:ascii="Arial" w:hAnsi="Arial"/>
          <w:sz w:val="24"/>
          <w:lang w:val="fr-CA"/>
        </w:rPr>
        <w:t>’</w:t>
      </w:r>
      <w:r w:rsidR="006638D0" w:rsidRPr="00285159">
        <w:rPr>
          <w:rFonts w:ascii="Arial" w:hAnsi="Arial"/>
          <w:sz w:val="24"/>
          <w:lang w:val="fr-CA"/>
        </w:rPr>
        <w:t xml:space="preserve">incompatibilité </w:t>
      </w:r>
      <w:r w:rsidR="0032375F" w:rsidRPr="00285159">
        <w:rPr>
          <w:rFonts w:ascii="Arial" w:hAnsi="Arial"/>
          <w:sz w:val="24"/>
          <w:lang w:val="fr-CA"/>
        </w:rPr>
        <w:t>ABO</w:t>
      </w:r>
      <w:r w:rsidR="006638D0" w:rsidRPr="00285159">
        <w:rPr>
          <w:rFonts w:ascii="Arial" w:hAnsi="Arial"/>
          <w:sz w:val="24"/>
          <w:lang w:val="fr-CA"/>
        </w:rPr>
        <w:t xml:space="preserve"> et la présence d</w:t>
      </w:r>
      <w:r w:rsidR="001F2B03">
        <w:rPr>
          <w:rFonts w:ascii="Arial" w:hAnsi="Arial"/>
          <w:sz w:val="24"/>
          <w:lang w:val="fr-CA"/>
        </w:rPr>
        <w:t>’</w:t>
      </w:r>
      <w:r w:rsidR="006638D0" w:rsidRPr="00285159">
        <w:rPr>
          <w:rFonts w:ascii="Arial" w:hAnsi="Arial"/>
          <w:sz w:val="24"/>
          <w:lang w:val="fr-CA"/>
        </w:rPr>
        <w:t>anticorps cliniquement significatifs; elle doit comprendre une épreuve à l</w:t>
      </w:r>
      <w:r w:rsidR="001F2B03">
        <w:rPr>
          <w:rFonts w:ascii="Arial" w:hAnsi="Arial"/>
          <w:sz w:val="24"/>
          <w:lang w:val="fr-CA"/>
        </w:rPr>
        <w:t>’</w:t>
      </w:r>
      <w:r w:rsidR="006638D0" w:rsidRPr="00285159">
        <w:rPr>
          <w:rFonts w:ascii="Arial" w:hAnsi="Arial"/>
          <w:sz w:val="24"/>
          <w:lang w:val="fr-CA"/>
        </w:rPr>
        <w:t>antiglobuline pour le dépistage d</w:t>
      </w:r>
      <w:r w:rsidR="001F2B03">
        <w:rPr>
          <w:rFonts w:ascii="Arial" w:hAnsi="Arial"/>
          <w:sz w:val="24"/>
          <w:lang w:val="fr-CA"/>
        </w:rPr>
        <w:t>’</w:t>
      </w:r>
      <w:r w:rsidR="006638D0" w:rsidRPr="00285159">
        <w:rPr>
          <w:rFonts w:ascii="Arial" w:hAnsi="Arial"/>
          <w:sz w:val="24"/>
          <w:lang w:val="fr-CA"/>
        </w:rPr>
        <w:t>anticorps</w:t>
      </w:r>
      <w:r w:rsidR="006638D0" w:rsidRPr="00285159">
        <w:rPr>
          <w:rFonts w:ascii="Arial" w:hAnsi="Arial"/>
          <w:sz w:val="24"/>
          <w:vertAlign w:val="superscript"/>
          <w:lang w:val="fr-CA"/>
        </w:rPr>
        <w:t>9.</w:t>
      </w:r>
      <w:r w:rsidR="00A33D41">
        <w:rPr>
          <w:rFonts w:ascii="Arial" w:hAnsi="Arial"/>
          <w:sz w:val="24"/>
          <w:vertAlign w:val="superscript"/>
          <w:lang w:val="fr-CA"/>
        </w:rPr>
        <w:t>1</w:t>
      </w:r>
      <w:r w:rsidR="00B4636F" w:rsidRPr="00285159">
        <w:rPr>
          <w:rFonts w:ascii="Arial" w:hAnsi="Arial"/>
          <w:sz w:val="24"/>
          <w:vertAlign w:val="superscript"/>
          <w:lang w:val="fr-CA"/>
        </w:rPr>
        <w:t xml:space="preserve"> </w:t>
      </w:r>
    </w:p>
    <w:p w:rsidR="00B4636F" w:rsidRPr="003D7739" w:rsidRDefault="00B4636F">
      <w:pPr>
        <w:rPr>
          <w:rFonts w:ascii="Arial" w:hAnsi="Arial"/>
          <w:sz w:val="24"/>
          <w:lang w:val="fr-CA"/>
        </w:rPr>
      </w:pPr>
    </w:p>
    <w:p w:rsidR="00B4636F" w:rsidRPr="003D7739" w:rsidRDefault="003C0D64">
      <w:pPr>
        <w:numPr>
          <w:ilvl w:val="2"/>
          <w:numId w:val="5"/>
        </w:numPr>
        <w:rPr>
          <w:rFonts w:ascii="Arial" w:hAnsi="Arial"/>
          <w:sz w:val="24"/>
          <w:lang w:val="fr-CA"/>
        </w:rPr>
      </w:pPr>
      <w:r>
        <w:rPr>
          <w:rFonts w:ascii="Arial" w:hAnsi="Arial"/>
          <w:sz w:val="24"/>
          <w:lang w:val="fr-CA"/>
        </w:rPr>
        <w:t>S</w:t>
      </w:r>
      <w:r w:rsidR="001F2B03">
        <w:rPr>
          <w:rFonts w:ascii="Arial" w:hAnsi="Arial"/>
          <w:sz w:val="24"/>
          <w:lang w:val="fr-CA"/>
        </w:rPr>
        <w:t>’</w:t>
      </w:r>
      <w:r w:rsidRPr="003C0D64">
        <w:rPr>
          <w:rFonts w:ascii="Arial" w:hAnsi="Arial"/>
          <w:sz w:val="24"/>
          <w:lang w:val="fr-CA"/>
        </w:rPr>
        <w:t>il s</w:t>
      </w:r>
      <w:r w:rsidR="001F2B03">
        <w:rPr>
          <w:rFonts w:ascii="Arial" w:hAnsi="Arial"/>
          <w:sz w:val="24"/>
          <w:lang w:val="fr-CA"/>
        </w:rPr>
        <w:t>’</w:t>
      </w:r>
      <w:r w:rsidRPr="003C0D64">
        <w:rPr>
          <w:rFonts w:ascii="Arial" w:hAnsi="Arial"/>
          <w:sz w:val="24"/>
          <w:lang w:val="fr-CA"/>
        </w:rPr>
        <w:t>agit d</w:t>
      </w:r>
      <w:r w:rsidR="001F2B03">
        <w:rPr>
          <w:rFonts w:ascii="Arial" w:hAnsi="Arial"/>
          <w:sz w:val="24"/>
          <w:lang w:val="fr-CA"/>
        </w:rPr>
        <w:t>’</w:t>
      </w:r>
      <w:r w:rsidRPr="003C0D64">
        <w:rPr>
          <w:rFonts w:ascii="Arial" w:hAnsi="Arial"/>
          <w:sz w:val="24"/>
          <w:lang w:val="fr-CA"/>
        </w:rPr>
        <w:t>un patient qui a reçu une transfusion ou d</w:t>
      </w:r>
      <w:r w:rsidR="001F2B03">
        <w:rPr>
          <w:rFonts w:ascii="Arial" w:hAnsi="Arial"/>
          <w:sz w:val="24"/>
          <w:lang w:val="fr-CA"/>
        </w:rPr>
        <w:t>’</w:t>
      </w:r>
      <w:r w:rsidRPr="003C0D64">
        <w:rPr>
          <w:rFonts w:ascii="Arial" w:hAnsi="Arial"/>
          <w:sz w:val="24"/>
          <w:lang w:val="fr-CA"/>
        </w:rPr>
        <w:t xml:space="preserve">une patiente qui a été enceinte au cours des trois derniers mois, ou si les antécédents de transfusion ou de grossesse ne sont pas clairs, les échantillons soumis à des épreuves de compatibilité auront été prélevés dans les </w:t>
      </w:r>
      <w:r w:rsidR="00A33D41">
        <w:rPr>
          <w:rFonts w:ascii="Arial" w:hAnsi="Arial"/>
          <w:sz w:val="24"/>
          <w:lang w:val="fr-CA"/>
        </w:rPr>
        <w:t>96</w:t>
      </w:r>
      <w:r w:rsidR="002832DD">
        <w:rPr>
          <w:rFonts w:ascii="Arial" w:hAnsi="Arial"/>
          <w:sz w:val="24"/>
          <w:lang w:val="fr-CA"/>
        </w:rPr>
        <w:t xml:space="preserve"> heures</w:t>
      </w:r>
      <w:r w:rsidRPr="003C0D64">
        <w:rPr>
          <w:rFonts w:ascii="Arial" w:hAnsi="Arial"/>
          <w:sz w:val="24"/>
          <w:lang w:val="fr-CA"/>
        </w:rPr>
        <w:t xml:space="preserve"> qui précèdent</w:t>
      </w:r>
      <w:r w:rsidR="00B4636F" w:rsidRPr="003D7739">
        <w:rPr>
          <w:rFonts w:ascii="Arial" w:hAnsi="Arial"/>
          <w:sz w:val="24"/>
          <w:vertAlign w:val="superscript"/>
          <w:lang w:val="fr-CA"/>
        </w:rPr>
        <w:t>9.1</w:t>
      </w:r>
      <w:r w:rsidR="00E120C5">
        <w:rPr>
          <w:rFonts w:ascii="Arial" w:hAnsi="Arial"/>
          <w:sz w:val="24"/>
          <w:lang w:val="fr-CA"/>
        </w:rPr>
        <w:t>.</w:t>
      </w:r>
    </w:p>
    <w:p w:rsidR="00B4636F" w:rsidRPr="00E120C5" w:rsidRDefault="00E120C5">
      <w:pPr>
        <w:numPr>
          <w:ilvl w:val="2"/>
          <w:numId w:val="6"/>
        </w:numPr>
        <w:rPr>
          <w:rFonts w:ascii="Arial" w:hAnsi="Arial"/>
          <w:sz w:val="24"/>
          <w:lang w:val="fr-CA"/>
        </w:rPr>
      </w:pPr>
      <w:r w:rsidRPr="00E120C5">
        <w:rPr>
          <w:rFonts w:ascii="Arial" w:hAnsi="Arial"/>
          <w:sz w:val="24"/>
          <w:lang w:val="fr-CA"/>
        </w:rPr>
        <w:t>S’il s’agit d’un patient qui n’a pas subi de transfusion ou d’une patiente qui n’a pas été enceinte au cours des 3 derniers mois</w:t>
      </w:r>
      <w:r>
        <w:rPr>
          <w:rFonts w:ascii="Arial" w:hAnsi="Arial"/>
          <w:sz w:val="24"/>
          <w:lang w:val="fr-CA"/>
        </w:rPr>
        <w:t xml:space="preserve">, </w:t>
      </w:r>
      <w:r w:rsidRPr="00E120C5">
        <w:rPr>
          <w:rFonts w:ascii="Arial" w:hAnsi="Arial"/>
          <w:sz w:val="24"/>
          <w:lang w:val="fr-CA"/>
        </w:rPr>
        <w:t>le plasma soumis aux épreuves de compatibilité peut être entreposé et servir en tout temps à des fins d’analyse au cours de son hospitalisation</w:t>
      </w:r>
      <w:r w:rsidR="001F2B03">
        <w:rPr>
          <w:rFonts w:ascii="Arial" w:hAnsi="Arial"/>
          <w:sz w:val="24"/>
          <w:lang w:val="fr-CA"/>
        </w:rPr>
        <w:t> </w:t>
      </w:r>
      <w:r w:rsidRPr="00E120C5">
        <w:rPr>
          <w:rFonts w:ascii="Arial" w:hAnsi="Arial"/>
          <w:sz w:val="24"/>
          <w:lang w:val="fr-CA"/>
        </w:rPr>
        <w:t>courante</w:t>
      </w:r>
      <w:r w:rsidR="00B4636F" w:rsidRPr="003D7739">
        <w:rPr>
          <w:rFonts w:ascii="Arial" w:hAnsi="Arial"/>
          <w:sz w:val="24"/>
          <w:vertAlign w:val="superscript"/>
          <w:lang w:val="fr-CA"/>
        </w:rPr>
        <w:t>9.1</w:t>
      </w:r>
      <w:r>
        <w:rPr>
          <w:rFonts w:ascii="Arial" w:hAnsi="Arial"/>
          <w:sz w:val="24"/>
          <w:lang w:val="fr-CA"/>
        </w:rPr>
        <w:t>.</w:t>
      </w:r>
      <w:r w:rsidR="00B4636F" w:rsidRPr="003D7739">
        <w:rPr>
          <w:rFonts w:ascii="Arial" w:hAnsi="Arial"/>
          <w:sz w:val="24"/>
          <w:lang w:val="fr-CA"/>
        </w:rPr>
        <w:t xml:space="preserve"> </w:t>
      </w:r>
      <w:r>
        <w:rPr>
          <w:rFonts w:ascii="Arial" w:hAnsi="Arial"/>
          <w:sz w:val="24"/>
          <w:lang w:val="fr-CA"/>
        </w:rPr>
        <w:t>L</w:t>
      </w:r>
      <w:r w:rsidRPr="00E120C5">
        <w:rPr>
          <w:rFonts w:ascii="Arial" w:hAnsi="Arial"/>
          <w:sz w:val="24"/>
          <w:lang w:val="fr-CA"/>
        </w:rPr>
        <w:t>a période d’hospitalisation courante va de l’admission au congé, mais comprend aussi jusqu’à un mois entre le moment des analyses de préadmission et l’admission</w:t>
      </w:r>
      <w:r w:rsidR="001F2B03">
        <w:rPr>
          <w:rFonts w:ascii="Arial" w:hAnsi="Arial"/>
          <w:sz w:val="24"/>
          <w:lang w:val="fr-CA"/>
        </w:rPr>
        <w:t> </w:t>
      </w:r>
      <w:r w:rsidRPr="00E120C5">
        <w:rPr>
          <w:rFonts w:ascii="Arial" w:hAnsi="Arial"/>
          <w:sz w:val="24"/>
          <w:lang w:val="fr-CA"/>
        </w:rPr>
        <w:t>courante</w:t>
      </w:r>
      <w:r w:rsidR="00B4636F" w:rsidRPr="00E120C5">
        <w:rPr>
          <w:rFonts w:ascii="Arial" w:hAnsi="Arial"/>
          <w:sz w:val="24"/>
          <w:vertAlign w:val="superscript"/>
          <w:lang w:val="fr-CA"/>
        </w:rPr>
        <w:t>9.1</w:t>
      </w:r>
      <w:r w:rsidRPr="00E120C5">
        <w:rPr>
          <w:rFonts w:ascii="Arial" w:hAnsi="Arial"/>
          <w:sz w:val="24"/>
          <w:lang w:val="fr-CA"/>
        </w:rPr>
        <w:t>.</w:t>
      </w:r>
    </w:p>
    <w:p w:rsidR="00B4636F" w:rsidRPr="00E120C5" w:rsidRDefault="006638D0">
      <w:pPr>
        <w:numPr>
          <w:ilvl w:val="2"/>
          <w:numId w:val="6"/>
        </w:numPr>
        <w:rPr>
          <w:rFonts w:ascii="Arial" w:hAnsi="Arial"/>
          <w:sz w:val="24"/>
          <w:lang w:val="fr-CA"/>
        </w:rPr>
      </w:pPr>
      <w:r w:rsidRPr="00E120C5">
        <w:rPr>
          <w:rFonts w:ascii="Arial" w:hAnsi="Arial"/>
          <w:sz w:val="24"/>
          <w:lang w:val="fr-CA"/>
        </w:rPr>
        <w:t>Il est inutile de reprendre le dépistage d</w:t>
      </w:r>
      <w:r w:rsidR="001F2B03">
        <w:rPr>
          <w:rFonts w:ascii="Arial" w:hAnsi="Arial"/>
          <w:sz w:val="24"/>
          <w:lang w:val="fr-CA"/>
        </w:rPr>
        <w:t>’</w:t>
      </w:r>
      <w:r w:rsidRPr="00E120C5">
        <w:rPr>
          <w:rFonts w:ascii="Arial" w:hAnsi="Arial"/>
          <w:sz w:val="24"/>
          <w:lang w:val="fr-CA"/>
        </w:rPr>
        <w:t>anticorps, si l</w:t>
      </w:r>
      <w:r w:rsidR="001F2B03">
        <w:rPr>
          <w:rFonts w:ascii="Arial" w:hAnsi="Arial"/>
          <w:sz w:val="24"/>
          <w:lang w:val="fr-CA"/>
        </w:rPr>
        <w:t>’</w:t>
      </w:r>
      <w:r w:rsidRPr="00E120C5">
        <w:rPr>
          <w:rFonts w:ascii="Arial" w:hAnsi="Arial"/>
          <w:sz w:val="24"/>
          <w:lang w:val="fr-CA"/>
        </w:rPr>
        <w:t>échantillon utilisé pour l</w:t>
      </w:r>
      <w:r w:rsidR="001F2B03">
        <w:rPr>
          <w:rFonts w:ascii="Arial" w:hAnsi="Arial"/>
          <w:sz w:val="24"/>
          <w:lang w:val="fr-CA"/>
        </w:rPr>
        <w:t>’</w:t>
      </w:r>
      <w:r w:rsidRPr="00E120C5">
        <w:rPr>
          <w:rFonts w:ascii="Arial" w:hAnsi="Arial"/>
          <w:sz w:val="24"/>
          <w:lang w:val="fr-CA"/>
        </w:rPr>
        <w:t>épreuve de compatibilité croisée a déjà fait l</w:t>
      </w:r>
      <w:r w:rsidR="001F2B03">
        <w:rPr>
          <w:rFonts w:ascii="Arial" w:hAnsi="Arial"/>
          <w:sz w:val="24"/>
          <w:lang w:val="fr-CA"/>
        </w:rPr>
        <w:t>’</w:t>
      </w:r>
      <w:r w:rsidRPr="00E120C5">
        <w:rPr>
          <w:rFonts w:ascii="Arial" w:hAnsi="Arial"/>
          <w:sz w:val="24"/>
          <w:lang w:val="fr-CA"/>
        </w:rPr>
        <w:t>objet d</w:t>
      </w:r>
      <w:r w:rsidR="001F2B03">
        <w:rPr>
          <w:rFonts w:ascii="Arial" w:hAnsi="Arial"/>
          <w:sz w:val="24"/>
          <w:lang w:val="fr-CA"/>
        </w:rPr>
        <w:t>’</w:t>
      </w:r>
      <w:r w:rsidRPr="00E120C5">
        <w:rPr>
          <w:rFonts w:ascii="Arial" w:hAnsi="Arial"/>
          <w:sz w:val="24"/>
          <w:lang w:val="fr-CA"/>
        </w:rPr>
        <w:t>un tel dépistage.</w:t>
      </w:r>
    </w:p>
    <w:p w:rsidR="00B4636F" w:rsidRPr="00E120C5" w:rsidRDefault="00B4636F">
      <w:pPr>
        <w:rPr>
          <w:rFonts w:ascii="Arial" w:hAnsi="Arial"/>
          <w:sz w:val="24"/>
          <w:lang w:val="fr-CA"/>
        </w:rPr>
      </w:pPr>
    </w:p>
    <w:p w:rsidR="00B4636F" w:rsidRPr="00E120C5" w:rsidRDefault="006638D0">
      <w:pPr>
        <w:ind w:left="1440" w:hanging="720"/>
        <w:rPr>
          <w:rFonts w:ascii="Arial" w:hAnsi="Arial"/>
          <w:sz w:val="24"/>
          <w:vertAlign w:val="superscript"/>
          <w:lang w:val="fr-CA"/>
        </w:rPr>
      </w:pPr>
      <w:r w:rsidRPr="00956652">
        <w:rPr>
          <w:rFonts w:ascii="Arial" w:hAnsi="Arial"/>
          <w:sz w:val="24"/>
          <w:lang w:val="fr-CA"/>
        </w:rPr>
        <w:t xml:space="preserve">2.4 </w:t>
      </w:r>
      <w:r w:rsidR="00E120C5" w:rsidRPr="00956652">
        <w:rPr>
          <w:rFonts w:ascii="Arial" w:hAnsi="Arial"/>
          <w:sz w:val="24"/>
          <w:lang w:val="fr-CA"/>
        </w:rPr>
        <w:tab/>
      </w:r>
      <w:r w:rsidR="00E120C5" w:rsidRPr="001F2B03">
        <w:rPr>
          <w:rFonts w:ascii="Arial" w:hAnsi="Arial"/>
          <w:sz w:val="24"/>
          <w:lang w:val="fr-CA"/>
        </w:rPr>
        <w:t>L</w:t>
      </w:r>
      <w:r w:rsidRPr="001F2B03">
        <w:rPr>
          <w:rFonts w:ascii="Arial" w:hAnsi="Arial"/>
          <w:sz w:val="24"/>
          <w:lang w:val="fr-CA"/>
        </w:rPr>
        <w:t>es épreuves de compatibilité doivent être effectuées avant chaque transfusion de globules rouges, sauf si la vie du patient est en danger</w:t>
      </w:r>
      <w:r w:rsidRPr="001F2B03">
        <w:rPr>
          <w:rFonts w:ascii="Arial" w:hAnsi="Arial"/>
          <w:sz w:val="24"/>
          <w:vertAlign w:val="superscript"/>
          <w:lang w:val="fr-CA"/>
        </w:rPr>
        <w:t>9.</w:t>
      </w:r>
      <w:r w:rsidR="00FB7CAC" w:rsidRPr="001F2B03">
        <w:rPr>
          <w:rFonts w:ascii="Arial" w:hAnsi="Arial"/>
          <w:sz w:val="24"/>
          <w:vertAlign w:val="superscript"/>
          <w:lang w:val="fr-CA"/>
        </w:rPr>
        <w:t>2</w:t>
      </w:r>
      <w:r w:rsidRPr="001F2B03">
        <w:rPr>
          <w:rFonts w:ascii="Arial" w:hAnsi="Arial"/>
          <w:b/>
          <w:sz w:val="24"/>
          <w:vertAlign w:val="subscript"/>
          <w:lang w:val="fr-CA"/>
        </w:rPr>
        <w:t>.</w:t>
      </w:r>
    </w:p>
    <w:p w:rsidR="00B4636F" w:rsidRPr="003D7739" w:rsidRDefault="00B4636F">
      <w:pPr>
        <w:ind w:left="1440" w:hanging="720"/>
        <w:rPr>
          <w:rFonts w:ascii="Arial" w:hAnsi="Arial"/>
          <w:sz w:val="24"/>
          <w:vertAlign w:val="superscript"/>
          <w:lang w:val="fr-CA"/>
        </w:rPr>
      </w:pPr>
    </w:p>
    <w:p w:rsidR="00B4636F" w:rsidRPr="003D7739" w:rsidRDefault="00B4636F">
      <w:pPr>
        <w:ind w:left="1440" w:hanging="720"/>
        <w:rPr>
          <w:rFonts w:ascii="Arial" w:hAnsi="Arial"/>
          <w:sz w:val="24"/>
          <w:lang w:val="fr-CA"/>
        </w:rPr>
      </w:pPr>
      <w:r w:rsidRPr="003D7739">
        <w:rPr>
          <w:rFonts w:ascii="Arial" w:hAnsi="Arial"/>
          <w:sz w:val="24"/>
          <w:lang w:val="fr-CA"/>
        </w:rPr>
        <w:t>2.5</w:t>
      </w:r>
      <w:r w:rsidRPr="003D7739">
        <w:rPr>
          <w:rFonts w:ascii="Arial" w:hAnsi="Arial"/>
          <w:sz w:val="24"/>
          <w:lang w:val="fr-CA"/>
        </w:rPr>
        <w:tab/>
      </w:r>
      <w:r w:rsidR="00E120C5" w:rsidRPr="00E120C5">
        <w:rPr>
          <w:rFonts w:ascii="Arial" w:hAnsi="Arial"/>
          <w:sz w:val="24"/>
          <w:lang w:val="fr-CA"/>
        </w:rPr>
        <w:t>Il est inutile de confirmer le groupe ABO des globules rouges prélevés et préparés par le fournisseur de sang si une épreuve de compatibilité sérologique est faite</w:t>
      </w:r>
      <w:r w:rsidR="00285159" w:rsidRPr="00285159">
        <w:rPr>
          <w:rFonts w:ascii="Arial" w:hAnsi="Arial"/>
          <w:sz w:val="24"/>
          <w:vertAlign w:val="superscript"/>
          <w:lang w:val="fr-CA"/>
        </w:rPr>
        <w:t>9.1</w:t>
      </w:r>
      <w:r w:rsidR="00E120C5" w:rsidRPr="00E120C5">
        <w:rPr>
          <w:rFonts w:ascii="Arial" w:hAnsi="Arial"/>
          <w:sz w:val="24"/>
          <w:lang w:val="fr-CA"/>
        </w:rPr>
        <w:t>.</w:t>
      </w:r>
    </w:p>
    <w:p w:rsidR="00B4636F" w:rsidRPr="003D7739" w:rsidRDefault="00B4636F">
      <w:pPr>
        <w:ind w:left="1440" w:hanging="720"/>
        <w:rPr>
          <w:rFonts w:ascii="Arial" w:hAnsi="Arial"/>
          <w:sz w:val="24"/>
          <w:lang w:val="fr-CA"/>
        </w:rPr>
      </w:pPr>
    </w:p>
    <w:p w:rsidR="00B4636F" w:rsidRPr="00285159" w:rsidRDefault="006638D0">
      <w:pPr>
        <w:ind w:left="1440" w:hanging="720"/>
        <w:rPr>
          <w:rFonts w:ascii="Arial" w:hAnsi="Arial"/>
          <w:sz w:val="24"/>
          <w:vertAlign w:val="superscript"/>
          <w:lang w:val="fr-CA"/>
        </w:rPr>
      </w:pPr>
      <w:r w:rsidRPr="00285159">
        <w:rPr>
          <w:rFonts w:ascii="Arial" w:hAnsi="Arial"/>
          <w:sz w:val="24"/>
          <w:lang w:val="fr-CA"/>
        </w:rPr>
        <w:t xml:space="preserve">2.6 </w:t>
      </w:r>
      <w:r w:rsidR="00E120C5" w:rsidRPr="00285159">
        <w:rPr>
          <w:rFonts w:ascii="Arial" w:hAnsi="Arial"/>
          <w:sz w:val="24"/>
          <w:lang w:val="fr-CA"/>
        </w:rPr>
        <w:tab/>
      </w:r>
      <w:r w:rsidRPr="00285159">
        <w:rPr>
          <w:rFonts w:ascii="Arial" w:hAnsi="Arial"/>
          <w:sz w:val="24"/>
          <w:lang w:val="fr-CA"/>
        </w:rPr>
        <w:t>Un bordereau d</w:t>
      </w:r>
      <w:r w:rsidR="001F2B03">
        <w:rPr>
          <w:rFonts w:ascii="Arial" w:hAnsi="Arial"/>
          <w:sz w:val="24"/>
          <w:lang w:val="fr-CA"/>
        </w:rPr>
        <w:t>’</w:t>
      </w:r>
      <w:r w:rsidRPr="00285159">
        <w:rPr>
          <w:rFonts w:ascii="Arial" w:hAnsi="Arial"/>
          <w:sz w:val="24"/>
          <w:lang w:val="fr-CA"/>
        </w:rPr>
        <w:t>émission et/ou une étiquette de compatibilité doit être rempli pour tous les globules rouges mis en circulation.</w:t>
      </w:r>
      <w:r w:rsidR="003B473F">
        <w:rPr>
          <w:rFonts w:ascii="Arial" w:hAnsi="Arial"/>
          <w:sz w:val="24"/>
          <w:lang w:val="fr-CA"/>
        </w:rPr>
        <w:t xml:space="preserve"> </w:t>
      </w:r>
      <w:r w:rsidRPr="00285159">
        <w:rPr>
          <w:rFonts w:ascii="Arial" w:hAnsi="Arial"/>
          <w:sz w:val="24"/>
          <w:lang w:val="fr-CA"/>
        </w:rPr>
        <w:t>Les éléments d’information suivants doivent y figurer</w:t>
      </w:r>
      <w:r w:rsidRPr="00285159">
        <w:rPr>
          <w:rFonts w:ascii="Arial" w:hAnsi="Arial"/>
          <w:sz w:val="24"/>
          <w:vertAlign w:val="superscript"/>
          <w:lang w:val="fr-CA"/>
        </w:rPr>
        <w:t>9.1</w:t>
      </w:r>
      <w:r w:rsidRPr="00285159">
        <w:rPr>
          <w:rFonts w:ascii="Arial" w:hAnsi="Arial"/>
          <w:sz w:val="24"/>
          <w:lang w:val="fr-CA"/>
        </w:rPr>
        <w:t> :</w:t>
      </w:r>
    </w:p>
    <w:p w:rsidR="00FB7CAC" w:rsidRDefault="006638D0" w:rsidP="00FB7CAC">
      <w:pPr>
        <w:numPr>
          <w:ilvl w:val="0"/>
          <w:numId w:val="7"/>
        </w:numPr>
        <w:ind w:left="1800"/>
        <w:rPr>
          <w:rFonts w:ascii="Arial" w:hAnsi="Arial"/>
          <w:sz w:val="24"/>
          <w:lang w:val="fr-CA"/>
        </w:rPr>
      </w:pPr>
      <w:r w:rsidRPr="00FB7CAC">
        <w:rPr>
          <w:rFonts w:ascii="Arial" w:hAnsi="Arial"/>
          <w:sz w:val="24"/>
          <w:lang w:val="fr-CA"/>
        </w:rPr>
        <w:t>les nom de famille et prénom du receveur</w:t>
      </w:r>
    </w:p>
    <w:p w:rsidR="00FB7CAC" w:rsidRDefault="006638D0" w:rsidP="00FB7CAC">
      <w:pPr>
        <w:numPr>
          <w:ilvl w:val="0"/>
          <w:numId w:val="7"/>
        </w:numPr>
        <w:ind w:left="1800"/>
        <w:rPr>
          <w:rFonts w:ascii="Arial" w:hAnsi="Arial"/>
          <w:sz w:val="24"/>
          <w:lang w:val="fr-CA"/>
        </w:rPr>
      </w:pPr>
      <w:r w:rsidRPr="00FB7CAC">
        <w:rPr>
          <w:rFonts w:ascii="Arial" w:hAnsi="Arial"/>
          <w:sz w:val="24"/>
          <w:lang w:val="fr-CA"/>
        </w:rPr>
        <w:t>le(s) numéro(s) d</w:t>
      </w:r>
      <w:r w:rsidR="001F2B03">
        <w:rPr>
          <w:rFonts w:ascii="Arial" w:hAnsi="Arial"/>
          <w:sz w:val="24"/>
          <w:lang w:val="fr-CA"/>
        </w:rPr>
        <w:t>’</w:t>
      </w:r>
      <w:r w:rsidRPr="00FB7CAC">
        <w:rPr>
          <w:rFonts w:ascii="Arial" w:hAnsi="Arial"/>
          <w:sz w:val="24"/>
          <w:lang w:val="fr-CA"/>
        </w:rPr>
        <w:t>identification du receveur</w:t>
      </w:r>
    </w:p>
    <w:p w:rsidR="00B4636F" w:rsidRPr="00FB7CAC" w:rsidRDefault="00E120C5" w:rsidP="00FB7CAC">
      <w:pPr>
        <w:numPr>
          <w:ilvl w:val="0"/>
          <w:numId w:val="7"/>
        </w:numPr>
        <w:ind w:left="1800"/>
        <w:rPr>
          <w:rFonts w:ascii="Arial" w:hAnsi="Arial"/>
          <w:sz w:val="24"/>
          <w:lang w:val="fr-CA"/>
        </w:rPr>
      </w:pPr>
      <w:r w:rsidRPr="00FB7CAC">
        <w:rPr>
          <w:rFonts w:ascii="Arial" w:hAnsi="Arial"/>
          <w:sz w:val="24"/>
          <w:lang w:val="fr-CA"/>
        </w:rPr>
        <w:t>le groupe ABO</w:t>
      </w:r>
      <w:r w:rsidR="006638D0" w:rsidRPr="00FB7CAC">
        <w:rPr>
          <w:rFonts w:ascii="Arial" w:hAnsi="Arial"/>
          <w:sz w:val="24"/>
          <w:lang w:val="fr-CA"/>
        </w:rPr>
        <w:t xml:space="preserve"> et le facteur </w:t>
      </w:r>
      <w:r w:rsidRPr="00FB7CAC">
        <w:rPr>
          <w:rFonts w:ascii="Arial" w:hAnsi="Arial"/>
          <w:sz w:val="24"/>
          <w:lang w:val="fr-CA"/>
        </w:rPr>
        <w:t>R</w:t>
      </w:r>
      <w:r w:rsidR="006638D0" w:rsidRPr="00FB7CAC">
        <w:rPr>
          <w:rFonts w:ascii="Arial" w:hAnsi="Arial"/>
          <w:sz w:val="24"/>
          <w:lang w:val="fr-CA"/>
        </w:rPr>
        <w:t>h du receveur</w:t>
      </w:r>
    </w:p>
    <w:p w:rsidR="00B4636F" w:rsidRPr="00285159" w:rsidRDefault="006638D0">
      <w:pPr>
        <w:numPr>
          <w:ilvl w:val="0"/>
          <w:numId w:val="7"/>
        </w:numPr>
        <w:ind w:left="1800"/>
        <w:rPr>
          <w:rFonts w:ascii="Arial" w:hAnsi="Arial"/>
          <w:sz w:val="24"/>
          <w:lang w:val="fr-CA"/>
        </w:rPr>
      </w:pPr>
      <w:r w:rsidRPr="00285159">
        <w:rPr>
          <w:rFonts w:ascii="Arial" w:hAnsi="Arial"/>
          <w:sz w:val="24"/>
          <w:lang w:val="fr-CA"/>
        </w:rPr>
        <w:t xml:space="preserve">le groupe </w:t>
      </w:r>
      <w:r w:rsidR="00285159" w:rsidRPr="00285159">
        <w:rPr>
          <w:rFonts w:ascii="Arial" w:hAnsi="Arial"/>
          <w:sz w:val="24"/>
          <w:lang w:val="fr-CA"/>
        </w:rPr>
        <w:t>ABO</w:t>
      </w:r>
      <w:r w:rsidRPr="00285159">
        <w:rPr>
          <w:rFonts w:ascii="Arial" w:hAnsi="Arial"/>
          <w:sz w:val="24"/>
          <w:lang w:val="fr-CA"/>
        </w:rPr>
        <w:t xml:space="preserve"> et le facteur </w:t>
      </w:r>
      <w:r w:rsidR="00285159" w:rsidRPr="00285159">
        <w:rPr>
          <w:rFonts w:ascii="Arial" w:hAnsi="Arial"/>
          <w:sz w:val="24"/>
          <w:lang w:val="fr-CA"/>
        </w:rPr>
        <w:t>R</w:t>
      </w:r>
      <w:r w:rsidRPr="00285159">
        <w:rPr>
          <w:rFonts w:ascii="Arial" w:hAnsi="Arial"/>
          <w:sz w:val="24"/>
          <w:lang w:val="fr-CA"/>
        </w:rPr>
        <w:t>h des globules rouges</w:t>
      </w:r>
    </w:p>
    <w:p w:rsidR="00B4636F" w:rsidRPr="00285159" w:rsidRDefault="006638D0">
      <w:pPr>
        <w:numPr>
          <w:ilvl w:val="0"/>
          <w:numId w:val="7"/>
        </w:numPr>
        <w:ind w:left="1800"/>
        <w:rPr>
          <w:rFonts w:ascii="Arial" w:hAnsi="Arial"/>
          <w:sz w:val="24"/>
          <w:lang w:val="fr-CA"/>
        </w:rPr>
      </w:pPr>
      <w:r w:rsidRPr="00285159">
        <w:rPr>
          <w:rFonts w:ascii="Arial" w:hAnsi="Arial"/>
          <w:sz w:val="24"/>
          <w:lang w:val="fr-CA"/>
        </w:rPr>
        <w:t>le numéro d</w:t>
      </w:r>
      <w:r w:rsidR="001F2B03">
        <w:rPr>
          <w:rFonts w:ascii="Arial" w:hAnsi="Arial"/>
          <w:sz w:val="24"/>
          <w:lang w:val="fr-CA"/>
        </w:rPr>
        <w:t>’</w:t>
      </w:r>
      <w:r w:rsidRPr="00285159">
        <w:rPr>
          <w:rFonts w:ascii="Arial" w:hAnsi="Arial"/>
          <w:sz w:val="24"/>
          <w:lang w:val="fr-CA"/>
        </w:rPr>
        <w:t>identification du produit (incluant le code de contrôle et le code de l</w:t>
      </w:r>
      <w:r w:rsidR="001F2B03">
        <w:rPr>
          <w:rFonts w:ascii="Arial" w:hAnsi="Arial"/>
          <w:sz w:val="24"/>
          <w:lang w:val="fr-CA"/>
        </w:rPr>
        <w:t>’</w:t>
      </w:r>
      <w:r w:rsidRPr="00285159">
        <w:rPr>
          <w:rFonts w:ascii="Arial" w:hAnsi="Arial"/>
          <w:sz w:val="24"/>
          <w:lang w:val="fr-CA"/>
        </w:rPr>
        <w:t>établissement de collecte)</w:t>
      </w:r>
    </w:p>
    <w:p w:rsidR="00B66FB5" w:rsidRDefault="006638D0" w:rsidP="00B66FB5">
      <w:pPr>
        <w:numPr>
          <w:ilvl w:val="0"/>
          <w:numId w:val="8"/>
        </w:numPr>
        <w:tabs>
          <w:tab w:val="clear" w:pos="360"/>
          <w:tab w:val="num" w:pos="1800"/>
        </w:tabs>
        <w:ind w:left="1800"/>
        <w:rPr>
          <w:rFonts w:ascii="Arial" w:hAnsi="Arial"/>
          <w:sz w:val="24"/>
          <w:lang w:val="fr-CA"/>
        </w:rPr>
      </w:pPr>
      <w:r w:rsidRPr="00B66FB5">
        <w:rPr>
          <w:rFonts w:ascii="Arial" w:hAnsi="Arial"/>
          <w:sz w:val="24"/>
          <w:lang w:val="fr-CA"/>
        </w:rPr>
        <w:t>l</w:t>
      </w:r>
      <w:r w:rsidR="00B66FB5" w:rsidRPr="00B66FB5">
        <w:rPr>
          <w:rFonts w:ascii="Arial" w:hAnsi="Arial"/>
          <w:sz w:val="24"/>
          <w:lang w:val="fr-CA"/>
        </w:rPr>
        <w:t>e type de</w:t>
      </w:r>
      <w:r w:rsidRPr="00B66FB5">
        <w:rPr>
          <w:rFonts w:ascii="Arial" w:hAnsi="Arial"/>
          <w:sz w:val="24"/>
          <w:lang w:val="fr-CA"/>
        </w:rPr>
        <w:t xml:space="preserve"> produit </w:t>
      </w:r>
    </w:p>
    <w:p w:rsidR="00B4636F" w:rsidRPr="00B66FB5" w:rsidRDefault="00B66FB5" w:rsidP="00B66FB5">
      <w:pPr>
        <w:numPr>
          <w:ilvl w:val="0"/>
          <w:numId w:val="8"/>
        </w:numPr>
        <w:tabs>
          <w:tab w:val="clear" w:pos="360"/>
          <w:tab w:val="num" w:pos="1800"/>
        </w:tabs>
        <w:ind w:left="1800"/>
        <w:rPr>
          <w:rFonts w:ascii="Arial" w:hAnsi="Arial"/>
          <w:sz w:val="24"/>
          <w:lang w:val="fr-CA"/>
        </w:rPr>
      </w:pPr>
      <w:r w:rsidRPr="00B66FB5">
        <w:rPr>
          <w:rFonts w:ascii="Arial" w:hAnsi="Arial"/>
          <w:sz w:val="24"/>
          <w:lang w:val="fr-CA"/>
        </w:rPr>
        <w:t>la date et l’heure de l’émission</w:t>
      </w:r>
      <w:r w:rsidRPr="00B66FB5">
        <w:rPr>
          <w:rFonts w:ascii="Arial" w:hAnsi="Arial"/>
          <w:sz w:val="24"/>
          <w:lang w:val="fr-CA"/>
        </w:rPr>
        <w:br/>
      </w:r>
    </w:p>
    <w:p w:rsidR="00B4636F" w:rsidRPr="00285159" w:rsidRDefault="006638D0">
      <w:pPr>
        <w:numPr>
          <w:ilvl w:val="1"/>
          <w:numId w:val="9"/>
        </w:numPr>
        <w:rPr>
          <w:rFonts w:ascii="Arial" w:hAnsi="Arial"/>
          <w:sz w:val="24"/>
          <w:lang w:val="fr-CA"/>
        </w:rPr>
      </w:pPr>
      <w:r w:rsidRPr="00285159">
        <w:rPr>
          <w:rFonts w:ascii="Arial" w:hAnsi="Arial"/>
          <w:sz w:val="24"/>
          <w:lang w:val="fr-CA"/>
        </w:rPr>
        <w:t>Transfusions néonatales :</w:t>
      </w:r>
    </w:p>
    <w:p w:rsidR="00B4636F" w:rsidRPr="00285159" w:rsidRDefault="00B4636F">
      <w:pPr>
        <w:ind w:left="720"/>
        <w:rPr>
          <w:rFonts w:ascii="Arial" w:hAnsi="Arial"/>
          <w:sz w:val="24"/>
          <w:lang w:val="fr-CA"/>
        </w:rPr>
      </w:pPr>
    </w:p>
    <w:p w:rsidR="00B4636F" w:rsidRPr="00285159" w:rsidRDefault="006638D0">
      <w:pPr>
        <w:numPr>
          <w:ilvl w:val="2"/>
          <w:numId w:val="9"/>
        </w:numPr>
        <w:rPr>
          <w:rFonts w:ascii="Arial" w:hAnsi="Arial"/>
          <w:sz w:val="24"/>
          <w:lang w:val="fr-CA"/>
        </w:rPr>
      </w:pPr>
      <w:r w:rsidRPr="00285159">
        <w:rPr>
          <w:rFonts w:ascii="Arial" w:hAnsi="Arial"/>
          <w:sz w:val="24"/>
          <w:lang w:val="fr-CA"/>
        </w:rPr>
        <w:t>Toutes les épreuves prétransfusionnelles doivent se faire sur du sang prélevé par voie veineuse ou capillaire.</w:t>
      </w:r>
      <w:r w:rsidR="003B473F">
        <w:rPr>
          <w:rFonts w:ascii="Arial" w:hAnsi="Arial"/>
          <w:sz w:val="24"/>
          <w:lang w:val="fr-CA"/>
        </w:rPr>
        <w:t xml:space="preserve"> </w:t>
      </w:r>
      <w:r w:rsidRPr="00285159">
        <w:rPr>
          <w:rFonts w:ascii="Arial" w:hAnsi="Arial"/>
          <w:sz w:val="24"/>
          <w:lang w:val="fr-CA"/>
        </w:rPr>
        <w:t>On ne doit jamais utiliser du sang de cordon pour des épreuves</w:t>
      </w:r>
      <w:r w:rsidR="001F2B03">
        <w:rPr>
          <w:rFonts w:ascii="Arial" w:hAnsi="Arial"/>
          <w:sz w:val="24"/>
          <w:lang w:val="fr-CA"/>
        </w:rPr>
        <w:t> </w:t>
      </w:r>
      <w:r w:rsidRPr="00285159">
        <w:rPr>
          <w:rFonts w:ascii="Arial" w:hAnsi="Arial"/>
          <w:sz w:val="24"/>
          <w:lang w:val="fr-CA"/>
        </w:rPr>
        <w:t>prétransfusionnelles</w:t>
      </w:r>
      <w:r w:rsidRPr="00285159">
        <w:rPr>
          <w:rFonts w:ascii="Arial" w:hAnsi="Arial"/>
          <w:sz w:val="24"/>
          <w:vertAlign w:val="superscript"/>
          <w:lang w:val="fr-CA"/>
        </w:rPr>
        <w:t>9.1</w:t>
      </w:r>
      <w:r w:rsidRPr="00285159">
        <w:rPr>
          <w:rFonts w:ascii="Arial" w:hAnsi="Arial"/>
          <w:sz w:val="24"/>
          <w:lang w:val="fr-CA"/>
        </w:rPr>
        <w:t>.</w:t>
      </w:r>
    </w:p>
    <w:p w:rsidR="00B4636F" w:rsidRPr="003D7739" w:rsidRDefault="004774E2">
      <w:pPr>
        <w:numPr>
          <w:ilvl w:val="2"/>
          <w:numId w:val="9"/>
        </w:numPr>
        <w:rPr>
          <w:rFonts w:ascii="Arial" w:hAnsi="Arial"/>
          <w:sz w:val="24"/>
          <w:lang w:val="fr-CA"/>
        </w:rPr>
      </w:pPr>
      <w:r w:rsidRPr="004774E2">
        <w:rPr>
          <w:rFonts w:ascii="Arial" w:hAnsi="Arial"/>
          <w:sz w:val="24"/>
          <w:lang w:val="fr-CA"/>
        </w:rPr>
        <w:t>Les épreuves sur l</w:t>
      </w:r>
      <w:r w:rsidR="001F2B03">
        <w:rPr>
          <w:rFonts w:ascii="Arial" w:hAnsi="Arial"/>
          <w:sz w:val="24"/>
          <w:lang w:val="fr-CA"/>
        </w:rPr>
        <w:t>’</w:t>
      </w:r>
      <w:r w:rsidRPr="004774E2">
        <w:rPr>
          <w:rFonts w:ascii="Arial" w:hAnsi="Arial"/>
          <w:sz w:val="24"/>
          <w:lang w:val="fr-CA"/>
        </w:rPr>
        <w:t>échantillon prétransfusionnel initial doivent inclure la détermination du groupe ABO et du facteur Rh et le dépistage des anticorps cliniquement significatifs</w:t>
      </w:r>
      <w:r w:rsidR="00B4636F" w:rsidRPr="003D7739">
        <w:rPr>
          <w:rFonts w:ascii="Arial" w:hAnsi="Arial"/>
          <w:sz w:val="24"/>
          <w:vertAlign w:val="superscript"/>
          <w:lang w:val="fr-CA"/>
        </w:rPr>
        <w:t>9.1</w:t>
      </w:r>
      <w:r>
        <w:rPr>
          <w:rFonts w:ascii="Arial" w:hAnsi="Arial"/>
          <w:sz w:val="24"/>
          <w:lang w:val="fr-CA"/>
        </w:rPr>
        <w:t>.</w:t>
      </w:r>
    </w:p>
    <w:p w:rsidR="00B4636F" w:rsidRPr="00DF2577" w:rsidRDefault="004774E2">
      <w:pPr>
        <w:numPr>
          <w:ilvl w:val="2"/>
          <w:numId w:val="9"/>
        </w:numPr>
        <w:rPr>
          <w:rFonts w:ascii="Arial" w:hAnsi="Arial"/>
          <w:sz w:val="24"/>
          <w:lang w:val="fr-CA"/>
        </w:rPr>
      </w:pPr>
      <w:r w:rsidRPr="00DF2577">
        <w:rPr>
          <w:rFonts w:ascii="Arial" w:hAnsi="Arial"/>
          <w:sz w:val="24"/>
          <w:lang w:val="fr-CA"/>
        </w:rPr>
        <w:t>Si l’échantillon de plasma du nouveau-né est insuffisant, on peut utiliser un échantillon de plasma maternel pour effectuer les épreuves de compatibilité et le dépistage d’anticorps</w:t>
      </w:r>
      <w:r w:rsidR="00B4636F" w:rsidRPr="00DF2577">
        <w:rPr>
          <w:rFonts w:ascii="Arial" w:hAnsi="Arial"/>
          <w:sz w:val="24"/>
          <w:vertAlign w:val="superscript"/>
          <w:lang w:val="fr-CA"/>
        </w:rPr>
        <w:t>9.1</w:t>
      </w:r>
      <w:r w:rsidRPr="00DF2577">
        <w:rPr>
          <w:rFonts w:ascii="Arial" w:hAnsi="Arial"/>
          <w:sz w:val="24"/>
          <w:lang w:val="fr-CA"/>
        </w:rPr>
        <w:t>.</w:t>
      </w:r>
    </w:p>
    <w:p w:rsidR="00B4636F" w:rsidRPr="00DF2577" w:rsidRDefault="004774E2">
      <w:pPr>
        <w:numPr>
          <w:ilvl w:val="2"/>
          <w:numId w:val="9"/>
        </w:numPr>
        <w:rPr>
          <w:rFonts w:ascii="Arial" w:hAnsi="Arial"/>
          <w:sz w:val="24"/>
          <w:lang w:val="fr-CA"/>
        </w:rPr>
      </w:pPr>
      <w:r w:rsidRPr="00DF2577">
        <w:rPr>
          <w:rFonts w:ascii="Arial" w:hAnsi="Arial"/>
          <w:sz w:val="24"/>
          <w:lang w:val="fr-CA"/>
        </w:rPr>
        <w:t>Si le dépistage d</w:t>
      </w:r>
      <w:r w:rsidR="001F2B03">
        <w:rPr>
          <w:rFonts w:ascii="Arial" w:hAnsi="Arial"/>
          <w:sz w:val="24"/>
          <w:lang w:val="fr-CA"/>
        </w:rPr>
        <w:t>’</w:t>
      </w:r>
      <w:r w:rsidRPr="00DF2577">
        <w:rPr>
          <w:rFonts w:ascii="Arial" w:hAnsi="Arial"/>
          <w:sz w:val="24"/>
          <w:lang w:val="fr-CA"/>
        </w:rPr>
        <w:t>anticorps initial est négatif, il n</w:t>
      </w:r>
      <w:r w:rsidR="001F2B03">
        <w:rPr>
          <w:rFonts w:ascii="Arial" w:hAnsi="Arial"/>
          <w:sz w:val="24"/>
          <w:lang w:val="fr-CA"/>
        </w:rPr>
        <w:t>’</w:t>
      </w:r>
      <w:r w:rsidRPr="00DF2577">
        <w:rPr>
          <w:rFonts w:ascii="Arial" w:hAnsi="Arial"/>
          <w:sz w:val="24"/>
          <w:lang w:val="fr-CA"/>
        </w:rPr>
        <w:t>est pas nécessaire de faire d</w:t>
      </w:r>
      <w:r w:rsidR="001F2B03">
        <w:rPr>
          <w:rFonts w:ascii="Arial" w:hAnsi="Arial"/>
          <w:sz w:val="24"/>
          <w:lang w:val="fr-CA"/>
        </w:rPr>
        <w:t>’</w:t>
      </w:r>
      <w:r w:rsidRPr="00DF2577">
        <w:rPr>
          <w:rFonts w:ascii="Arial" w:hAnsi="Arial"/>
          <w:sz w:val="24"/>
          <w:lang w:val="fr-CA"/>
        </w:rPr>
        <w:t>autres épreuves de compatibilité durant les 4 premiers mois de vie en cas de transfusions de petits</w:t>
      </w:r>
      <w:r w:rsidR="001F2B03">
        <w:rPr>
          <w:rFonts w:ascii="Arial" w:hAnsi="Arial"/>
          <w:sz w:val="24"/>
          <w:lang w:val="fr-CA"/>
        </w:rPr>
        <w:t> </w:t>
      </w:r>
      <w:r w:rsidRPr="00DF2577">
        <w:rPr>
          <w:rFonts w:ascii="Arial" w:hAnsi="Arial"/>
          <w:sz w:val="24"/>
          <w:lang w:val="fr-CA"/>
        </w:rPr>
        <w:t>volumes</w:t>
      </w:r>
      <w:r w:rsidR="00B4636F" w:rsidRPr="00DF2577">
        <w:rPr>
          <w:rFonts w:ascii="Arial" w:hAnsi="Arial"/>
          <w:sz w:val="24"/>
          <w:vertAlign w:val="superscript"/>
          <w:lang w:val="fr-CA"/>
        </w:rPr>
        <w:t>9.1</w:t>
      </w:r>
      <w:r w:rsidRPr="00DF2577">
        <w:rPr>
          <w:rFonts w:ascii="Arial" w:hAnsi="Arial"/>
          <w:sz w:val="24"/>
          <w:lang w:val="fr-CA"/>
        </w:rPr>
        <w:t>.</w:t>
      </w:r>
    </w:p>
    <w:p w:rsidR="00B4636F" w:rsidRPr="00DF2577" w:rsidRDefault="00DF2577">
      <w:pPr>
        <w:numPr>
          <w:ilvl w:val="2"/>
          <w:numId w:val="9"/>
        </w:numPr>
        <w:rPr>
          <w:rFonts w:ascii="Arial" w:hAnsi="Arial"/>
          <w:sz w:val="24"/>
          <w:lang w:val="fr-CA"/>
        </w:rPr>
      </w:pPr>
      <w:r w:rsidRPr="00DF2577">
        <w:rPr>
          <w:rFonts w:ascii="Arial" w:hAnsi="Arial"/>
          <w:sz w:val="24"/>
          <w:lang w:val="fr-CA"/>
        </w:rPr>
        <w:t>Pour les exsanguino-transfusions, faire les épreuves de compatibilité sur du plasma maternel</w:t>
      </w:r>
      <w:r w:rsidR="00B4636F" w:rsidRPr="00DF2577">
        <w:rPr>
          <w:rFonts w:ascii="Arial" w:hAnsi="Arial"/>
          <w:sz w:val="24"/>
          <w:lang w:val="fr-CA"/>
        </w:rPr>
        <w:t xml:space="preserve">. </w:t>
      </w:r>
      <w:r w:rsidR="002832DD" w:rsidRPr="00DF2577">
        <w:rPr>
          <w:rFonts w:ascii="Arial" w:hAnsi="Arial"/>
          <w:sz w:val="24"/>
          <w:lang w:val="fr-CA"/>
        </w:rPr>
        <w:t>On doit utiliser un échantillon de sang du nouveau-né si le plasma maternel n</w:t>
      </w:r>
      <w:r w:rsidR="001F2B03">
        <w:rPr>
          <w:rFonts w:ascii="Arial" w:hAnsi="Arial"/>
          <w:sz w:val="24"/>
          <w:lang w:val="fr-CA"/>
        </w:rPr>
        <w:t>’</w:t>
      </w:r>
      <w:r w:rsidR="002832DD" w:rsidRPr="00DF2577">
        <w:rPr>
          <w:rFonts w:ascii="Arial" w:hAnsi="Arial"/>
          <w:sz w:val="24"/>
          <w:lang w:val="fr-CA"/>
        </w:rPr>
        <w:t>est pas disponible</w:t>
      </w:r>
      <w:r w:rsidR="002832DD" w:rsidRPr="00DF2577">
        <w:rPr>
          <w:rFonts w:ascii="Arial" w:hAnsi="Arial"/>
          <w:sz w:val="24"/>
          <w:vertAlign w:val="superscript"/>
          <w:lang w:val="fr-CA"/>
        </w:rPr>
        <w:t>9.1</w:t>
      </w:r>
      <w:r w:rsidR="002832DD" w:rsidRPr="00DF2577">
        <w:rPr>
          <w:rFonts w:ascii="Arial" w:hAnsi="Arial"/>
          <w:sz w:val="24"/>
          <w:lang w:val="fr-CA"/>
        </w:rPr>
        <w:t>.</w:t>
      </w:r>
    </w:p>
    <w:p w:rsidR="00B4636F" w:rsidRPr="00DF2577" w:rsidRDefault="00B4636F">
      <w:pPr>
        <w:rPr>
          <w:rFonts w:ascii="Arial" w:hAnsi="Arial"/>
          <w:sz w:val="24"/>
          <w:lang w:val="fr-CA"/>
        </w:rPr>
      </w:pPr>
    </w:p>
    <w:p w:rsidR="00B4636F" w:rsidRPr="00DF2577" w:rsidRDefault="006F6F03" w:rsidP="00B66FB5">
      <w:pPr>
        <w:numPr>
          <w:ilvl w:val="1"/>
          <w:numId w:val="9"/>
        </w:numPr>
        <w:rPr>
          <w:rFonts w:ascii="Arial" w:hAnsi="Arial"/>
          <w:sz w:val="24"/>
          <w:lang w:val="fr-CA"/>
        </w:rPr>
      </w:pPr>
      <w:r w:rsidRPr="00DF2577">
        <w:rPr>
          <w:rFonts w:ascii="Arial" w:hAnsi="Arial"/>
          <w:sz w:val="24"/>
          <w:lang w:val="fr-CA"/>
        </w:rPr>
        <w:t>S</w:t>
      </w:r>
      <w:r w:rsidR="002832DD" w:rsidRPr="00DF2577">
        <w:rPr>
          <w:rFonts w:ascii="Arial" w:hAnsi="Arial"/>
          <w:sz w:val="24"/>
          <w:lang w:val="fr-CA"/>
        </w:rPr>
        <w:t>i le dépistage d</w:t>
      </w:r>
      <w:r w:rsidR="001F2B03">
        <w:rPr>
          <w:rFonts w:ascii="Arial" w:hAnsi="Arial"/>
          <w:sz w:val="24"/>
          <w:lang w:val="fr-CA"/>
        </w:rPr>
        <w:t>’</w:t>
      </w:r>
      <w:r w:rsidR="002832DD" w:rsidRPr="00DF2577">
        <w:rPr>
          <w:rFonts w:ascii="Arial" w:hAnsi="Arial"/>
          <w:sz w:val="24"/>
          <w:lang w:val="fr-CA"/>
        </w:rPr>
        <w:t>anticorps prétransfusionnel initial démontre la présence d</w:t>
      </w:r>
      <w:r w:rsidR="001F2B03">
        <w:rPr>
          <w:rFonts w:ascii="Arial" w:hAnsi="Arial"/>
          <w:sz w:val="24"/>
          <w:lang w:val="fr-CA"/>
        </w:rPr>
        <w:t>’</w:t>
      </w:r>
      <w:r w:rsidR="002832DD" w:rsidRPr="00DF2577">
        <w:rPr>
          <w:rFonts w:ascii="Arial" w:hAnsi="Arial"/>
          <w:sz w:val="24"/>
          <w:lang w:val="fr-CA"/>
        </w:rPr>
        <w:t>allo-anticorps, tous les globules rouges requis pour la transfusion devront être soumis à l</w:t>
      </w:r>
      <w:r w:rsidR="001F2B03">
        <w:rPr>
          <w:rFonts w:ascii="Arial" w:hAnsi="Arial"/>
          <w:sz w:val="24"/>
          <w:lang w:val="fr-CA"/>
        </w:rPr>
        <w:t>’</w:t>
      </w:r>
      <w:r w:rsidR="002832DD" w:rsidRPr="00DF2577">
        <w:rPr>
          <w:rFonts w:ascii="Arial" w:hAnsi="Arial"/>
          <w:sz w:val="24"/>
          <w:lang w:val="fr-CA"/>
        </w:rPr>
        <w:t>épreuve de compatibilité et doivent être de phénotype négatif pour l</w:t>
      </w:r>
      <w:r w:rsidR="001F2B03">
        <w:rPr>
          <w:rFonts w:ascii="Arial" w:hAnsi="Arial"/>
          <w:sz w:val="24"/>
          <w:lang w:val="fr-CA"/>
        </w:rPr>
        <w:t>’</w:t>
      </w:r>
      <w:r w:rsidR="002832DD" w:rsidRPr="00DF2577">
        <w:rPr>
          <w:rFonts w:ascii="Arial" w:hAnsi="Arial"/>
          <w:sz w:val="24"/>
          <w:lang w:val="fr-CA"/>
        </w:rPr>
        <w:t>antigène</w:t>
      </w:r>
      <w:r w:rsidR="001F2B03">
        <w:rPr>
          <w:rFonts w:ascii="Arial" w:hAnsi="Arial"/>
          <w:sz w:val="24"/>
          <w:lang w:val="fr-CA"/>
        </w:rPr>
        <w:t> </w:t>
      </w:r>
      <w:r w:rsidR="002832DD" w:rsidRPr="00DF2577">
        <w:rPr>
          <w:rFonts w:ascii="Arial" w:hAnsi="Arial"/>
          <w:sz w:val="24"/>
          <w:lang w:val="fr-CA"/>
        </w:rPr>
        <w:t>correspondant</w:t>
      </w:r>
      <w:r w:rsidR="00E52132">
        <w:rPr>
          <w:rFonts w:ascii="Arial" w:hAnsi="Arial"/>
          <w:sz w:val="24"/>
          <w:vertAlign w:val="superscript"/>
          <w:lang w:val="fr-CA"/>
        </w:rPr>
        <w:t>9.1</w:t>
      </w:r>
      <w:r w:rsidR="002832DD" w:rsidRPr="00DF2577">
        <w:rPr>
          <w:rFonts w:ascii="Arial" w:hAnsi="Arial"/>
          <w:sz w:val="24"/>
          <w:lang w:val="fr-CA"/>
        </w:rPr>
        <w:t>.</w:t>
      </w:r>
    </w:p>
    <w:p w:rsidR="00B4636F" w:rsidRPr="00DF2577" w:rsidRDefault="00B4636F">
      <w:pPr>
        <w:rPr>
          <w:rFonts w:ascii="Arial" w:hAnsi="Arial"/>
          <w:sz w:val="24"/>
          <w:lang w:val="fr-CA"/>
        </w:rPr>
      </w:pPr>
    </w:p>
    <w:p w:rsidR="00B4636F" w:rsidRPr="00DF2577" w:rsidRDefault="002832DD" w:rsidP="00B66FB5">
      <w:pPr>
        <w:numPr>
          <w:ilvl w:val="1"/>
          <w:numId w:val="9"/>
        </w:numPr>
        <w:rPr>
          <w:rFonts w:ascii="Arial" w:hAnsi="Arial"/>
          <w:sz w:val="24"/>
          <w:lang w:val="fr-CA"/>
        </w:rPr>
      </w:pPr>
      <w:r w:rsidRPr="00DF2577">
        <w:rPr>
          <w:rFonts w:ascii="Arial" w:hAnsi="Arial"/>
          <w:sz w:val="24"/>
          <w:lang w:val="fr-CA"/>
        </w:rPr>
        <w:t xml:space="preserve">Voir </w:t>
      </w:r>
      <w:r w:rsidR="00DF2577" w:rsidRPr="00DF2577">
        <w:rPr>
          <w:rFonts w:ascii="Arial" w:hAnsi="Arial"/>
          <w:sz w:val="24"/>
          <w:lang w:val="fr-CA"/>
        </w:rPr>
        <w:t>CCP</w:t>
      </w:r>
      <w:r w:rsidRPr="00DF2577">
        <w:rPr>
          <w:rFonts w:ascii="Arial" w:hAnsi="Arial"/>
          <w:sz w:val="24"/>
          <w:lang w:val="fr-CA"/>
        </w:rPr>
        <w:t xml:space="preserve">.001 - </w:t>
      </w:r>
      <w:r w:rsidR="00DF2577" w:rsidRPr="00DF2577">
        <w:rPr>
          <w:rFonts w:ascii="Arial" w:hAnsi="Arial"/>
          <w:sz w:val="24"/>
          <w:lang w:val="fr-CA"/>
        </w:rPr>
        <w:t>C</w:t>
      </w:r>
      <w:r w:rsidRPr="00DF2577">
        <w:rPr>
          <w:rFonts w:ascii="Arial" w:hAnsi="Arial"/>
          <w:sz w:val="24"/>
          <w:lang w:val="fr-CA"/>
        </w:rPr>
        <w:t>hoix des composants sanguins à transfuser.</w:t>
      </w:r>
    </w:p>
    <w:p w:rsidR="00B4636F" w:rsidRPr="003D7739" w:rsidRDefault="00B4636F">
      <w:pPr>
        <w:rPr>
          <w:rFonts w:ascii="Arial" w:hAnsi="Arial"/>
          <w:sz w:val="24"/>
          <w:lang w:val="fr-CA"/>
        </w:rPr>
      </w:pPr>
    </w:p>
    <w:p w:rsidR="00B4636F" w:rsidRPr="00DF2577" w:rsidRDefault="00DF2577">
      <w:pPr>
        <w:numPr>
          <w:ilvl w:val="1"/>
          <w:numId w:val="9"/>
        </w:numPr>
        <w:rPr>
          <w:rFonts w:ascii="Arial" w:hAnsi="Arial"/>
          <w:sz w:val="24"/>
          <w:lang w:val="fr-CA"/>
        </w:rPr>
      </w:pPr>
      <w:r w:rsidRPr="00DF2577">
        <w:rPr>
          <w:rFonts w:ascii="Arial" w:hAnsi="Arial"/>
          <w:sz w:val="24"/>
          <w:lang w:val="fr-CA"/>
        </w:rPr>
        <w:t>Une technique de pré-réchauffement est habituellement utilisée en présence d’anticorps froid</w:t>
      </w:r>
      <w:r w:rsidR="00337113">
        <w:rPr>
          <w:rFonts w:ascii="Arial" w:hAnsi="Arial"/>
          <w:sz w:val="24"/>
          <w:lang w:val="fr-CA"/>
        </w:rPr>
        <w:t>s</w:t>
      </w:r>
      <w:r w:rsidRPr="00DF2577">
        <w:rPr>
          <w:rFonts w:ascii="Arial" w:hAnsi="Arial"/>
          <w:sz w:val="24"/>
          <w:lang w:val="fr-CA"/>
        </w:rPr>
        <w:t xml:space="preserve"> non significatif</w:t>
      </w:r>
      <w:r w:rsidR="00337113">
        <w:rPr>
          <w:rFonts w:ascii="Arial" w:hAnsi="Arial"/>
          <w:sz w:val="24"/>
          <w:lang w:val="fr-CA"/>
        </w:rPr>
        <w:t>s</w:t>
      </w:r>
      <w:r w:rsidRPr="00DF2577">
        <w:rPr>
          <w:rFonts w:ascii="Arial" w:hAnsi="Arial"/>
          <w:sz w:val="24"/>
          <w:lang w:val="fr-CA"/>
        </w:rPr>
        <w:t xml:space="preserve"> dans l’échantillon d’un patient ou lors d’un soupçon à cet effet. </w:t>
      </w:r>
      <w:r w:rsidR="002832DD" w:rsidRPr="00DF2577">
        <w:rPr>
          <w:rFonts w:ascii="Arial" w:hAnsi="Arial"/>
          <w:sz w:val="24"/>
          <w:lang w:val="fr-CA"/>
        </w:rPr>
        <w:t>Voir TG.004 - Identification d</w:t>
      </w:r>
      <w:r w:rsidR="001F2B03">
        <w:rPr>
          <w:rFonts w:ascii="Arial" w:hAnsi="Arial"/>
          <w:sz w:val="24"/>
          <w:lang w:val="fr-CA"/>
        </w:rPr>
        <w:t>’</w:t>
      </w:r>
      <w:r w:rsidR="002832DD" w:rsidRPr="00DF2577">
        <w:rPr>
          <w:rFonts w:ascii="Arial" w:hAnsi="Arial"/>
          <w:sz w:val="24"/>
          <w:lang w:val="fr-CA"/>
        </w:rPr>
        <w:t>anticorps.</w:t>
      </w:r>
      <w:r w:rsidR="003B473F">
        <w:rPr>
          <w:rFonts w:ascii="Arial" w:hAnsi="Arial"/>
          <w:sz w:val="24"/>
          <w:lang w:val="fr-CA"/>
        </w:rPr>
        <w:t xml:space="preserve"> </w:t>
      </w:r>
    </w:p>
    <w:p w:rsidR="00B4636F" w:rsidRPr="003D7739" w:rsidRDefault="00B4636F">
      <w:pPr>
        <w:ind w:left="720"/>
        <w:rPr>
          <w:rFonts w:ascii="Arial" w:hAnsi="Arial"/>
          <w:sz w:val="24"/>
          <w:lang w:val="fr-CA"/>
        </w:rPr>
      </w:pPr>
    </w:p>
    <w:p w:rsidR="00B4636F" w:rsidRPr="003D7739" w:rsidRDefault="006F6F03">
      <w:pPr>
        <w:numPr>
          <w:ilvl w:val="0"/>
          <w:numId w:val="1"/>
        </w:numPr>
        <w:rPr>
          <w:rFonts w:ascii="Arial" w:hAnsi="Arial"/>
          <w:b/>
          <w:sz w:val="28"/>
          <w:lang w:val="fr-CA"/>
        </w:rPr>
      </w:pPr>
      <w:r>
        <w:rPr>
          <w:rFonts w:ascii="Arial" w:hAnsi="Arial"/>
          <w:b/>
          <w:color w:val="000000"/>
          <w:sz w:val="28"/>
          <w:lang w:val="fr-CA"/>
        </w:rPr>
        <w:t>É</w:t>
      </w:r>
      <w:r w:rsidR="002832DD" w:rsidRPr="002832DD">
        <w:rPr>
          <w:rFonts w:ascii="Arial" w:hAnsi="Arial"/>
          <w:b/>
          <w:color w:val="000000"/>
          <w:sz w:val="28"/>
          <w:lang w:val="fr-CA"/>
        </w:rPr>
        <w:t>chantillons</w:t>
      </w:r>
    </w:p>
    <w:p w:rsidR="00B4636F" w:rsidRPr="003D7739" w:rsidRDefault="00B4636F">
      <w:pPr>
        <w:rPr>
          <w:rFonts w:ascii="Arial" w:hAnsi="Arial"/>
          <w:sz w:val="24"/>
          <w:lang w:val="fr-CA"/>
        </w:rPr>
      </w:pPr>
    </w:p>
    <w:p w:rsidR="00B4636F" w:rsidRPr="006F6F03" w:rsidRDefault="002832DD">
      <w:pPr>
        <w:ind w:left="720"/>
        <w:rPr>
          <w:rFonts w:ascii="Arial" w:hAnsi="Arial"/>
          <w:sz w:val="24"/>
          <w:lang w:val="fr-CA"/>
        </w:rPr>
      </w:pPr>
      <w:r w:rsidRPr="006F6F03">
        <w:rPr>
          <w:rFonts w:ascii="Arial" w:hAnsi="Arial"/>
          <w:sz w:val="24"/>
          <w:lang w:val="fr-CA"/>
        </w:rPr>
        <w:t xml:space="preserve">Sang total anticoagulé - tube </w:t>
      </w:r>
      <w:r w:rsidR="006F6F03" w:rsidRPr="006F6F03">
        <w:rPr>
          <w:rFonts w:ascii="Arial" w:hAnsi="Arial"/>
          <w:sz w:val="24"/>
          <w:lang w:val="fr-CA"/>
        </w:rPr>
        <w:t>EDTA</w:t>
      </w:r>
      <w:r w:rsidRPr="006F6F03">
        <w:rPr>
          <w:rFonts w:ascii="Arial" w:hAnsi="Arial"/>
          <w:sz w:val="24"/>
          <w:lang w:val="fr-CA"/>
        </w:rPr>
        <w:t xml:space="preserve"> prélevé dans les </w:t>
      </w:r>
      <w:r w:rsidR="00B66FB5">
        <w:rPr>
          <w:rFonts w:ascii="Arial" w:hAnsi="Arial"/>
          <w:sz w:val="24"/>
          <w:lang w:val="fr-CA"/>
        </w:rPr>
        <w:t xml:space="preserve">quatorze </w:t>
      </w:r>
      <w:r w:rsidRPr="006F6F03">
        <w:rPr>
          <w:rFonts w:ascii="Arial" w:hAnsi="Arial"/>
          <w:sz w:val="24"/>
          <w:lang w:val="fr-CA"/>
        </w:rPr>
        <w:t>(</w:t>
      </w:r>
      <w:r w:rsidR="00B66FB5">
        <w:rPr>
          <w:rFonts w:ascii="Arial" w:hAnsi="Arial"/>
          <w:sz w:val="24"/>
          <w:lang w:val="fr-CA"/>
        </w:rPr>
        <w:t>14</w:t>
      </w:r>
      <w:r w:rsidRPr="006F6F03">
        <w:rPr>
          <w:rFonts w:ascii="Arial" w:hAnsi="Arial"/>
          <w:sz w:val="24"/>
          <w:lang w:val="fr-CA"/>
        </w:rPr>
        <w:t>) jours précédant l</w:t>
      </w:r>
      <w:r w:rsidR="001F2B03">
        <w:rPr>
          <w:rFonts w:ascii="Arial" w:hAnsi="Arial"/>
          <w:sz w:val="24"/>
          <w:lang w:val="fr-CA"/>
        </w:rPr>
        <w:t>’</w:t>
      </w:r>
      <w:r w:rsidRPr="006F6F03">
        <w:rPr>
          <w:rFonts w:ascii="Arial" w:hAnsi="Arial"/>
          <w:sz w:val="24"/>
          <w:lang w:val="fr-CA"/>
        </w:rPr>
        <w:t>épreuve</w:t>
      </w:r>
      <w:r w:rsidR="00B66FB5">
        <w:rPr>
          <w:rFonts w:ascii="Arial" w:hAnsi="Arial"/>
          <w:sz w:val="24"/>
          <w:lang w:val="fr-CA"/>
        </w:rPr>
        <w:t>, de préférence, même si du sérum peut servir</w:t>
      </w:r>
      <w:r w:rsidRPr="006F6F03">
        <w:rPr>
          <w:rFonts w:ascii="Arial" w:hAnsi="Arial"/>
          <w:sz w:val="24"/>
          <w:lang w:val="fr-CA"/>
        </w:rPr>
        <w:t>.</w:t>
      </w:r>
    </w:p>
    <w:p w:rsidR="00B4636F" w:rsidRPr="006F6F03" w:rsidRDefault="00B4636F">
      <w:pPr>
        <w:ind w:left="720"/>
        <w:rPr>
          <w:rFonts w:ascii="Arial" w:hAnsi="Arial"/>
          <w:sz w:val="24"/>
          <w:lang w:val="fr-CA"/>
        </w:rPr>
      </w:pPr>
    </w:p>
    <w:p w:rsidR="00B4636F" w:rsidRPr="006F6F03" w:rsidRDefault="002832DD">
      <w:pPr>
        <w:ind w:left="720"/>
        <w:rPr>
          <w:rFonts w:ascii="Arial" w:hAnsi="Arial"/>
          <w:sz w:val="24"/>
          <w:lang w:val="fr-CA"/>
        </w:rPr>
      </w:pPr>
      <w:r w:rsidRPr="006F6F03">
        <w:rPr>
          <w:rFonts w:ascii="Arial" w:hAnsi="Arial"/>
          <w:sz w:val="24"/>
          <w:lang w:val="fr-CA"/>
        </w:rPr>
        <w:t>En cas de transfusion récente ou de grossesse, il faudrait tester l</w:t>
      </w:r>
      <w:r w:rsidR="001F2B03">
        <w:rPr>
          <w:rFonts w:ascii="Arial" w:hAnsi="Arial"/>
          <w:sz w:val="24"/>
          <w:lang w:val="fr-CA"/>
        </w:rPr>
        <w:t>’</w:t>
      </w:r>
      <w:r w:rsidRPr="006F6F03">
        <w:rPr>
          <w:rFonts w:ascii="Arial" w:hAnsi="Arial"/>
          <w:sz w:val="24"/>
          <w:lang w:val="fr-CA"/>
        </w:rPr>
        <w:t xml:space="preserve">échantillon dans les </w:t>
      </w:r>
      <w:r w:rsidR="00B66FB5">
        <w:rPr>
          <w:rFonts w:ascii="Arial" w:hAnsi="Arial"/>
          <w:sz w:val="24"/>
          <w:lang w:val="fr-CA"/>
        </w:rPr>
        <w:t xml:space="preserve">96 heures </w:t>
      </w:r>
      <w:r w:rsidRPr="006F6F03">
        <w:rPr>
          <w:rFonts w:ascii="Arial" w:hAnsi="Arial"/>
          <w:sz w:val="24"/>
          <w:lang w:val="fr-CA"/>
        </w:rPr>
        <w:t>suivant son prélèvement.</w:t>
      </w:r>
    </w:p>
    <w:p w:rsidR="00B4636F" w:rsidRPr="003D7739" w:rsidRDefault="00B4636F">
      <w:pPr>
        <w:ind w:left="720"/>
        <w:rPr>
          <w:rFonts w:ascii="Arial" w:hAnsi="Arial"/>
          <w:sz w:val="24"/>
          <w:lang w:val="fr-CA"/>
        </w:rPr>
      </w:pPr>
    </w:p>
    <w:p w:rsidR="00BE78D3" w:rsidRDefault="002832DD">
      <w:pPr>
        <w:ind w:left="720"/>
        <w:rPr>
          <w:rFonts w:ascii="Arial" w:hAnsi="Arial"/>
          <w:sz w:val="24"/>
          <w:lang w:val="fr-CA"/>
        </w:rPr>
      </w:pPr>
      <w:r w:rsidRPr="006F6F03">
        <w:rPr>
          <w:rFonts w:ascii="Arial" w:hAnsi="Arial"/>
          <w:sz w:val="24"/>
          <w:lang w:val="fr-CA"/>
        </w:rPr>
        <w:t>Les échantillons hémolysés et nettement ictériques peuvent compliquer l</w:t>
      </w:r>
      <w:r w:rsidR="001F2B03">
        <w:rPr>
          <w:rFonts w:ascii="Arial" w:hAnsi="Arial"/>
          <w:sz w:val="24"/>
          <w:lang w:val="fr-CA"/>
        </w:rPr>
        <w:t>’</w:t>
      </w:r>
      <w:r w:rsidRPr="006F6F03">
        <w:rPr>
          <w:rFonts w:ascii="Arial" w:hAnsi="Arial"/>
          <w:sz w:val="24"/>
          <w:lang w:val="fr-CA"/>
        </w:rPr>
        <w:t>interprétation des résultats.</w:t>
      </w:r>
      <w:r w:rsidR="006F6F03" w:rsidRPr="006F6F03">
        <w:rPr>
          <w:rFonts w:ascii="Arial" w:hAnsi="Arial"/>
          <w:sz w:val="24"/>
          <w:lang w:val="fr-CA"/>
        </w:rPr>
        <w:t xml:space="preserve"> </w:t>
      </w:r>
      <w:r w:rsidR="00B66FB5">
        <w:rPr>
          <w:rFonts w:ascii="Arial" w:hAnsi="Arial"/>
          <w:sz w:val="24"/>
          <w:lang w:val="fr-CA"/>
        </w:rPr>
        <w:t>Voir la Remarque</w:t>
      </w:r>
      <w:r w:rsidR="001F2B03">
        <w:rPr>
          <w:rFonts w:ascii="Arial" w:hAnsi="Arial"/>
          <w:sz w:val="24"/>
          <w:lang w:val="fr-CA"/>
        </w:rPr>
        <w:t> </w:t>
      </w:r>
      <w:r w:rsidR="00B66FB5">
        <w:rPr>
          <w:rFonts w:ascii="Arial" w:hAnsi="Arial"/>
          <w:sz w:val="24"/>
          <w:lang w:val="fr-CA"/>
        </w:rPr>
        <w:t>8.6.</w:t>
      </w:r>
    </w:p>
    <w:p w:rsidR="00BE78D3" w:rsidRDefault="00BE78D3">
      <w:pPr>
        <w:ind w:left="720"/>
        <w:rPr>
          <w:rFonts w:ascii="Arial" w:hAnsi="Arial"/>
          <w:sz w:val="24"/>
          <w:lang w:val="fr-CA"/>
        </w:rPr>
      </w:pPr>
    </w:p>
    <w:p w:rsidR="00B4636F" w:rsidRPr="006F6F03" w:rsidRDefault="002832DD">
      <w:pPr>
        <w:ind w:left="720"/>
        <w:rPr>
          <w:rFonts w:ascii="Arial" w:hAnsi="Arial"/>
          <w:sz w:val="24"/>
          <w:lang w:val="fr-CA"/>
        </w:rPr>
      </w:pPr>
      <w:r w:rsidRPr="006F6F03">
        <w:rPr>
          <w:rFonts w:ascii="Arial" w:hAnsi="Arial"/>
          <w:sz w:val="24"/>
          <w:lang w:val="fr-CA"/>
        </w:rPr>
        <w:t>On peut éclaircir par centrifugation ou par filtration et ensuite tester à nouveau les échantillons nettement lipémiques contenant des particules qui obstruent le gel et dont la présence forme des taches diffuses de globules rouges.</w:t>
      </w:r>
    </w:p>
    <w:p w:rsidR="00B4636F" w:rsidRPr="003D7739" w:rsidRDefault="00B4636F">
      <w:pPr>
        <w:ind w:left="1080"/>
        <w:rPr>
          <w:rFonts w:ascii="Arial" w:hAnsi="Arial"/>
          <w:sz w:val="24"/>
          <w:lang w:val="fr-CA"/>
        </w:rPr>
      </w:pPr>
    </w:p>
    <w:p w:rsidR="00B4636F" w:rsidRPr="003D7739" w:rsidRDefault="00B4636F">
      <w:pPr>
        <w:numPr>
          <w:ilvl w:val="0"/>
          <w:numId w:val="1"/>
        </w:numPr>
        <w:rPr>
          <w:rFonts w:ascii="Arial" w:hAnsi="Arial"/>
          <w:b/>
          <w:sz w:val="28"/>
          <w:lang w:val="fr-CA"/>
        </w:rPr>
      </w:pPr>
      <w:r w:rsidRPr="003D7739">
        <w:rPr>
          <w:rFonts w:ascii="Arial" w:hAnsi="Arial"/>
          <w:b/>
          <w:sz w:val="28"/>
          <w:lang w:val="fr-CA"/>
        </w:rPr>
        <w:t>Mat</w:t>
      </w:r>
      <w:r w:rsidR="006F6F03">
        <w:rPr>
          <w:rFonts w:ascii="Arial" w:hAnsi="Arial"/>
          <w:b/>
          <w:sz w:val="28"/>
          <w:lang w:val="fr-CA"/>
        </w:rPr>
        <w:t>é</w:t>
      </w:r>
      <w:r w:rsidRPr="003D7739">
        <w:rPr>
          <w:rFonts w:ascii="Arial" w:hAnsi="Arial"/>
          <w:b/>
          <w:sz w:val="28"/>
          <w:lang w:val="fr-CA"/>
        </w:rPr>
        <w:t>ri</w:t>
      </w:r>
      <w:r w:rsidR="006F6F03">
        <w:rPr>
          <w:rFonts w:ascii="Arial" w:hAnsi="Arial"/>
          <w:b/>
          <w:sz w:val="28"/>
          <w:lang w:val="fr-CA"/>
        </w:rPr>
        <w:t>e</w:t>
      </w:r>
      <w:r w:rsidRPr="003D7739">
        <w:rPr>
          <w:rFonts w:ascii="Arial" w:hAnsi="Arial"/>
          <w:b/>
          <w:sz w:val="28"/>
          <w:lang w:val="fr-CA"/>
        </w:rPr>
        <w:t>l</w:t>
      </w:r>
    </w:p>
    <w:p w:rsidR="00B4636F" w:rsidRPr="003D7739" w:rsidRDefault="00B4636F">
      <w:pPr>
        <w:rPr>
          <w:rFonts w:ascii="Arial" w:hAnsi="Arial"/>
          <w:sz w:val="24"/>
          <w:lang w:val="fr-CA"/>
        </w:rPr>
      </w:pPr>
    </w:p>
    <w:p w:rsidR="00B4636F" w:rsidRPr="00DF2577" w:rsidRDefault="002832DD">
      <w:pPr>
        <w:ind w:left="720"/>
        <w:rPr>
          <w:rFonts w:ascii="Arial" w:hAnsi="Arial"/>
          <w:sz w:val="24"/>
          <w:lang w:val="fr-CA"/>
        </w:rPr>
      </w:pPr>
      <w:r w:rsidRPr="00DF2577">
        <w:rPr>
          <w:rFonts w:ascii="Arial" w:hAnsi="Arial"/>
          <w:sz w:val="24"/>
          <w:lang w:val="fr-CA"/>
        </w:rPr>
        <w:t>Équipement :</w:t>
      </w:r>
      <w:r w:rsidRPr="00DF2577">
        <w:rPr>
          <w:rFonts w:ascii="Arial" w:hAnsi="Arial"/>
          <w:sz w:val="24"/>
          <w:lang w:val="fr-CA"/>
        </w:rPr>
        <w:tab/>
      </w:r>
      <w:r w:rsidR="006F6F03" w:rsidRPr="00DF2577">
        <w:rPr>
          <w:rFonts w:ascii="Arial" w:hAnsi="Arial"/>
          <w:sz w:val="24"/>
          <w:lang w:val="fr-CA"/>
        </w:rPr>
        <w:tab/>
      </w:r>
      <w:r w:rsidRPr="00DF2577">
        <w:rPr>
          <w:rFonts w:ascii="Arial" w:hAnsi="Arial"/>
          <w:sz w:val="24"/>
          <w:lang w:val="fr-CA"/>
        </w:rPr>
        <w:t>centrifugeuse</w:t>
      </w:r>
    </w:p>
    <w:p w:rsidR="00B4636F" w:rsidRPr="00DF2577" w:rsidRDefault="00B4636F">
      <w:pPr>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6F6F03" w:rsidRPr="00DF2577">
        <w:rPr>
          <w:rFonts w:ascii="Arial" w:hAnsi="Arial"/>
          <w:sz w:val="24"/>
          <w:lang w:val="fr-CA"/>
        </w:rPr>
        <w:t>i</w:t>
      </w:r>
      <w:r w:rsidRPr="00DF2577">
        <w:rPr>
          <w:rFonts w:ascii="Arial" w:hAnsi="Arial"/>
          <w:sz w:val="24"/>
          <w:lang w:val="fr-CA"/>
        </w:rPr>
        <w:t>ncubat</w:t>
      </w:r>
      <w:r w:rsidR="006F6F03" w:rsidRPr="00DF2577">
        <w:rPr>
          <w:rFonts w:ascii="Arial" w:hAnsi="Arial"/>
          <w:sz w:val="24"/>
          <w:lang w:val="fr-CA"/>
        </w:rPr>
        <w:t>eur</w:t>
      </w:r>
    </w:p>
    <w:p w:rsidR="00B4636F" w:rsidRPr="00DF2577" w:rsidRDefault="00B4636F">
      <w:pPr>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6F6F03" w:rsidRPr="00DF2577">
        <w:rPr>
          <w:rFonts w:ascii="Arial" w:hAnsi="Arial"/>
          <w:sz w:val="24"/>
          <w:lang w:val="fr-CA"/>
        </w:rPr>
        <w:t>p</w:t>
      </w:r>
      <w:r w:rsidR="002832DD" w:rsidRPr="00DF2577">
        <w:rPr>
          <w:rFonts w:ascii="Arial" w:hAnsi="Arial"/>
          <w:sz w:val="24"/>
          <w:lang w:val="fr-CA"/>
        </w:rPr>
        <w:t>ipetteur</w:t>
      </w:r>
    </w:p>
    <w:p w:rsidR="00B4636F" w:rsidRPr="00DF2577" w:rsidRDefault="00B4636F">
      <w:pPr>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6F6F03" w:rsidRPr="00DF2577">
        <w:rPr>
          <w:rFonts w:ascii="Arial" w:hAnsi="Arial"/>
          <w:sz w:val="24"/>
          <w:lang w:val="fr-CA"/>
        </w:rPr>
        <w:t>d</w:t>
      </w:r>
      <w:r w:rsidR="002832DD" w:rsidRPr="00DF2577">
        <w:rPr>
          <w:rFonts w:ascii="Arial" w:hAnsi="Arial"/>
          <w:sz w:val="24"/>
          <w:lang w:val="fr-CA"/>
        </w:rPr>
        <w:t>istributeur</w:t>
      </w:r>
    </w:p>
    <w:p w:rsidR="00B4636F" w:rsidRPr="00DF2577" w:rsidRDefault="00B4636F">
      <w:pPr>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6F6F03" w:rsidRPr="00DF2577">
        <w:rPr>
          <w:rFonts w:ascii="Arial" w:hAnsi="Arial"/>
          <w:sz w:val="24"/>
          <w:lang w:val="fr-CA"/>
        </w:rPr>
        <w:t>p</w:t>
      </w:r>
      <w:r w:rsidR="002832DD" w:rsidRPr="00DF2577">
        <w:rPr>
          <w:rFonts w:ascii="Arial" w:hAnsi="Arial"/>
          <w:sz w:val="24"/>
          <w:lang w:val="fr-CA"/>
        </w:rPr>
        <w:t>oste de préparation, facultatif</w:t>
      </w:r>
    </w:p>
    <w:p w:rsidR="00B4636F" w:rsidRPr="00DF2577" w:rsidRDefault="00B4636F">
      <w:pPr>
        <w:ind w:left="720"/>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2832DD" w:rsidRPr="00DF2577">
        <w:rPr>
          <w:rFonts w:ascii="Arial" w:hAnsi="Arial"/>
          <w:sz w:val="24"/>
          <w:lang w:val="fr-CA"/>
        </w:rPr>
        <w:t>centrifugeuse sérologique</w:t>
      </w:r>
    </w:p>
    <w:p w:rsidR="00B4636F" w:rsidRPr="00DF2577" w:rsidRDefault="00B4636F">
      <w:pPr>
        <w:rPr>
          <w:rFonts w:ascii="Arial" w:hAnsi="Arial"/>
          <w:sz w:val="24"/>
          <w:lang w:val="fr-CA"/>
        </w:rPr>
      </w:pPr>
    </w:p>
    <w:p w:rsidR="00B4636F" w:rsidRPr="00DF2577" w:rsidRDefault="002832DD">
      <w:pPr>
        <w:ind w:left="720"/>
        <w:rPr>
          <w:rFonts w:ascii="Arial" w:hAnsi="Arial"/>
          <w:sz w:val="24"/>
          <w:lang w:val="fr-CA"/>
        </w:rPr>
      </w:pPr>
      <w:r w:rsidRPr="00DF2577">
        <w:rPr>
          <w:rFonts w:ascii="Arial" w:hAnsi="Arial"/>
          <w:sz w:val="24"/>
          <w:lang w:val="fr-CA"/>
        </w:rPr>
        <w:t>Fournitures :</w:t>
      </w:r>
      <w:r w:rsidRPr="00DF2577">
        <w:rPr>
          <w:rFonts w:ascii="Arial" w:hAnsi="Arial"/>
          <w:sz w:val="24"/>
          <w:lang w:val="fr-CA"/>
        </w:rPr>
        <w:tab/>
      </w:r>
      <w:r w:rsidR="006F6F03" w:rsidRPr="00DF2577">
        <w:rPr>
          <w:rFonts w:ascii="Arial" w:hAnsi="Arial"/>
          <w:sz w:val="24"/>
          <w:lang w:val="fr-CA"/>
        </w:rPr>
        <w:tab/>
        <w:t>ID</w:t>
      </w:r>
      <w:r w:rsidRPr="00DF2577">
        <w:rPr>
          <w:rFonts w:ascii="Arial" w:hAnsi="Arial"/>
          <w:sz w:val="24"/>
          <w:lang w:val="fr-CA"/>
        </w:rPr>
        <w:t>-</w:t>
      </w:r>
      <w:r w:rsidR="00E52132">
        <w:rPr>
          <w:rFonts w:ascii="Arial" w:hAnsi="Arial"/>
          <w:sz w:val="24"/>
          <w:lang w:val="fr-CA"/>
        </w:rPr>
        <w:t>T</w:t>
      </w:r>
      <w:r w:rsidRPr="00DF2577">
        <w:rPr>
          <w:rFonts w:ascii="Arial" w:hAnsi="Arial"/>
          <w:sz w:val="24"/>
          <w:lang w:val="fr-CA"/>
        </w:rPr>
        <w:t>ips (embouts de pipettes)</w:t>
      </w:r>
    </w:p>
    <w:p w:rsidR="00B4636F" w:rsidRPr="00DF2577" w:rsidRDefault="00B4636F">
      <w:pPr>
        <w:ind w:left="720"/>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E92E64">
        <w:rPr>
          <w:rFonts w:ascii="Arial" w:hAnsi="Arial"/>
          <w:sz w:val="24"/>
          <w:lang w:val="fr-CA"/>
        </w:rPr>
        <w:t>t</w:t>
      </w:r>
      <w:r w:rsidR="002832DD" w:rsidRPr="00DF2577">
        <w:rPr>
          <w:rFonts w:ascii="Arial" w:hAnsi="Arial"/>
          <w:sz w:val="24"/>
          <w:lang w:val="fr-CA"/>
        </w:rPr>
        <w:t>ubes 10 x 75 mm</w:t>
      </w:r>
    </w:p>
    <w:p w:rsidR="00B4636F" w:rsidRPr="00DF2577" w:rsidRDefault="00B4636F">
      <w:pPr>
        <w:ind w:left="720"/>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2832DD" w:rsidRPr="00DF2577">
        <w:rPr>
          <w:rFonts w:ascii="Arial" w:hAnsi="Arial"/>
          <w:sz w:val="24"/>
          <w:lang w:val="fr-CA"/>
        </w:rPr>
        <w:t>pipettes sérologiques</w:t>
      </w:r>
    </w:p>
    <w:p w:rsidR="00B4636F" w:rsidRPr="00DF2577" w:rsidRDefault="00B4636F">
      <w:pPr>
        <w:ind w:left="720"/>
        <w:rPr>
          <w:rFonts w:ascii="Arial" w:hAnsi="Arial"/>
          <w:sz w:val="24"/>
          <w:lang w:val="fr-CA"/>
        </w:rPr>
      </w:pPr>
      <w:r w:rsidRPr="00DF2577">
        <w:rPr>
          <w:rFonts w:ascii="Arial" w:hAnsi="Arial"/>
          <w:sz w:val="24"/>
          <w:lang w:val="fr-CA"/>
        </w:rPr>
        <w:tab/>
      </w:r>
      <w:r w:rsidRPr="00DF2577">
        <w:rPr>
          <w:rFonts w:ascii="Arial" w:hAnsi="Arial"/>
          <w:sz w:val="24"/>
          <w:lang w:val="fr-CA"/>
        </w:rPr>
        <w:tab/>
      </w:r>
      <w:r w:rsidRPr="00DF2577">
        <w:rPr>
          <w:rFonts w:ascii="Arial" w:hAnsi="Arial"/>
          <w:sz w:val="24"/>
          <w:lang w:val="fr-CA"/>
        </w:rPr>
        <w:tab/>
      </w:r>
      <w:r w:rsidR="006F6F03" w:rsidRPr="00DF2577">
        <w:rPr>
          <w:rFonts w:ascii="Arial" w:hAnsi="Arial"/>
          <w:sz w:val="24"/>
          <w:lang w:val="fr-CA"/>
        </w:rPr>
        <w:t>d</w:t>
      </w:r>
      <w:r w:rsidR="002832DD" w:rsidRPr="00DF2577">
        <w:rPr>
          <w:rFonts w:ascii="Arial" w:hAnsi="Arial"/>
          <w:sz w:val="24"/>
          <w:lang w:val="fr-CA"/>
        </w:rPr>
        <w:t>épliant du fournisseur</w:t>
      </w:r>
    </w:p>
    <w:p w:rsidR="00B4636F" w:rsidRPr="003D7739" w:rsidRDefault="00B4636F">
      <w:pPr>
        <w:ind w:left="720"/>
        <w:rPr>
          <w:rFonts w:ascii="Arial" w:hAnsi="Arial"/>
          <w:sz w:val="24"/>
          <w:lang w:val="fr-CA"/>
        </w:rPr>
      </w:pPr>
    </w:p>
    <w:p w:rsidR="00B4636F" w:rsidRPr="00DF2577" w:rsidRDefault="00B4636F" w:rsidP="00DF2577">
      <w:pPr>
        <w:tabs>
          <w:tab w:val="left" w:pos="-720"/>
          <w:tab w:val="left" w:pos="0"/>
        </w:tabs>
        <w:suppressAutoHyphens/>
        <w:ind w:left="720" w:hanging="720"/>
        <w:rPr>
          <w:rFonts w:ascii="Arial" w:hAnsi="Arial"/>
          <w:sz w:val="24"/>
          <w:lang w:val="fr-CA"/>
        </w:rPr>
      </w:pPr>
      <w:r w:rsidRPr="003D7739">
        <w:rPr>
          <w:rFonts w:ascii="Arial" w:hAnsi="Arial"/>
          <w:b/>
          <w:sz w:val="24"/>
          <w:lang w:val="fr-CA"/>
        </w:rPr>
        <w:tab/>
      </w:r>
      <w:r w:rsidR="006F6F03" w:rsidRPr="00DF2577">
        <w:rPr>
          <w:rFonts w:ascii="Arial" w:hAnsi="Arial"/>
          <w:sz w:val="24"/>
          <w:lang w:val="fr-CA"/>
        </w:rPr>
        <w:t>Réactifs</w:t>
      </w:r>
      <w:r w:rsidR="001F2B03">
        <w:rPr>
          <w:rFonts w:ascii="Arial" w:hAnsi="Arial"/>
          <w:sz w:val="24"/>
          <w:lang w:val="fr-CA"/>
        </w:rPr>
        <w:t xml:space="preserve"> </w:t>
      </w:r>
      <w:r w:rsidRPr="00DF2577">
        <w:rPr>
          <w:rFonts w:ascii="Arial" w:hAnsi="Arial"/>
          <w:sz w:val="24"/>
          <w:lang w:val="fr-CA"/>
        </w:rPr>
        <w:t>:</w:t>
      </w:r>
      <w:r w:rsidRPr="00DF2577">
        <w:rPr>
          <w:rFonts w:ascii="Arial" w:hAnsi="Arial"/>
          <w:sz w:val="24"/>
          <w:lang w:val="fr-CA"/>
        </w:rPr>
        <w:tab/>
      </w:r>
      <w:r w:rsidRPr="00DF2577">
        <w:rPr>
          <w:rFonts w:ascii="Arial" w:hAnsi="Arial"/>
          <w:sz w:val="24"/>
          <w:lang w:val="fr-CA"/>
        </w:rPr>
        <w:tab/>
      </w:r>
      <w:r w:rsidRPr="00DF2577">
        <w:rPr>
          <w:rFonts w:ascii="Arial" w:hAnsi="Arial"/>
          <w:spacing w:val="-2"/>
          <w:sz w:val="24"/>
          <w:lang w:val="fr-CA"/>
        </w:rPr>
        <w:t xml:space="preserve">MTS Diluent 2, </w:t>
      </w:r>
      <w:r w:rsidR="00DF2577" w:rsidRPr="00DF2577">
        <w:rPr>
          <w:rFonts w:ascii="Arial" w:hAnsi="Arial"/>
          <w:spacing w:val="-2"/>
          <w:sz w:val="24"/>
          <w:lang w:val="fr-CA"/>
        </w:rPr>
        <w:t>solution saline hypotonique tamponnée</w:t>
      </w:r>
      <w:r w:rsidRPr="00DF2577">
        <w:rPr>
          <w:rFonts w:ascii="Arial" w:hAnsi="Arial"/>
          <w:spacing w:val="-2"/>
          <w:sz w:val="24"/>
          <w:lang w:val="fr-CA"/>
        </w:rPr>
        <w:tab/>
      </w:r>
      <w:r w:rsidRPr="00DF2577">
        <w:rPr>
          <w:rFonts w:ascii="Arial" w:hAnsi="Arial"/>
          <w:spacing w:val="-2"/>
          <w:sz w:val="24"/>
          <w:lang w:val="fr-CA"/>
        </w:rPr>
        <w:tab/>
      </w:r>
      <w:r w:rsidRPr="00DF2577">
        <w:rPr>
          <w:rFonts w:ascii="Arial" w:hAnsi="Arial"/>
          <w:spacing w:val="-2"/>
          <w:sz w:val="24"/>
          <w:lang w:val="fr-CA"/>
        </w:rPr>
        <w:tab/>
      </w:r>
      <w:r w:rsidR="00DF2577" w:rsidRPr="00DF2577">
        <w:rPr>
          <w:rFonts w:ascii="Arial" w:hAnsi="Arial"/>
          <w:spacing w:val="-2"/>
          <w:sz w:val="24"/>
          <w:lang w:val="fr-CA"/>
        </w:rPr>
        <w:tab/>
      </w:r>
      <w:r w:rsidR="004111DC" w:rsidRPr="00DF2577">
        <w:rPr>
          <w:rFonts w:ascii="Arial" w:hAnsi="Arial"/>
          <w:spacing w:val="-2"/>
          <w:sz w:val="24"/>
          <w:lang w:val="fr-CA"/>
        </w:rPr>
        <w:t xml:space="preserve">carte MTS anti-IgG, Anti-IgG (lapin) en suspension </w:t>
      </w:r>
      <w:r w:rsidR="00DF2577" w:rsidRPr="00DF2577">
        <w:rPr>
          <w:rFonts w:ascii="Arial" w:hAnsi="Arial"/>
          <w:spacing w:val="-2"/>
          <w:sz w:val="24"/>
          <w:lang w:val="fr-CA"/>
        </w:rPr>
        <w:tab/>
      </w:r>
      <w:r w:rsidR="00DF2577" w:rsidRPr="00DF2577">
        <w:rPr>
          <w:rFonts w:ascii="Arial" w:hAnsi="Arial"/>
          <w:spacing w:val="-2"/>
          <w:sz w:val="24"/>
          <w:lang w:val="fr-CA"/>
        </w:rPr>
        <w:tab/>
      </w:r>
      <w:r w:rsidR="00DF2577" w:rsidRPr="00DF2577">
        <w:rPr>
          <w:rFonts w:ascii="Arial" w:hAnsi="Arial"/>
          <w:spacing w:val="-2"/>
          <w:sz w:val="24"/>
          <w:lang w:val="fr-CA"/>
        </w:rPr>
        <w:tab/>
      </w:r>
      <w:r w:rsidR="00DF2577" w:rsidRPr="00DF2577">
        <w:rPr>
          <w:rFonts w:ascii="Arial" w:hAnsi="Arial"/>
          <w:spacing w:val="-2"/>
          <w:sz w:val="24"/>
          <w:lang w:val="fr-CA"/>
        </w:rPr>
        <w:tab/>
      </w:r>
      <w:r w:rsidR="00E92E64">
        <w:rPr>
          <w:rFonts w:ascii="Arial" w:hAnsi="Arial"/>
          <w:spacing w:val="-2"/>
          <w:sz w:val="24"/>
          <w:lang w:val="fr-CA"/>
        </w:rPr>
        <w:tab/>
      </w:r>
      <w:r w:rsidR="006F6F03" w:rsidRPr="00DF2577">
        <w:rPr>
          <w:rFonts w:ascii="Arial" w:hAnsi="Arial"/>
          <w:spacing w:val="-2"/>
          <w:sz w:val="24"/>
          <w:lang w:val="fr-CA"/>
        </w:rPr>
        <w:t>da</w:t>
      </w:r>
      <w:r w:rsidR="004111DC" w:rsidRPr="00DF2577">
        <w:rPr>
          <w:rFonts w:ascii="Arial" w:hAnsi="Arial"/>
          <w:spacing w:val="-2"/>
          <w:sz w:val="24"/>
          <w:lang w:val="fr-CA"/>
        </w:rPr>
        <w:t>ns un ge</w:t>
      </w:r>
      <w:r w:rsidR="00DF2577" w:rsidRPr="00DF2577">
        <w:rPr>
          <w:rFonts w:ascii="Arial" w:hAnsi="Arial"/>
          <w:spacing w:val="-2"/>
          <w:sz w:val="24"/>
          <w:lang w:val="fr-CA"/>
        </w:rPr>
        <w:t>l</w:t>
      </w:r>
    </w:p>
    <w:p w:rsidR="00B4636F" w:rsidRPr="003D7739" w:rsidRDefault="00B4636F">
      <w:pPr>
        <w:ind w:left="720"/>
        <w:rPr>
          <w:rFonts w:ascii="Arial" w:hAnsi="Arial"/>
          <w:sz w:val="24"/>
          <w:lang w:val="fr-CA"/>
        </w:rPr>
      </w:pPr>
      <w:r w:rsidRPr="003D7739">
        <w:rPr>
          <w:rFonts w:ascii="Arial" w:hAnsi="Arial"/>
          <w:sz w:val="24"/>
          <w:lang w:val="fr-CA"/>
        </w:rPr>
        <w:tab/>
      </w:r>
      <w:r w:rsidRPr="003D7739">
        <w:rPr>
          <w:rFonts w:ascii="Arial" w:hAnsi="Arial"/>
          <w:sz w:val="24"/>
          <w:lang w:val="fr-CA"/>
        </w:rPr>
        <w:tab/>
      </w:r>
      <w:r w:rsidRPr="003D7739">
        <w:rPr>
          <w:rFonts w:ascii="Arial" w:hAnsi="Arial"/>
          <w:sz w:val="24"/>
          <w:lang w:val="fr-CA"/>
        </w:rPr>
        <w:tab/>
      </w:r>
      <w:r w:rsidR="00DF2577">
        <w:rPr>
          <w:rFonts w:ascii="Arial" w:hAnsi="Arial"/>
          <w:sz w:val="24"/>
          <w:lang w:val="fr-CA"/>
        </w:rPr>
        <w:t>solution s</w:t>
      </w:r>
      <w:r w:rsidRPr="003D7739">
        <w:rPr>
          <w:rFonts w:ascii="Arial" w:hAnsi="Arial"/>
          <w:sz w:val="24"/>
          <w:lang w:val="fr-CA"/>
        </w:rPr>
        <w:t>aline</w:t>
      </w:r>
    </w:p>
    <w:p w:rsidR="00B4636F" w:rsidRPr="003D7739" w:rsidRDefault="00B4636F">
      <w:pPr>
        <w:ind w:left="720"/>
        <w:rPr>
          <w:rFonts w:ascii="Arial" w:hAnsi="Arial"/>
          <w:sz w:val="24"/>
          <w:lang w:val="fr-CA"/>
        </w:rPr>
      </w:pPr>
    </w:p>
    <w:p w:rsidR="00B4636F" w:rsidRPr="003D7739" w:rsidRDefault="00B4636F">
      <w:pPr>
        <w:pStyle w:val="BodyTextIndent2"/>
        <w:jc w:val="left"/>
        <w:rPr>
          <w:lang w:val="fr-CA"/>
        </w:rPr>
      </w:pPr>
      <w:r w:rsidRPr="003D7739">
        <w:rPr>
          <w:lang w:val="fr-CA"/>
        </w:rPr>
        <w:tab/>
      </w:r>
      <w:r w:rsidR="00DF2577">
        <w:rPr>
          <w:lang w:val="fr-CA"/>
        </w:rPr>
        <w:t>N</w:t>
      </w:r>
      <w:r w:rsidR="00DF2577" w:rsidRPr="00DF2577">
        <w:rPr>
          <w:lang w:val="fr-CA"/>
        </w:rPr>
        <w:t>e pas utiliser après la date de péremption. Entreposer les cartes entre 2 °C et 25 °C. Entreposer les diluants et les globules rouges entre 2 °C et 8 °C. Amener les réactifs à la température ambiante (18 °C à 25 °C) avant l’utilisation</w:t>
      </w:r>
      <w:r w:rsidRPr="003D7739">
        <w:rPr>
          <w:lang w:val="fr-CA"/>
        </w:rPr>
        <w:t>.</w:t>
      </w:r>
    </w:p>
    <w:p w:rsidR="00B4636F" w:rsidRDefault="00B4636F">
      <w:pPr>
        <w:ind w:left="720"/>
        <w:rPr>
          <w:rFonts w:ascii="Arial" w:hAnsi="Arial"/>
          <w:sz w:val="24"/>
          <w:lang w:val="fr-CA"/>
        </w:rPr>
      </w:pPr>
    </w:p>
    <w:p w:rsidR="001F2B03" w:rsidRPr="003D7739" w:rsidRDefault="001F2B03">
      <w:pPr>
        <w:ind w:left="720"/>
        <w:rPr>
          <w:rFonts w:ascii="Arial" w:hAnsi="Arial"/>
          <w:sz w:val="24"/>
          <w:lang w:val="fr-CA"/>
        </w:rPr>
      </w:pPr>
    </w:p>
    <w:p w:rsidR="00B4636F" w:rsidRPr="00DF2577" w:rsidRDefault="00DF2577">
      <w:pPr>
        <w:numPr>
          <w:ilvl w:val="0"/>
          <w:numId w:val="1"/>
        </w:numPr>
        <w:rPr>
          <w:rFonts w:ascii="Arial" w:hAnsi="Arial"/>
          <w:b/>
          <w:sz w:val="28"/>
          <w:lang w:val="fr-CA"/>
        </w:rPr>
      </w:pPr>
      <w:r w:rsidRPr="00DF2577">
        <w:rPr>
          <w:rFonts w:ascii="Arial" w:hAnsi="Arial"/>
          <w:b/>
          <w:sz w:val="28"/>
          <w:lang w:val="fr-CA"/>
        </w:rPr>
        <w:t>Contrôle de la qualité</w:t>
      </w:r>
    </w:p>
    <w:p w:rsidR="00B4636F" w:rsidRPr="003D7739" w:rsidRDefault="00B4636F">
      <w:pPr>
        <w:ind w:left="720"/>
        <w:rPr>
          <w:rFonts w:ascii="Arial" w:hAnsi="Arial"/>
          <w:sz w:val="24"/>
          <w:lang w:val="fr-CA"/>
        </w:rPr>
      </w:pPr>
    </w:p>
    <w:p w:rsidR="00B4636F" w:rsidRPr="00B66FB5" w:rsidRDefault="00DF2577">
      <w:pPr>
        <w:numPr>
          <w:ilvl w:val="1"/>
          <w:numId w:val="1"/>
        </w:numPr>
        <w:rPr>
          <w:rFonts w:ascii="Arial" w:hAnsi="Arial"/>
          <w:sz w:val="24"/>
          <w:lang w:val="fr-CA"/>
        </w:rPr>
      </w:pPr>
      <w:r w:rsidRPr="00DF2577">
        <w:rPr>
          <w:rFonts w:ascii="Arial" w:hAnsi="Arial"/>
          <w:spacing w:val="-2"/>
          <w:sz w:val="24"/>
          <w:lang w:val="fr-CA"/>
        </w:rPr>
        <w:t>Pour confirmer la spécificité et la réactivité des cartes anti-IgG MTS, on recommande de tester chaque lot à chaque jour d’utilisation avec des échantillons d’anticorps positifs et négatifs connus et les globules rouges appropriés. Il doit y avoir réactivité uniquement avec les échantillons positifs.</w:t>
      </w:r>
      <w:r>
        <w:rPr>
          <w:rFonts w:ascii="Arial" w:hAnsi="Arial"/>
          <w:spacing w:val="-2"/>
          <w:sz w:val="24"/>
          <w:lang w:val="fr-CA"/>
        </w:rPr>
        <w:t xml:space="preserve"> </w:t>
      </w:r>
    </w:p>
    <w:p w:rsidR="00B66FB5" w:rsidRPr="00B66FB5" w:rsidRDefault="00B66FB5" w:rsidP="00B66FB5">
      <w:pPr>
        <w:ind w:left="1440"/>
        <w:rPr>
          <w:rFonts w:ascii="Arial" w:hAnsi="Arial"/>
          <w:sz w:val="24"/>
          <w:lang w:val="fr-CA"/>
        </w:rPr>
      </w:pPr>
    </w:p>
    <w:p w:rsidR="00B66FB5" w:rsidRDefault="00B66FB5" w:rsidP="00B66FB5">
      <w:pPr>
        <w:numPr>
          <w:ilvl w:val="1"/>
          <w:numId w:val="1"/>
        </w:numPr>
        <w:rPr>
          <w:rFonts w:ascii="Arial" w:hAnsi="Arial"/>
          <w:sz w:val="24"/>
          <w:lang w:val="fr-CA"/>
        </w:rPr>
      </w:pPr>
      <w:r>
        <w:rPr>
          <w:rFonts w:ascii="Arial" w:hAnsi="Arial"/>
          <w:sz w:val="24"/>
          <w:lang w:val="fr-CA"/>
        </w:rPr>
        <w:t>Ne pas congeler ni exposer les cartes à une chaleur excessive. Entreposer en position verticale entre 2 °C et 25 °C. Si les cartes n’ont pas été entreposées en position verticale, il faut les centrifuger avant l’utilisation.</w:t>
      </w:r>
    </w:p>
    <w:p w:rsidR="00B66FB5" w:rsidRDefault="00B66FB5" w:rsidP="00B66FB5">
      <w:pPr>
        <w:rPr>
          <w:rFonts w:ascii="Arial" w:hAnsi="Arial"/>
          <w:sz w:val="24"/>
          <w:lang w:val="fr-CA"/>
        </w:rPr>
      </w:pPr>
    </w:p>
    <w:p w:rsidR="00B66FB5" w:rsidRDefault="00B66FB5" w:rsidP="00B66FB5">
      <w:pPr>
        <w:numPr>
          <w:ilvl w:val="1"/>
          <w:numId w:val="1"/>
        </w:numPr>
        <w:rPr>
          <w:rFonts w:ascii="Arial" w:hAnsi="Arial"/>
          <w:sz w:val="24"/>
          <w:lang w:val="fr-CA"/>
        </w:rPr>
      </w:pPr>
      <w:r>
        <w:rPr>
          <w:rFonts w:ascii="Arial" w:hAnsi="Arial"/>
          <w:sz w:val="24"/>
          <w:lang w:val="fr-CA"/>
        </w:rPr>
        <w:t xml:space="preserve">Ne pas utiliser les cartes qui présentent des signes de dessiccation. Il doit y avoir une couche liquide par-dessus le gel dans chaque microtube. </w:t>
      </w:r>
    </w:p>
    <w:p w:rsidR="00B66FB5" w:rsidRDefault="00B66FB5" w:rsidP="00B66FB5">
      <w:pPr>
        <w:rPr>
          <w:rFonts w:ascii="Arial" w:hAnsi="Arial"/>
          <w:sz w:val="24"/>
          <w:lang w:val="fr-CA"/>
        </w:rPr>
      </w:pPr>
    </w:p>
    <w:p w:rsidR="00B66FB5" w:rsidRDefault="00B66FB5" w:rsidP="00B66FB5">
      <w:pPr>
        <w:numPr>
          <w:ilvl w:val="1"/>
          <w:numId w:val="1"/>
        </w:numPr>
        <w:rPr>
          <w:rFonts w:ascii="Arial" w:hAnsi="Arial"/>
          <w:sz w:val="24"/>
          <w:lang w:val="fr-CA"/>
        </w:rPr>
      </w:pPr>
      <w:r>
        <w:rPr>
          <w:rFonts w:ascii="Arial" w:hAnsi="Arial"/>
          <w:sz w:val="24"/>
          <w:lang w:val="fr-CA"/>
        </w:rPr>
        <w:t>Ne pas utiliser les cartes en cas de décoloration ou de présence de bulles ou de cristaux dans les microtubes.</w:t>
      </w:r>
    </w:p>
    <w:p w:rsidR="00B66FB5" w:rsidRDefault="00B66FB5" w:rsidP="00B66FB5">
      <w:pPr>
        <w:rPr>
          <w:rFonts w:ascii="Arial" w:hAnsi="Arial"/>
          <w:sz w:val="24"/>
          <w:lang w:val="fr-CA"/>
        </w:rPr>
      </w:pPr>
    </w:p>
    <w:p w:rsidR="00B66FB5" w:rsidRDefault="00B66FB5" w:rsidP="00B66FB5">
      <w:pPr>
        <w:numPr>
          <w:ilvl w:val="1"/>
          <w:numId w:val="1"/>
        </w:numPr>
        <w:rPr>
          <w:rFonts w:ascii="Arial" w:hAnsi="Arial"/>
          <w:sz w:val="24"/>
          <w:lang w:val="fr-CA"/>
        </w:rPr>
      </w:pPr>
      <w:r>
        <w:rPr>
          <w:rFonts w:ascii="Arial" w:hAnsi="Arial"/>
          <w:sz w:val="24"/>
          <w:lang w:val="fr-CA"/>
        </w:rPr>
        <w:t xml:space="preserve">Ne pas utiliser les cartes de microtubes si l’opercule du microtube semble endommagé ou ouvert. </w:t>
      </w:r>
    </w:p>
    <w:p w:rsidR="00B66FB5" w:rsidRDefault="00B66FB5" w:rsidP="00B66FB5">
      <w:pPr>
        <w:ind w:left="720" w:firstLine="720"/>
        <w:rPr>
          <w:rFonts w:ascii="Arial" w:hAnsi="Arial"/>
          <w:sz w:val="24"/>
          <w:lang w:val="fr-CA"/>
        </w:rPr>
      </w:pPr>
    </w:p>
    <w:p w:rsidR="00B66FB5" w:rsidRDefault="00B66FB5" w:rsidP="00B66FB5">
      <w:pPr>
        <w:numPr>
          <w:ilvl w:val="1"/>
          <w:numId w:val="1"/>
        </w:numPr>
        <w:rPr>
          <w:rFonts w:ascii="Arial" w:hAnsi="Arial"/>
          <w:sz w:val="24"/>
          <w:lang w:val="fr-CA"/>
        </w:rPr>
      </w:pPr>
      <w:r>
        <w:rPr>
          <w:rFonts w:ascii="Arial" w:hAnsi="Arial"/>
          <w:sz w:val="24"/>
          <w:lang w:val="fr-CA"/>
        </w:rPr>
        <w:t>Enlever l’opercule en aluminium des microtubes juste avant leur utilisation.</w:t>
      </w:r>
    </w:p>
    <w:p w:rsidR="00B66FB5" w:rsidRDefault="00B66FB5" w:rsidP="00B66FB5">
      <w:pPr>
        <w:ind w:left="1418" w:hanging="698"/>
        <w:rPr>
          <w:rFonts w:ascii="Arial" w:hAnsi="Arial"/>
          <w:sz w:val="22"/>
          <w:lang w:val="fr-CA"/>
        </w:rPr>
      </w:pPr>
      <w:r>
        <w:rPr>
          <w:rFonts w:ascii="Arial" w:hAnsi="Arial"/>
          <w:sz w:val="24"/>
          <w:lang w:val="fr-CA"/>
        </w:rPr>
        <w:tab/>
      </w:r>
    </w:p>
    <w:p w:rsidR="00B66FB5" w:rsidRDefault="00B66FB5" w:rsidP="00B66FB5">
      <w:pPr>
        <w:numPr>
          <w:ilvl w:val="1"/>
          <w:numId w:val="1"/>
        </w:numPr>
        <w:rPr>
          <w:rFonts w:ascii="Arial" w:hAnsi="Arial"/>
          <w:sz w:val="24"/>
          <w:lang w:val="fr-CA"/>
        </w:rPr>
      </w:pPr>
      <w:r>
        <w:rPr>
          <w:rFonts w:ascii="Arial" w:hAnsi="Arial"/>
          <w:sz w:val="24"/>
          <w:lang w:val="fr-CA"/>
        </w:rPr>
        <w:t>Il faut inspecter à l’œil nu le MTS Diluent 2 Plus</w:t>
      </w:r>
      <w:r>
        <w:rPr>
          <w:rFonts w:ascii="Arial" w:hAnsi="Arial"/>
          <w:sz w:val="24"/>
          <w:vertAlign w:val="superscript"/>
          <w:lang w:val="fr-CA"/>
        </w:rPr>
        <w:t>MC</w:t>
      </w:r>
      <w:r>
        <w:rPr>
          <w:rFonts w:ascii="Arial" w:hAnsi="Arial"/>
          <w:sz w:val="24"/>
          <w:lang w:val="fr-CA"/>
        </w:rPr>
        <w:t xml:space="preserve"> pour s’assurer qu’il n’y a ni décoloration, ni turbidité, ni autre signe de contamination bactérienne. </w:t>
      </w:r>
      <w:r w:rsidRPr="00CA6B76">
        <w:rPr>
          <w:rFonts w:ascii="Arial" w:hAnsi="Arial"/>
          <w:sz w:val="24"/>
          <w:lang w:val="fr-CA"/>
        </w:rPr>
        <w:t>Les globules rouges doivent être en suspension dans le MTS Diluent</w:t>
      </w:r>
      <w:r>
        <w:rPr>
          <w:rFonts w:ascii="Arial" w:hAnsi="Arial"/>
          <w:sz w:val="24"/>
          <w:lang w:val="fr-CA"/>
        </w:rPr>
        <w:t> </w:t>
      </w:r>
      <w:r w:rsidRPr="00CA6B76">
        <w:rPr>
          <w:rFonts w:ascii="Arial" w:hAnsi="Arial"/>
          <w:sz w:val="24"/>
          <w:lang w:val="fr-CA"/>
        </w:rPr>
        <w:t>2 Plus</w:t>
      </w:r>
      <w:r w:rsidRPr="00CA6B76">
        <w:rPr>
          <w:rFonts w:ascii="Arial" w:hAnsi="Arial"/>
          <w:sz w:val="24"/>
          <w:vertAlign w:val="superscript"/>
          <w:lang w:val="fr-CA"/>
        </w:rPr>
        <w:t>MC</w:t>
      </w:r>
      <w:r w:rsidRPr="00CA6B76">
        <w:rPr>
          <w:rFonts w:ascii="Arial" w:hAnsi="Arial"/>
          <w:sz w:val="24"/>
          <w:lang w:val="fr-CA"/>
        </w:rPr>
        <w:t>; il peut aussi s’agir de globules rouges commerciaux à 0,8 % dans une solution à faible concentration ionique dont l’usage avec le système ID-Micro Typing</w:t>
      </w:r>
      <w:r w:rsidRPr="00CA6B76">
        <w:rPr>
          <w:rFonts w:ascii="Arial" w:hAnsi="Arial"/>
          <w:sz w:val="24"/>
          <w:vertAlign w:val="superscript"/>
          <w:lang w:val="fr-CA"/>
        </w:rPr>
        <w:t>MC</w:t>
      </w:r>
      <w:r w:rsidRPr="00CA6B76">
        <w:rPr>
          <w:rFonts w:ascii="Arial" w:hAnsi="Arial"/>
          <w:sz w:val="24"/>
          <w:lang w:val="fr-CA"/>
        </w:rPr>
        <w:t xml:space="preserve"> est approu</w:t>
      </w:r>
      <w:r>
        <w:rPr>
          <w:rFonts w:ascii="Arial" w:hAnsi="Arial"/>
          <w:sz w:val="24"/>
          <w:lang w:val="fr-CA"/>
        </w:rPr>
        <w:t>vé.</w:t>
      </w:r>
    </w:p>
    <w:p w:rsidR="00B66FB5" w:rsidRPr="00DF2577" w:rsidRDefault="00B66FB5" w:rsidP="00B66FB5">
      <w:pPr>
        <w:ind w:left="1440"/>
        <w:rPr>
          <w:rFonts w:ascii="Arial" w:hAnsi="Arial"/>
          <w:sz w:val="24"/>
          <w:lang w:val="fr-CA"/>
        </w:rPr>
      </w:pPr>
    </w:p>
    <w:p w:rsidR="00B4636F" w:rsidRPr="003D7739" w:rsidRDefault="00DF2577" w:rsidP="00B66FB5">
      <w:pPr>
        <w:numPr>
          <w:ilvl w:val="1"/>
          <w:numId w:val="1"/>
        </w:numPr>
        <w:rPr>
          <w:rFonts w:ascii="Arial" w:hAnsi="Arial"/>
          <w:sz w:val="24"/>
          <w:lang w:val="fr-CA"/>
        </w:rPr>
      </w:pPr>
      <w:r>
        <w:rPr>
          <w:rFonts w:ascii="Arial" w:hAnsi="Arial"/>
          <w:spacing w:val="-2"/>
          <w:sz w:val="24"/>
          <w:lang w:val="fr-CA"/>
        </w:rPr>
        <w:t>L</w:t>
      </w:r>
      <w:r w:rsidRPr="00DF2577">
        <w:rPr>
          <w:rFonts w:ascii="Arial" w:hAnsi="Arial"/>
          <w:spacing w:val="-2"/>
          <w:sz w:val="24"/>
          <w:lang w:val="fr-CA"/>
        </w:rPr>
        <w:t>e fabricant recommande de faire la lecture des épreuves immédiatement après la centrifugation. La dessiccation du gel, l</w:t>
      </w:r>
      <w:r w:rsidR="001F2B03">
        <w:rPr>
          <w:rFonts w:ascii="Arial" w:hAnsi="Arial"/>
          <w:spacing w:val="-2"/>
          <w:sz w:val="24"/>
          <w:lang w:val="fr-CA"/>
        </w:rPr>
        <w:t>’</w:t>
      </w:r>
      <w:r w:rsidRPr="00DF2577">
        <w:rPr>
          <w:rFonts w:ascii="Arial" w:hAnsi="Arial"/>
          <w:spacing w:val="-2"/>
          <w:sz w:val="24"/>
          <w:lang w:val="fr-CA"/>
        </w:rPr>
        <w:t>hémolyse des globules rouges et l</w:t>
      </w:r>
      <w:r w:rsidR="001F2B03">
        <w:rPr>
          <w:rFonts w:ascii="Arial" w:hAnsi="Arial"/>
          <w:spacing w:val="-2"/>
          <w:sz w:val="24"/>
          <w:lang w:val="fr-CA"/>
        </w:rPr>
        <w:t>’</w:t>
      </w:r>
      <w:r w:rsidRPr="00DF2577">
        <w:rPr>
          <w:rFonts w:ascii="Arial" w:hAnsi="Arial"/>
          <w:spacing w:val="-2"/>
          <w:sz w:val="24"/>
          <w:lang w:val="fr-CA"/>
        </w:rPr>
        <w:t>inclinaison des motifs de réactions due à un entreposage autre qu</w:t>
      </w:r>
      <w:r w:rsidR="001F2B03">
        <w:rPr>
          <w:rFonts w:ascii="Arial" w:hAnsi="Arial"/>
          <w:spacing w:val="-2"/>
          <w:sz w:val="24"/>
          <w:lang w:val="fr-CA"/>
        </w:rPr>
        <w:t>’</w:t>
      </w:r>
      <w:r w:rsidRPr="00DF2577">
        <w:rPr>
          <w:rFonts w:ascii="Arial" w:hAnsi="Arial"/>
          <w:spacing w:val="-2"/>
          <w:sz w:val="24"/>
          <w:lang w:val="fr-CA"/>
        </w:rPr>
        <w:t xml:space="preserve">à la verticale peuvent modifier les résultats. </w:t>
      </w:r>
    </w:p>
    <w:p w:rsidR="00B4636F" w:rsidRPr="003D7739" w:rsidRDefault="00B4636F">
      <w:pPr>
        <w:rPr>
          <w:rFonts w:ascii="Arial" w:hAnsi="Arial"/>
          <w:sz w:val="24"/>
          <w:lang w:val="fr-CA"/>
        </w:rPr>
      </w:pPr>
    </w:p>
    <w:p w:rsidR="00B4636F" w:rsidRPr="003D7739" w:rsidRDefault="00B4636F">
      <w:pPr>
        <w:rPr>
          <w:rFonts w:ascii="Arial" w:hAnsi="Arial"/>
          <w:sz w:val="24"/>
          <w:lang w:val="fr-CA"/>
        </w:rPr>
      </w:pPr>
    </w:p>
    <w:p w:rsidR="00B4636F" w:rsidRPr="003D7739" w:rsidRDefault="00B4636F">
      <w:pPr>
        <w:numPr>
          <w:ilvl w:val="0"/>
          <w:numId w:val="1"/>
        </w:numPr>
        <w:rPr>
          <w:rFonts w:ascii="Arial" w:hAnsi="Arial"/>
          <w:b/>
          <w:sz w:val="28"/>
          <w:lang w:val="fr-CA"/>
        </w:rPr>
      </w:pPr>
      <w:r w:rsidRPr="003D7739">
        <w:rPr>
          <w:rFonts w:ascii="Arial" w:hAnsi="Arial"/>
          <w:b/>
          <w:sz w:val="28"/>
          <w:lang w:val="fr-CA"/>
        </w:rPr>
        <w:t>Proc</w:t>
      </w:r>
      <w:r w:rsidR="00DF2577">
        <w:rPr>
          <w:rFonts w:ascii="Arial" w:hAnsi="Arial"/>
          <w:b/>
          <w:sz w:val="28"/>
          <w:lang w:val="fr-CA"/>
        </w:rPr>
        <w:t>é</w:t>
      </w:r>
      <w:r w:rsidRPr="003D7739">
        <w:rPr>
          <w:rFonts w:ascii="Arial" w:hAnsi="Arial"/>
          <w:b/>
          <w:sz w:val="28"/>
          <w:lang w:val="fr-CA"/>
        </w:rPr>
        <w:t>dures</w:t>
      </w:r>
    </w:p>
    <w:p w:rsidR="00B4636F" w:rsidRPr="003D7739" w:rsidRDefault="00B4636F">
      <w:pPr>
        <w:rPr>
          <w:rFonts w:ascii="Arial" w:hAnsi="Arial"/>
          <w:sz w:val="24"/>
          <w:lang w:val="fr-CA"/>
        </w:rPr>
      </w:pPr>
    </w:p>
    <w:p w:rsidR="00B4636F" w:rsidRPr="0050719B" w:rsidRDefault="003B473F">
      <w:pPr>
        <w:numPr>
          <w:ilvl w:val="1"/>
          <w:numId w:val="1"/>
        </w:numPr>
        <w:rPr>
          <w:rFonts w:ascii="Arial" w:hAnsi="Arial"/>
          <w:sz w:val="24"/>
          <w:lang w:val="fr-CA"/>
        </w:rPr>
      </w:pPr>
      <w:r w:rsidRPr="003B473F">
        <w:rPr>
          <w:rFonts w:ascii="Arial" w:hAnsi="Arial"/>
          <w:spacing w:val="-2"/>
          <w:sz w:val="24"/>
          <w:lang w:val="fr-CA"/>
        </w:rPr>
        <w:t xml:space="preserve">Préparation des cellules de donneur à </w:t>
      </w:r>
      <w:r w:rsidR="00B4636F" w:rsidRPr="003B473F">
        <w:rPr>
          <w:rFonts w:ascii="Arial" w:hAnsi="Arial"/>
          <w:spacing w:val="-2"/>
          <w:sz w:val="24"/>
          <w:lang w:val="fr-CA"/>
        </w:rPr>
        <w:t>0</w:t>
      </w:r>
      <w:r w:rsidRPr="003B473F">
        <w:rPr>
          <w:rFonts w:ascii="Arial" w:hAnsi="Arial"/>
          <w:spacing w:val="-2"/>
          <w:sz w:val="24"/>
          <w:lang w:val="fr-CA"/>
        </w:rPr>
        <w:t>,</w:t>
      </w:r>
      <w:r w:rsidR="00B4636F" w:rsidRPr="003B473F">
        <w:rPr>
          <w:rFonts w:ascii="Arial" w:hAnsi="Arial"/>
          <w:spacing w:val="-2"/>
          <w:sz w:val="24"/>
          <w:lang w:val="fr-CA"/>
        </w:rPr>
        <w:t>8</w:t>
      </w:r>
      <w:r w:rsidRPr="003B473F">
        <w:rPr>
          <w:rFonts w:ascii="Arial" w:hAnsi="Arial"/>
          <w:spacing w:val="-2"/>
          <w:sz w:val="24"/>
          <w:lang w:val="fr-CA"/>
        </w:rPr>
        <w:t> </w:t>
      </w:r>
      <w:r w:rsidR="00B4636F" w:rsidRPr="003B473F">
        <w:rPr>
          <w:rFonts w:ascii="Arial" w:hAnsi="Arial"/>
          <w:spacing w:val="-2"/>
          <w:sz w:val="24"/>
          <w:lang w:val="fr-CA"/>
        </w:rPr>
        <w:t>%</w:t>
      </w:r>
      <w:r w:rsidRPr="003B473F">
        <w:rPr>
          <w:rFonts w:ascii="Arial" w:hAnsi="Arial"/>
          <w:spacing w:val="-2"/>
          <w:sz w:val="24"/>
          <w:lang w:val="fr-CA"/>
        </w:rPr>
        <w:t xml:space="preserve">, à l’aide de globules rouges concentrés de segments d’unités de donneur ou de </w:t>
      </w:r>
      <w:r w:rsidRPr="0050719B">
        <w:rPr>
          <w:rFonts w:ascii="Arial" w:hAnsi="Arial"/>
          <w:spacing w:val="-2"/>
          <w:sz w:val="24"/>
          <w:lang w:val="fr-CA"/>
        </w:rPr>
        <w:t>tubes pilotes</w:t>
      </w:r>
      <w:r w:rsidR="00B4636F" w:rsidRPr="0050719B">
        <w:rPr>
          <w:rFonts w:ascii="Arial" w:hAnsi="Arial"/>
          <w:spacing w:val="-2"/>
          <w:sz w:val="24"/>
          <w:lang w:val="fr-CA"/>
        </w:rPr>
        <w:t>.</w:t>
      </w:r>
    </w:p>
    <w:p w:rsidR="00B4636F" w:rsidRPr="003D7739" w:rsidRDefault="00B4636F">
      <w:pPr>
        <w:ind w:left="720"/>
        <w:rPr>
          <w:rFonts w:ascii="Arial" w:hAnsi="Arial"/>
          <w:sz w:val="24"/>
          <w:lang w:val="fr-CA"/>
        </w:rPr>
      </w:pPr>
    </w:p>
    <w:p w:rsidR="00B4636F" w:rsidRPr="003B473F" w:rsidRDefault="003B473F">
      <w:pPr>
        <w:numPr>
          <w:ilvl w:val="2"/>
          <w:numId w:val="1"/>
        </w:numPr>
        <w:rPr>
          <w:rFonts w:ascii="Arial" w:hAnsi="Arial"/>
          <w:sz w:val="24"/>
          <w:lang w:val="fr-CA"/>
        </w:rPr>
      </w:pPr>
      <w:r w:rsidRPr="003B473F">
        <w:rPr>
          <w:rFonts w:ascii="Arial" w:hAnsi="Arial"/>
          <w:spacing w:val="-2"/>
          <w:sz w:val="24"/>
          <w:lang w:val="fr-CA"/>
        </w:rPr>
        <w:t>Étiqueter un tube pour chaque donneur à tester.</w:t>
      </w:r>
    </w:p>
    <w:p w:rsidR="00B4636F" w:rsidRPr="003B473F" w:rsidRDefault="003B473F">
      <w:pPr>
        <w:numPr>
          <w:ilvl w:val="2"/>
          <w:numId w:val="1"/>
        </w:numPr>
        <w:rPr>
          <w:rFonts w:ascii="Arial" w:hAnsi="Arial"/>
          <w:sz w:val="24"/>
          <w:lang w:val="fr-CA"/>
        </w:rPr>
      </w:pPr>
      <w:r w:rsidRPr="003B473F">
        <w:rPr>
          <w:rFonts w:ascii="Arial" w:hAnsi="Arial"/>
          <w:spacing w:val="-2"/>
          <w:sz w:val="24"/>
          <w:lang w:val="fr-CA"/>
        </w:rPr>
        <w:t xml:space="preserve">Mettre </w:t>
      </w:r>
      <w:r w:rsidR="00B4636F" w:rsidRPr="003B473F">
        <w:rPr>
          <w:rFonts w:ascii="Arial" w:hAnsi="Arial"/>
          <w:spacing w:val="-2"/>
          <w:sz w:val="24"/>
          <w:lang w:val="fr-CA"/>
        </w:rPr>
        <w:t>1</w:t>
      </w:r>
      <w:r w:rsidRPr="003B473F">
        <w:rPr>
          <w:rFonts w:ascii="Arial" w:hAnsi="Arial"/>
          <w:spacing w:val="-2"/>
          <w:sz w:val="24"/>
          <w:lang w:val="fr-CA"/>
        </w:rPr>
        <w:t>,</w:t>
      </w:r>
      <w:r w:rsidR="00B4636F" w:rsidRPr="003B473F">
        <w:rPr>
          <w:rFonts w:ascii="Arial" w:hAnsi="Arial"/>
          <w:spacing w:val="-2"/>
          <w:sz w:val="24"/>
          <w:lang w:val="fr-CA"/>
        </w:rPr>
        <w:t>0</w:t>
      </w:r>
      <w:r w:rsidR="001F2B03">
        <w:rPr>
          <w:rFonts w:ascii="Arial" w:hAnsi="Arial"/>
          <w:spacing w:val="-2"/>
          <w:sz w:val="24"/>
          <w:lang w:val="fr-CA"/>
        </w:rPr>
        <w:t> </w:t>
      </w:r>
      <w:r w:rsidR="00B4636F" w:rsidRPr="003B473F">
        <w:rPr>
          <w:rFonts w:ascii="Arial" w:hAnsi="Arial"/>
          <w:spacing w:val="-2"/>
          <w:sz w:val="24"/>
          <w:lang w:val="fr-CA"/>
        </w:rPr>
        <w:t xml:space="preserve">mL </w:t>
      </w:r>
      <w:r w:rsidRPr="003B473F">
        <w:rPr>
          <w:rFonts w:ascii="Arial" w:hAnsi="Arial"/>
          <w:spacing w:val="-2"/>
          <w:sz w:val="24"/>
          <w:lang w:val="fr-CA"/>
        </w:rPr>
        <w:t xml:space="preserve">de </w:t>
      </w:r>
      <w:r w:rsidR="00B4636F" w:rsidRPr="003B473F">
        <w:rPr>
          <w:rFonts w:ascii="Arial" w:hAnsi="Arial"/>
          <w:spacing w:val="-2"/>
          <w:sz w:val="24"/>
          <w:lang w:val="fr-CA"/>
        </w:rPr>
        <w:t>Diluent</w:t>
      </w:r>
      <w:r w:rsidR="001F2B03">
        <w:rPr>
          <w:rFonts w:ascii="Arial" w:hAnsi="Arial"/>
          <w:spacing w:val="-2"/>
          <w:sz w:val="24"/>
          <w:lang w:val="fr-CA"/>
        </w:rPr>
        <w:t> </w:t>
      </w:r>
      <w:r w:rsidR="00B4636F" w:rsidRPr="003B473F">
        <w:rPr>
          <w:rFonts w:ascii="Arial" w:hAnsi="Arial"/>
          <w:spacing w:val="-2"/>
          <w:sz w:val="24"/>
          <w:lang w:val="fr-CA"/>
        </w:rPr>
        <w:t xml:space="preserve">2 </w:t>
      </w:r>
      <w:r w:rsidRPr="003B473F">
        <w:rPr>
          <w:rFonts w:ascii="Arial" w:hAnsi="Arial"/>
          <w:spacing w:val="-2"/>
          <w:sz w:val="24"/>
          <w:lang w:val="fr-CA"/>
        </w:rPr>
        <w:t>de MTS dans le ou les tubes étiquetés</w:t>
      </w:r>
      <w:r w:rsidR="00B4636F" w:rsidRPr="003B473F">
        <w:rPr>
          <w:rFonts w:ascii="Arial" w:hAnsi="Arial"/>
          <w:spacing w:val="-2"/>
          <w:sz w:val="24"/>
          <w:lang w:val="fr-CA"/>
        </w:rPr>
        <w:t xml:space="preserve">. </w:t>
      </w:r>
      <w:r w:rsidRPr="003B473F">
        <w:rPr>
          <w:rFonts w:ascii="Arial" w:hAnsi="Arial"/>
          <w:spacing w:val="-2"/>
          <w:sz w:val="24"/>
          <w:lang w:val="fr-CA"/>
        </w:rPr>
        <w:t>Ajouter 1</w:t>
      </w:r>
      <w:r w:rsidR="00B4636F" w:rsidRPr="003B473F">
        <w:rPr>
          <w:rFonts w:ascii="Arial" w:hAnsi="Arial"/>
          <w:spacing w:val="-2"/>
          <w:sz w:val="24"/>
          <w:lang w:val="fr-CA"/>
        </w:rPr>
        <w:t>0</w:t>
      </w:r>
      <w:r w:rsidR="001F2B03">
        <w:rPr>
          <w:rFonts w:ascii="Arial" w:hAnsi="Arial"/>
          <w:spacing w:val="-2"/>
          <w:sz w:val="24"/>
          <w:lang w:val="fr-CA"/>
        </w:rPr>
        <w:t> </w:t>
      </w:r>
      <w:r w:rsidR="00B4636F" w:rsidRPr="003B473F">
        <w:rPr>
          <w:rFonts w:ascii="Arial" w:hAnsi="Arial"/>
          <w:spacing w:val="-2"/>
          <w:sz w:val="24"/>
          <w:lang w:val="fr-CA"/>
        </w:rPr>
        <w:t>µL</w:t>
      </w:r>
      <w:r w:rsidR="00E92E64">
        <w:rPr>
          <w:rFonts w:ascii="Arial" w:hAnsi="Arial"/>
          <w:spacing w:val="-2"/>
          <w:sz w:val="24"/>
          <w:lang w:val="fr-CA"/>
        </w:rPr>
        <w:t xml:space="preserve"> </w:t>
      </w:r>
      <w:r w:rsidRPr="003B473F">
        <w:rPr>
          <w:rFonts w:ascii="Arial" w:hAnsi="Arial"/>
          <w:spacing w:val="-2"/>
          <w:sz w:val="24"/>
          <w:lang w:val="fr-CA"/>
        </w:rPr>
        <w:t>de globules rouges concentrés du donneur</w:t>
      </w:r>
      <w:r w:rsidR="00B4636F" w:rsidRPr="003B473F">
        <w:rPr>
          <w:rFonts w:ascii="Arial" w:hAnsi="Arial"/>
          <w:spacing w:val="-2"/>
          <w:sz w:val="24"/>
          <w:lang w:val="fr-CA"/>
        </w:rPr>
        <w:t>.</w:t>
      </w:r>
    </w:p>
    <w:p w:rsidR="00B4636F" w:rsidRPr="003B473F" w:rsidRDefault="00DF2577">
      <w:pPr>
        <w:numPr>
          <w:ilvl w:val="2"/>
          <w:numId w:val="1"/>
        </w:numPr>
        <w:rPr>
          <w:rFonts w:ascii="Arial" w:hAnsi="Arial"/>
          <w:sz w:val="24"/>
          <w:lang w:val="fr-CA"/>
        </w:rPr>
      </w:pPr>
      <w:r w:rsidRPr="003B473F">
        <w:rPr>
          <w:rFonts w:ascii="Arial" w:hAnsi="Arial"/>
          <w:spacing w:val="-2"/>
          <w:sz w:val="24"/>
          <w:lang w:val="fr-CA"/>
        </w:rPr>
        <w:t>Mélanger doucement.</w:t>
      </w:r>
      <w:r w:rsidR="003B473F">
        <w:rPr>
          <w:rFonts w:ascii="Arial" w:hAnsi="Arial"/>
          <w:spacing w:val="-2"/>
          <w:sz w:val="24"/>
          <w:lang w:val="fr-CA"/>
        </w:rPr>
        <w:t xml:space="preserve"> </w:t>
      </w:r>
      <w:r w:rsidR="003B473F" w:rsidRPr="003B473F">
        <w:rPr>
          <w:rFonts w:ascii="Arial" w:hAnsi="Arial"/>
          <w:spacing w:val="-2"/>
          <w:sz w:val="24"/>
          <w:lang w:val="fr-CA"/>
        </w:rPr>
        <w:t>L</w:t>
      </w:r>
      <w:r w:rsidR="007A0421" w:rsidRPr="003B473F">
        <w:rPr>
          <w:rFonts w:ascii="Arial" w:hAnsi="Arial"/>
          <w:spacing w:val="-2"/>
          <w:sz w:val="24"/>
          <w:lang w:val="fr-CA"/>
        </w:rPr>
        <w:t>es suspensions cellulaires finales devraient avoir une concentration d</w:t>
      </w:r>
      <w:r w:rsidR="001F2B03">
        <w:rPr>
          <w:rFonts w:ascii="Arial" w:hAnsi="Arial"/>
          <w:spacing w:val="-2"/>
          <w:sz w:val="24"/>
          <w:lang w:val="fr-CA"/>
        </w:rPr>
        <w:t>’</w:t>
      </w:r>
      <w:r w:rsidR="007A0421" w:rsidRPr="003B473F">
        <w:rPr>
          <w:rFonts w:ascii="Arial" w:hAnsi="Arial"/>
          <w:spacing w:val="-2"/>
          <w:sz w:val="24"/>
          <w:lang w:val="fr-CA"/>
        </w:rPr>
        <w:t>environ 0,8 %; elles sont stables pendant 24 heures.</w:t>
      </w:r>
      <w:r w:rsidR="003B473F">
        <w:rPr>
          <w:rFonts w:ascii="Arial" w:hAnsi="Arial"/>
          <w:spacing w:val="-2"/>
          <w:sz w:val="24"/>
          <w:lang w:val="fr-CA"/>
        </w:rPr>
        <w:t xml:space="preserve"> </w:t>
      </w:r>
      <w:r w:rsidR="007A0421" w:rsidRPr="003B473F">
        <w:rPr>
          <w:rFonts w:ascii="Arial" w:hAnsi="Arial"/>
          <w:spacing w:val="-2"/>
          <w:sz w:val="24"/>
          <w:lang w:val="fr-CA"/>
        </w:rPr>
        <w:t>Pour de meilleurs résultats, la concentration des suspensions d</w:t>
      </w:r>
      <w:r w:rsidR="00E52132">
        <w:rPr>
          <w:rFonts w:ascii="Arial" w:hAnsi="Arial"/>
          <w:spacing w:val="-2"/>
          <w:sz w:val="24"/>
          <w:lang w:val="fr-CA"/>
        </w:rPr>
        <w:t>oit</w:t>
      </w:r>
      <w:r w:rsidR="007A0421" w:rsidRPr="003B473F">
        <w:rPr>
          <w:rFonts w:ascii="Arial" w:hAnsi="Arial"/>
          <w:spacing w:val="-2"/>
          <w:sz w:val="24"/>
          <w:lang w:val="fr-CA"/>
        </w:rPr>
        <w:t xml:space="preserve"> se situer entre 0,6 % et 1,0 %.</w:t>
      </w:r>
    </w:p>
    <w:p w:rsidR="00B4636F" w:rsidRPr="003B473F" w:rsidRDefault="00B4636F">
      <w:pPr>
        <w:rPr>
          <w:rFonts w:ascii="Arial" w:hAnsi="Arial"/>
          <w:sz w:val="24"/>
          <w:lang w:val="fr-CA"/>
        </w:rPr>
      </w:pPr>
    </w:p>
    <w:p w:rsidR="00B4636F" w:rsidRPr="003D7739" w:rsidRDefault="003B473F">
      <w:pPr>
        <w:numPr>
          <w:ilvl w:val="1"/>
          <w:numId w:val="1"/>
        </w:numPr>
        <w:rPr>
          <w:rFonts w:ascii="Arial" w:hAnsi="Arial"/>
          <w:sz w:val="24"/>
          <w:lang w:val="fr-CA"/>
        </w:rPr>
      </w:pPr>
      <w:r w:rsidRPr="003B473F">
        <w:rPr>
          <w:rFonts w:ascii="Arial" w:hAnsi="Arial"/>
          <w:spacing w:val="-2"/>
          <w:sz w:val="24"/>
          <w:lang w:val="fr-CA"/>
        </w:rPr>
        <w:t>Procédure de l’épreuve de c</w:t>
      </w:r>
      <w:r w:rsidR="00B4636F" w:rsidRPr="003B473F">
        <w:rPr>
          <w:rFonts w:ascii="Arial" w:hAnsi="Arial"/>
          <w:spacing w:val="-2"/>
          <w:sz w:val="24"/>
          <w:lang w:val="fr-CA"/>
        </w:rPr>
        <w:t>ompatibilit</w:t>
      </w:r>
      <w:r w:rsidRPr="003B473F">
        <w:rPr>
          <w:rFonts w:ascii="Arial" w:hAnsi="Arial"/>
          <w:spacing w:val="-2"/>
          <w:sz w:val="24"/>
          <w:lang w:val="fr-CA"/>
        </w:rPr>
        <w:t>é</w:t>
      </w:r>
    </w:p>
    <w:p w:rsidR="00B4636F" w:rsidRPr="003D7739" w:rsidRDefault="00B4636F">
      <w:pPr>
        <w:rPr>
          <w:rFonts w:ascii="Arial" w:hAnsi="Arial"/>
          <w:sz w:val="24"/>
          <w:lang w:val="fr-CA"/>
        </w:rPr>
      </w:pPr>
    </w:p>
    <w:p w:rsidR="00B4636F" w:rsidRPr="003B473F" w:rsidRDefault="007A0421">
      <w:pPr>
        <w:numPr>
          <w:ilvl w:val="2"/>
          <w:numId w:val="1"/>
        </w:numPr>
        <w:rPr>
          <w:rFonts w:ascii="Arial" w:hAnsi="Arial"/>
          <w:sz w:val="24"/>
          <w:lang w:val="fr-CA"/>
        </w:rPr>
      </w:pPr>
      <w:r w:rsidRPr="003B473F">
        <w:rPr>
          <w:rFonts w:ascii="Arial" w:hAnsi="Arial"/>
          <w:spacing w:val="-2"/>
          <w:sz w:val="24"/>
          <w:lang w:val="fr-CA"/>
        </w:rPr>
        <w:t>Étiqueter la carte anti-IgG MTS avec les renseignements appropriés concernant l</w:t>
      </w:r>
      <w:r w:rsidR="001F2B03">
        <w:rPr>
          <w:rFonts w:ascii="Arial" w:hAnsi="Arial"/>
          <w:spacing w:val="-2"/>
          <w:sz w:val="24"/>
          <w:lang w:val="fr-CA"/>
        </w:rPr>
        <w:t>’</w:t>
      </w:r>
      <w:r w:rsidRPr="003B473F">
        <w:rPr>
          <w:rFonts w:ascii="Arial" w:hAnsi="Arial"/>
          <w:spacing w:val="-2"/>
          <w:sz w:val="24"/>
          <w:lang w:val="fr-CA"/>
        </w:rPr>
        <w:t>identification du patient et l</w:t>
      </w:r>
      <w:r w:rsidR="001F2B03">
        <w:rPr>
          <w:rFonts w:ascii="Arial" w:hAnsi="Arial"/>
          <w:spacing w:val="-2"/>
          <w:sz w:val="24"/>
          <w:lang w:val="fr-CA"/>
        </w:rPr>
        <w:t>’</w:t>
      </w:r>
      <w:r w:rsidRPr="003B473F">
        <w:rPr>
          <w:rFonts w:ascii="Arial" w:hAnsi="Arial"/>
          <w:spacing w:val="-2"/>
          <w:sz w:val="24"/>
          <w:lang w:val="fr-CA"/>
        </w:rPr>
        <w:t>épreuve.</w:t>
      </w:r>
    </w:p>
    <w:p w:rsidR="00B4636F" w:rsidRPr="003B473F" w:rsidRDefault="007A0421">
      <w:pPr>
        <w:numPr>
          <w:ilvl w:val="2"/>
          <w:numId w:val="1"/>
        </w:numPr>
        <w:rPr>
          <w:rFonts w:ascii="Arial" w:hAnsi="Arial"/>
          <w:sz w:val="24"/>
          <w:lang w:val="fr-CA"/>
        </w:rPr>
      </w:pPr>
      <w:r w:rsidRPr="003B473F">
        <w:rPr>
          <w:rFonts w:ascii="Arial" w:hAnsi="Arial"/>
          <w:spacing w:val="-2"/>
          <w:sz w:val="24"/>
          <w:lang w:val="fr-CA"/>
        </w:rPr>
        <w:t>Enlever l</w:t>
      </w:r>
      <w:r w:rsidR="001F2B03">
        <w:rPr>
          <w:rFonts w:ascii="Arial" w:hAnsi="Arial"/>
          <w:spacing w:val="-2"/>
          <w:sz w:val="24"/>
          <w:lang w:val="fr-CA"/>
        </w:rPr>
        <w:t>’</w:t>
      </w:r>
      <w:r w:rsidRPr="003B473F">
        <w:rPr>
          <w:rFonts w:ascii="Arial" w:hAnsi="Arial"/>
          <w:spacing w:val="-2"/>
          <w:sz w:val="24"/>
          <w:lang w:val="fr-CA"/>
        </w:rPr>
        <w:t>opercule en aluminium des microtubes à utiliser.</w:t>
      </w:r>
    </w:p>
    <w:p w:rsidR="007C227F" w:rsidRDefault="007C227F" w:rsidP="007C227F">
      <w:pPr>
        <w:tabs>
          <w:tab w:val="left" w:pos="-720"/>
          <w:tab w:val="left" w:pos="0"/>
          <w:tab w:val="left" w:pos="720"/>
        </w:tabs>
        <w:suppressAutoHyphens/>
        <w:ind w:left="2160"/>
        <w:rPr>
          <w:rFonts w:ascii="Arial" w:hAnsi="Arial"/>
          <w:spacing w:val="-2"/>
          <w:sz w:val="24"/>
          <w:lang w:val="fr-CA"/>
        </w:rPr>
      </w:pPr>
      <w:r>
        <w:rPr>
          <w:rFonts w:ascii="Arial" w:hAnsi="Arial"/>
          <w:b/>
          <w:spacing w:val="-2"/>
          <w:sz w:val="24"/>
          <w:lang w:val="fr-CA"/>
        </w:rPr>
        <w:t>Re</w:t>
      </w:r>
      <w:r w:rsidRPr="00184F31">
        <w:rPr>
          <w:rFonts w:ascii="Arial" w:hAnsi="Arial"/>
          <w:b/>
          <w:spacing w:val="-2"/>
          <w:sz w:val="24"/>
          <w:lang w:val="fr-CA"/>
        </w:rPr>
        <w:t>marque</w:t>
      </w:r>
      <w:r w:rsidRPr="0038636F">
        <w:rPr>
          <w:rFonts w:ascii="Arial" w:hAnsi="Arial"/>
          <w:spacing w:val="-2"/>
          <w:sz w:val="24"/>
          <w:lang w:val="fr-CA"/>
        </w:rPr>
        <w:t xml:space="preserve"> : </w:t>
      </w:r>
      <w:r w:rsidRPr="0055014C">
        <w:rPr>
          <w:rFonts w:ascii="Arial" w:hAnsi="Arial"/>
          <w:spacing w:val="-2"/>
          <w:sz w:val="24"/>
          <w:lang w:val="fr-CA"/>
        </w:rPr>
        <w:t>l’opercule doit être retiré juste avant le test ou dans l’heure qui le précède. Une fois l’aluminium retiré, le gel peut commencer à sécher, ce qui affecterait les résultats. On doit s’assurer qu’il ne reste aucun morceau d’aluminium obstruant l’ouverture d’un microtube</w:t>
      </w:r>
    </w:p>
    <w:p w:rsidR="00B4636F" w:rsidRPr="003B473F" w:rsidRDefault="003B473F">
      <w:pPr>
        <w:numPr>
          <w:ilvl w:val="2"/>
          <w:numId w:val="1"/>
        </w:numPr>
        <w:rPr>
          <w:rFonts w:ascii="Arial" w:hAnsi="Arial"/>
          <w:sz w:val="24"/>
          <w:lang w:val="fr-CA"/>
        </w:rPr>
      </w:pPr>
      <w:r w:rsidRPr="003B473F">
        <w:rPr>
          <w:rFonts w:ascii="Arial" w:hAnsi="Arial"/>
          <w:spacing w:val="-2"/>
          <w:sz w:val="24"/>
          <w:lang w:val="fr-CA"/>
        </w:rPr>
        <w:t>À l’aide d’une pipette appropriée,</w:t>
      </w:r>
      <w:r w:rsidR="00B4636F" w:rsidRPr="003B473F">
        <w:rPr>
          <w:rFonts w:ascii="Arial" w:hAnsi="Arial"/>
          <w:spacing w:val="-2"/>
          <w:sz w:val="24"/>
          <w:lang w:val="fr-CA"/>
        </w:rPr>
        <w:t xml:space="preserve"> </w:t>
      </w:r>
      <w:r w:rsidRPr="003B473F">
        <w:rPr>
          <w:rFonts w:ascii="Arial" w:hAnsi="Arial"/>
          <w:spacing w:val="-2"/>
          <w:sz w:val="24"/>
          <w:lang w:val="fr-CA"/>
        </w:rPr>
        <w:t xml:space="preserve">ajouter </w:t>
      </w:r>
      <w:r w:rsidR="00B4636F" w:rsidRPr="003B473F">
        <w:rPr>
          <w:rFonts w:ascii="Arial" w:hAnsi="Arial"/>
          <w:spacing w:val="-2"/>
          <w:sz w:val="24"/>
          <w:lang w:val="fr-CA"/>
        </w:rPr>
        <w:t>50</w:t>
      </w:r>
      <w:r w:rsidR="001F2B03">
        <w:rPr>
          <w:rFonts w:ascii="Arial" w:hAnsi="Arial"/>
          <w:spacing w:val="-2"/>
          <w:sz w:val="24"/>
          <w:lang w:val="fr-CA"/>
        </w:rPr>
        <w:t> </w:t>
      </w:r>
      <w:r w:rsidR="00B4636F" w:rsidRPr="003B473F">
        <w:rPr>
          <w:rFonts w:ascii="Arial" w:hAnsi="Arial"/>
          <w:spacing w:val="-2"/>
          <w:sz w:val="24"/>
          <w:lang w:val="fr-CA"/>
        </w:rPr>
        <w:t xml:space="preserve">µL </w:t>
      </w:r>
      <w:r w:rsidRPr="003B473F">
        <w:rPr>
          <w:rFonts w:ascii="Arial" w:hAnsi="Arial"/>
          <w:spacing w:val="-2"/>
          <w:sz w:val="24"/>
          <w:lang w:val="fr-CA"/>
        </w:rPr>
        <w:t>de suspension de globules rouges à 0,8 % de chaque donneur au bon microtube</w:t>
      </w:r>
      <w:r w:rsidR="00B4636F" w:rsidRPr="003B473F">
        <w:rPr>
          <w:rFonts w:ascii="Arial" w:hAnsi="Arial"/>
          <w:spacing w:val="-2"/>
          <w:sz w:val="24"/>
          <w:lang w:val="fr-CA"/>
        </w:rPr>
        <w:t>.</w:t>
      </w:r>
      <w:r>
        <w:rPr>
          <w:rFonts w:ascii="Arial" w:hAnsi="Arial"/>
          <w:spacing w:val="-2"/>
          <w:sz w:val="24"/>
          <w:lang w:val="fr-CA"/>
        </w:rPr>
        <w:t xml:space="preserve"> </w:t>
      </w:r>
      <w:r w:rsidR="007A0421" w:rsidRPr="003B473F">
        <w:rPr>
          <w:rFonts w:ascii="Arial" w:hAnsi="Arial"/>
          <w:spacing w:val="-2"/>
          <w:sz w:val="24"/>
          <w:lang w:val="fr-CA"/>
        </w:rPr>
        <w:t>La pipette ne doit pas toucher la carte de gel.</w:t>
      </w:r>
    </w:p>
    <w:p w:rsidR="00B4636F" w:rsidRPr="003D7739" w:rsidRDefault="003B473F">
      <w:pPr>
        <w:numPr>
          <w:ilvl w:val="2"/>
          <w:numId w:val="1"/>
        </w:numPr>
        <w:rPr>
          <w:rFonts w:ascii="Arial" w:hAnsi="Arial"/>
          <w:sz w:val="24"/>
          <w:lang w:val="fr-CA"/>
        </w:rPr>
      </w:pPr>
      <w:r w:rsidRPr="003B473F">
        <w:rPr>
          <w:rFonts w:ascii="Arial" w:hAnsi="Arial"/>
          <w:spacing w:val="-2"/>
          <w:sz w:val="24"/>
          <w:lang w:val="fr-CA"/>
        </w:rPr>
        <w:t>À l’aide d’une pipette appropriée, ajoute</w:t>
      </w:r>
      <w:r w:rsidR="00D30359">
        <w:rPr>
          <w:rFonts w:ascii="Arial" w:hAnsi="Arial"/>
          <w:spacing w:val="-2"/>
          <w:sz w:val="24"/>
          <w:lang w:val="fr-CA"/>
        </w:rPr>
        <w:t>r</w:t>
      </w:r>
      <w:r>
        <w:rPr>
          <w:rFonts w:ascii="Arial" w:hAnsi="Arial"/>
          <w:spacing w:val="-2"/>
          <w:sz w:val="24"/>
          <w:lang w:val="fr-CA"/>
        </w:rPr>
        <w:t xml:space="preserve"> </w:t>
      </w:r>
      <w:r w:rsidR="00B4636F" w:rsidRPr="003D7739">
        <w:rPr>
          <w:rFonts w:ascii="Arial" w:hAnsi="Arial"/>
          <w:spacing w:val="-2"/>
          <w:sz w:val="24"/>
          <w:lang w:val="fr-CA"/>
        </w:rPr>
        <w:t>25</w:t>
      </w:r>
      <w:r>
        <w:rPr>
          <w:rFonts w:ascii="Arial" w:hAnsi="Arial"/>
          <w:spacing w:val="-2"/>
          <w:sz w:val="24"/>
          <w:lang w:val="fr-CA"/>
        </w:rPr>
        <w:t> </w:t>
      </w:r>
      <w:r w:rsidR="00B4636F" w:rsidRPr="003D7739">
        <w:rPr>
          <w:rFonts w:ascii="Arial" w:hAnsi="Arial"/>
          <w:spacing w:val="-2"/>
          <w:sz w:val="24"/>
          <w:lang w:val="fr-CA"/>
        </w:rPr>
        <w:t xml:space="preserve">µL </w:t>
      </w:r>
      <w:r>
        <w:rPr>
          <w:rFonts w:ascii="Arial" w:hAnsi="Arial"/>
          <w:spacing w:val="-2"/>
          <w:sz w:val="24"/>
          <w:lang w:val="fr-CA"/>
        </w:rPr>
        <w:t>de sérum ou de plasma du patient au bon microtube</w:t>
      </w:r>
      <w:r w:rsidR="00B4636F" w:rsidRPr="003D7739">
        <w:rPr>
          <w:rFonts w:ascii="Arial" w:hAnsi="Arial"/>
          <w:spacing w:val="-2"/>
          <w:sz w:val="24"/>
          <w:lang w:val="fr-CA"/>
        </w:rPr>
        <w:t>.</w:t>
      </w:r>
    </w:p>
    <w:p w:rsidR="00B4636F" w:rsidRPr="003B473F" w:rsidRDefault="007A0421">
      <w:pPr>
        <w:numPr>
          <w:ilvl w:val="2"/>
          <w:numId w:val="1"/>
        </w:numPr>
        <w:rPr>
          <w:rFonts w:ascii="Arial" w:hAnsi="Arial"/>
          <w:sz w:val="24"/>
          <w:lang w:val="fr-CA"/>
        </w:rPr>
      </w:pPr>
      <w:r w:rsidRPr="003B473F">
        <w:rPr>
          <w:rFonts w:ascii="Arial" w:hAnsi="Arial"/>
          <w:spacing w:val="-2"/>
          <w:sz w:val="24"/>
          <w:lang w:val="fr-CA"/>
        </w:rPr>
        <w:t>Incuber à 37±2 </w:t>
      </w:r>
      <w:r w:rsidRPr="003B473F">
        <w:rPr>
          <w:rFonts w:ascii="Arial" w:hAnsi="Arial"/>
          <w:spacing w:val="-2"/>
          <w:sz w:val="24"/>
          <w:vertAlign w:val="superscript"/>
          <w:lang w:val="fr-CA"/>
        </w:rPr>
        <w:t>o</w:t>
      </w:r>
      <w:r w:rsidRPr="003B473F">
        <w:rPr>
          <w:rFonts w:ascii="Arial" w:hAnsi="Arial"/>
          <w:spacing w:val="-2"/>
          <w:sz w:val="24"/>
          <w:lang w:val="fr-CA"/>
        </w:rPr>
        <w:t>C pendant 15 minutes.</w:t>
      </w:r>
      <w:r w:rsidR="003B473F">
        <w:rPr>
          <w:rFonts w:ascii="Arial" w:hAnsi="Arial"/>
          <w:spacing w:val="-2"/>
          <w:sz w:val="24"/>
          <w:lang w:val="fr-CA"/>
        </w:rPr>
        <w:t xml:space="preserve"> </w:t>
      </w:r>
      <w:r w:rsidRPr="003B473F">
        <w:rPr>
          <w:rFonts w:ascii="Arial" w:hAnsi="Arial"/>
          <w:spacing w:val="-2"/>
          <w:sz w:val="24"/>
          <w:lang w:val="fr-CA"/>
        </w:rPr>
        <w:t>Consulter le dépliant pour des détails sur la prolongation du temps d</w:t>
      </w:r>
      <w:r w:rsidR="001F2B03">
        <w:rPr>
          <w:rFonts w:ascii="Arial" w:hAnsi="Arial"/>
          <w:spacing w:val="-2"/>
          <w:sz w:val="24"/>
          <w:lang w:val="fr-CA"/>
        </w:rPr>
        <w:t>’</w:t>
      </w:r>
      <w:r w:rsidRPr="003B473F">
        <w:rPr>
          <w:rFonts w:ascii="Arial" w:hAnsi="Arial"/>
          <w:spacing w:val="-2"/>
          <w:sz w:val="24"/>
          <w:lang w:val="fr-CA"/>
        </w:rPr>
        <w:t>incubation.</w:t>
      </w:r>
    </w:p>
    <w:p w:rsidR="00B4636F" w:rsidRPr="007C227F" w:rsidRDefault="007A0421">
      <w:pPr>
        <w:numPr>
          <w:ilvl w:val="2"/>
          <w:numId w:val="1"/>
        </w:numPr>
        <w:rPr>
          <w:rFonts w:ascii="Arial" w:hAnsi="Arial"/>
          <w:sz w:val="24"/>
          <w:lang w:val="fr-CA"/>
        </w:rPr>
      </w:pPr>
      <w:r w:rsidRPr="003B473F">
        <w:rPr>
          <w:rFonts w:ascii="Arial" w:hAnsi="Arial"/>
          <w:spacing w:val="-2"/>
          <w:sz w:val="24"/>
          <w:lang w:val="fr-CA"/>
        </w:rPr>
        <w:t>Centrifuger la carte de gel à la valeur prédéfinie de 895±25 rpm pendant 10 minutes.</w:t>
      </w:r>
    </w:p>
    <w:p w:rsidR="007C227F" w:rsidRPr="007C227F" w:rsidRDefault="007C227F">
      <w:pPr>
        <w:numPr>
          <w:ilvl w:val="2"/>
          <w:numId w:val="1"/>
        </w:numPr>
        <w:rPr>
          <w:rFonts w:ascii="Arial" w:hAnsi="Arial"/>
          <w:sz w:val="24"/>
          <w:lang w:val="fr-CA"/>
        </w:rPr>
      </w:pPr>
      <w:r>
        <w:rPr>
          <w:rFonts w:ascii="Arial" w:hAnsi="Arial"/>
          <w:sz w:val="24"/>
          <w:lang w:val="fr-CA"/>
        </w:rPr>
        <w:t xml:space="preserve">Après la centrifugation, retirer la ou les </w:t>
      </w:r>
      <w:r w:rsidRPr="006E2E22">
        <w:rPr>
          <w:rFonts w:ascii="Arial" w:hAnsi="Arial"/>
          <w:spacing w:val="-2"/>
          <w:sz w:val="24"/>
          <w:lang w:val="fr-CA"/>
        </w:rPr>
        <w:t>cartes de la centrifugeuse et faire une lecture de chaque carte à la recherche des signes</w:t>
      </w:r>
      <w:r>
        <w:rPr>
          <w:rFonts w:ascii="Arial" w:hAnsi="Arial"/>
          <w:spacing w:val="-2"/>
          <w:sz w:val="24"/>
          <w:lang w:val="fr-CA"/>
        </w:rPr>
        <w:t xml:space="preserve"> suivants : </w:t>
      </w:r>
    </w:p>
    <w:p w:rsidR="007C227F" w:rsidRDefault="007C227F" w:rsidP="007C227F">
      <w:pPr>
        <w:numPr>
          <w:ilvl w:val="0"/>
          <w:numId w:val="30"/>
        </w:numPr>
        <w:rPr>
          <w:rFonts w:ascii="Arial" w:hAnsi="Arial"/>
          <w:sz w:val="24"/>
          <w:lang w:val="fr-CA"/>
        </w:rPr>
      </w:pPr>
      <w:r>
        <w:rPr>
          <w:rFonts w:ascii="Arial" w:hAnsi="Arial"/>
          <w:spacing w:val="-2"/>
          <w:sz w:val="24"/>
          <w:lang w:val="fr-CA"/>
        </w:rPr>
        <w:t xml:space="preserve">La présence </w:t>
      </w:r>
      <w:r w:rsidRPr="0055014C">
        <w:rPr>
          <w:rFonts w:ascii="Arial" w:hAnsi="Arial"/>
          <w:sz w:val="24"/>
          <w:lang w:val="fr-CA"/>
        </w:rPr>
        <w:t>de globules rouges non agglutinés dans le gel est habituellement due à une interruption du cycle de centrifugation. Ces globules rouges sont rose foncé et flo</w:t>
      </w:r>
      <w:r>
        <w:rPr>
          <w:rFonts w:ascii="Arial" w:hAnsi="Arial"/>
          <w:sz w:val="24"/>
          <w:lang w:val="fr-CA"/>
        </w:rPr>
        <w:t>us.</w:t>
      </w:r>
    </w:p>
    <w:p w:rsidR="007C227F" w:rsidRPr="007C227F" w:rsidRDefault="007C227F" w:rsidP="007C227F">
      <w:pPr>
        <w:numPr>
          <w:ilvl w:val="0"/>
          <w:numId w:val="30"/>
        </w:numPr>
        <w:rPr>
          <w:rFonts w:ascii="Arial" w:hAnsi="Arial"/>
          <w:sz w:val="24"/>
          <w:lang w:val="fr-CA"/>
        </w:rPr>
      </w:pPr>
      <w:r>
        <w:rPr>
          <w:rFonts w:ascii="Arial" w:hAnsi="Arial"/>
          <w:spacing w:val="-2"/>
          <w:sz w:val="24"/>
          <w:lang w:val="fr-CA"/>
        </w:rPr>
        <w:t xml:space="preserve">La </w:t>
      </w:r>
      <w:r w:rsidRPr="00D9091B">
        <w:rPr>
          <w:rFonts w:ascii="Arial" w:hAnsi="Arial"/>
          <w:spacing w:val="-2"/>
          <w:sz w:val="24"/>
          <w:lang w:val="fr-CA"/>
        </w:rPr>
        <w:t>présence d’une traînée de globules rouges qui forme une sorte de « J » le long d’une paroi est due à une mauvaise disposition des cartes dans le support à cartes</w:t>
      </w:r>
      <w:r>
        <w:rPr>
          <w:rFonts w:ascii="Arial" w:hAnsi="Arial"/>
          <w:spacing w:val="-2"/>
          <w:sz w:val="24"/>
          <w:lang w:val="fr-CA"/>
        </w:rPr>
        <w:t>.</w:t>
      </w:r>
    </w:p>
    <w:p w:rsidR="007C227F" w:rsidRPr="007C227F" w:rsidRDefault="007C227F" w:rsidP="007C227F">
      <w:pPr>
        <w:ind w:left="2160"/>
        <w:rPr>
          <w:rFonts w:ascii="Arial" w:hAnsi="Arial"/>
          <w:sz w:val="24"/>
          <w:lang w:val="fr-CA"/>
        </w:rPr>
      </w:pPr>
      <w:r>
        <w:rPr>
          <w:rFonts w:ascii="Arial" w:hAnsi="Arial"/>
          <w:spacing w:val="-2"/>
          <w:sz w:val="24"/>
          <w:lang w:val="fr-CA"/>
        </w:rPr>
        <w:t xml:space="preserve">Si </w:t>
      </w:r>
      <w:r w:rsidRPr="00D9091B">
        <w:rPr>
          <w:rFonts w:ascii="Arial" w:hAnsi="Arial"/>
          <w:spacing w:val="-2"/>
          <w:sz w:val="24"/>
          <w:lang w:val="fr-CA"/>
        </w:rPr>
        <w:t>la ou les cartes semblent mal centrifugées, répéter le test. Ne jamais centrifuger une autre fois la</w:t>
      </w:r>
      <w:r>
        <w:rPr>
          <w:rFonts w:ascii="Arial" w:hAnsi="Arial"/>
          <w:spacing w:val="-2"/>
          <w:sz w:val="24"/>
          <w:lang w:val="fr-CA"/>
        </w:rPr>
        <w:t xml:space="preserve"> ou les cartes.</w:t>
      </w:r>
    </w:p>
    <w:p w:rsidR="001F2B03" w:rsidRPr="001F2B03" w:rsidRDefault="007A0421" w:rsidP="007C227F">
      <w:pPr>
        <w:numPr>
          <w:ilvl w:val="2"/>
          <w:numId w:val="1"/>
        </w:numPr>
        <w:rPr>
          <w:rFonts w:ascii="Arial" w:hAnsi="Arial"/>
          <w:sz w:val="24"/>
          <w:lang w:val="fr-CA"/>
        </w:rPr>
      </w:pPr>
      <w:r w:rsidRPr="001F2B03">
        <w:rPr>
          <w:rFonts w:ascii="Arial" w:hAnsi="Arial"/>
          <w:spacing w:val="-2"/>
          <w:sz w:val="24"/>
          <w:lang w:val="fr-CA"/>
        </w:rPr>
        <w:t>Lire l</w:t>
      </w:r>
      <w:r w:rsidR="001F2B03" w:rsidRPr="001F2B03">
        <w:rPr>
          <w:rFonts w:ascii="Arial" w:hAnsi="Arial"/>
          <w:spacing w:val="-2"/>
          <w:sz w:val="24"/>
          <w:lang w:val="fr-CA"/>
        </w:rPr>
        <w:t>’</w:t>
      </w:r>
      <w:r w:rsidRPr="001F2B03">
        <w:rPr>
          <w:rFonts w:ascii="Arial" w:hAnsi="Arial"/>
          <w:spacing w:val="-2"/>
          <w:sz w:val="24"/>
          <w:lang w:val="fr-CA"/>
        </w:rPr>
        <w:t>avant et l</w:t>
      </w:r>
      <w:r w:rsidR="001F2B03" w:rsidRPr="001F2B03">
        <w:rPr>
          <w:rFonts w:ascii="Arial" w:hAnsi="Arial"/>
          <w:spacing w:val="-2"/>
          <w:sz w:val="24"/>
          <w:lang w:val="fr-CA"/>
        </w:rPr>
        <w:t>’</w:t>
      </w:r>
      <w:r w:rsidRPr="001F2B03">
        <w:rPr>
          <w:rFonts w:ascii="Arial" w:hAnsi="Arial"/>
          <w:spacing w:val="-2"/>
          <w:sz w:val="24"/>
          <w:lang w:val="fr-CA"/>
        </w:rPr>
        <w:t>arrière de chaque microtube</w:t>
      </w:r>
      <w:r w:rsidR="007C227F" w:rsidRPr="001F2B03">
        <w:rPr>
          <w:rFonts w:ascii="Arial" w:hAnsi="Arial"/>
          <w:spacing w:val="-2"/>
          <w:sz w:val="24"/>
          <w:lang w:val="fr-CA"/>
        </w:rPr>
        <w:t>.</w:t>
      </w:r>
    </w:p>
    <w:p w:rsidR="00B4636F" w:rsidRPr="001F2B03" w:rsidRDefault="007C227F" w:rsidP="007C227F">
      <w:pPr>
        <w:numPr>
          <w:ilvl w:val="2"/>
          <w:numId w:val="1"/>
        </w:numPr>
        <w:rPr>
          <w:rFonts w:ascii="Arial" w:hAnsi="Arial"/>
          <w:sz w:val="24"/>
          <w:lang w:val="fr-CA"/>
        </w:rPr>
      </w:pPr>
      <w:r w:rsidRPr="001F2B03">
        <w:rPr>
          <w:rFonts w:ascii="Arial" w:hAnsi="Arial"/>
          <w:sz w:val="24"/>
          <w:lang w:val="fr-CA"/>
        </w:rPr>
        <w:t xml:space="preserve">Inscrire les réactions conformément au tableau suivant.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22"/>
      </w:tblGrid>
      <w:tr w:rsidR="007C227F" w:rsidRPr="0055014C" w:rsidTr="00DF477C">
        <w:trPr>
          <w:trHeight w:val="218"/>
          <w:jc w:val="center"/>
        </w:trPr>
        <w:tc>
          <w:tcPr>
            <w:tcW w:w="1306" w:type="dxa"/>
          </w:tcPr>
          <w:p w:rsidR="007C227F" w:rsidRPr="0055014C" w:rsidRDefault="007C227F" w:rsidP="00DF477C">
            <w:pPr>
              <w:keepNext/>
              <w:jc w:val="center"/>
              <w:rPr>
                <w:rFonts w:ascii="Arial" w:hAnsi="Arial"/>
                <w:b/>
                <w:lang w:val="fr-CA"/>
              </w:rPr>
            </w:pPr>
            <w:r w:rsidRPr="0055014C">
              <w:rPr>
                <w:rFonts w:ascii="Arial" w:hAnsi="Arial"/>
                <w:b/>
                <w:lang w:val="fr-CA"/>
              </w:rPr>
              <w:t>Code</w:t>
            </w:r>
          </w:p>
        </w:tc>
        <w:tc>
          <w:tcPr>
            <w:tcW w:w="5822" w:type="dxa"/>
          </w:tcPr>
          <w:p w:rsidR="007C227F" w:rsidRPr="0055014C" w:rsidRDefault="007C227F" w:rsidP="00DF477C">
            <w:pPr>
              <w:keepNext/>
              <w:jc w:val="center"/>
              <w:rPr>
                <w:rFonts w:ascii="Arial" w:hAnsi="Arial"/>
                <w:b/>
                <w:lang w:val="fr-CA"/>
              </w:rPr>
            </w:pPr>
            <w:r w:rsidRPr="0055014C">
              <w:rPr>
                <w:rFonts w:ascii="Arial" w:hAnsi="Arial"/>
                <w:b/>
                <w:lang w:val="fr-CA"/>
              </w:rPr>
              <w:t>Description de la réaction*</w:t>
            </w:r>
          </w:p>
        </w:tc>
      </w:tr>
      <w:tr w:rsidR="007C227F" w:rsidRPr="0055014C" w:rsidTr="00DF477C">
        <w:trPr>
          <w:trHeight w:val="1088"/>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Nég</w:t>
            </w:r>
          </w:p>
        </w:tc>
        <w:tc>
          <w:tcPr>
            <w:tcW w:w="5822" w:type="dxa"/>
          </w:tcPr>
          <w:p w:rsidR="007C227F" w:rsidRPr="0055014C" w:rsidRDefault="007C227F" w:rsidP="00DF477C">
            <w:pPr>
              <w:keepNext/>
              <w:rPr>
                <w:rFonts w:ascii="Arial" w:hAnsi="Arial"/>
                <w:lang w:val="fr-CA"/>
              </w:rPr>
            </w:pPr>
            <w:r w:rsidRPr="0055014C">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7C227F" w:rsidRPr="0055014C" w:rsidTr="00DF477C">
        <w:trPr>
          <w:trHeight w:val="662"/>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 xml:space="preserve">1 </w:t>
            </w:r>
          </w:p>
        </w:tc>
        <w:tc>
          <w:tcPr>
            <w:tcW w:w="5822" w:type="dxa"/>
          </w:tcPr>
          <w:p w:rsidR="007C227F" w:rsidRPr="0055014C" w:rsidRDefault="007C227F" w:rsidP="00DF477C">
            <w:pPr>
              <w:keepNext/>
              <w:rPr>
                <w:rFonts w:ascii="Arial" w:hAnsi="Arial"/>
                <w:lang w:val="fr-CA"/>
              </w:rPr>
            </w:pPr>
            <w:r w:rsidRPr="0055014C">
              <w:rPr>
                <w:rFonts w:ascii="Arial" w:hAnsi="Arial"/>
                <w:lang w:val="fr-CA"/>
              </w:rPr>
              <w:t>Agglutination surtout observée dans la moitié inférieure du microtube. Les globules rouges non agglutinés forment un culot au fond du microtube.</w:t>
            </w:r>
          </w:p>
        </w:tc>
      </w:tr>
      <w:tr w:rsidR="007C227F" w:rsidRPr="0055014C" w:rsidTr="00DF477C">
        <w:trPr>
          <w:trHeight w:val="653"/>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 xml:space="preserve">2 </w:t>
            </w:r>
          </w:p>
        </w:tc>
        <w:tc>
          <w:tcPr>
            <w:tcW w:w="5822" w:type="dxa"/>
          </w:tcPr>
          <w:p w:rsidR="007C227F" w:rsidRPr="0055014C" w:rsidRDefault="007C227F" w:rsidP="00DF477C">
            <w:pPr>
              <w:keepNext/>
              <w:rPr>
                <w:rFonts w:ascii="Arial" w:hAnsi="Arial"/>
                <w:lang w:val="fr-CA"/>
              </w:rPr>
            </w:pPr>
            <w:r w:rsidRPr="0055014C">
              <w:rPr>
                <w:rFonts w:ascii="Arial" w:hAnsi="Arial"/>
                <w:lang w:val="fr-CA"/>
              </w:rPr>
              <w:t xml:space="preserve">Agglutinats dispersés tout le long de la colonne de gel. Quelques agglutinats peuvent être présents au fond du microtube. </w:t>
            </w:r>
          </w:p>
        </w:tc>
      </w:tr>
      <w:tr w:rsidR="007C227F" w:rsidRPr="0055014C" w:rsidTr="00DF477C">
        <w:trPr>
          <w:trHeight w:val="653"/>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 xml:space="preserve">3 </w:t>
            </w:r>
          </w:p>
        </w:tc>
        <w:tc>
          <w:tcPr>
            <w:tcW w:w="5822" w:type="dxa"/>
          </w:tcPr>
          <w:p w:rsidR="007C227F" w:rsidRPr="0055014C" w:rsidRDefault="007C227F" w:rsidP="00DF477C">
            <w:pPr>
              <w:keepNext/>
              <w:rPr>
                <w:rFonts w:ascii="Arial" w:hAnsi="Arial"/>
                <w:lang w:val="fr-CA"/>
              </w:rPr>
            </w:pPr>
            <w:r w:rsidRPr="0055014C">
              <w:rPr>
                <w:rFonts w:ascii="Arial" w:hAnsi="Arial"/>
                <w:lang w:val="fr-CA"/>
              </w:rPr>
              <w:t>La plupart des agglutinats sont piégés dans la moitié supérieure du microtube. Voir Remarque 8.3.</w:t>
            </w:r>
          </w:p>
        </w:tc>
      </w:tr>
      <w:tr w:rsidR="007C227F" w:rsidRPr="0055014C" w:rsidTr="00DF477C">
        <w:trPr>
          <w:trHeight w:val="870"/>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 xml:space="preserve">4 </w:t>
            </w:r>
          </w:p>
        </w:tc>
        <w:tc>
          <w:tcPr>
            <w:tcW w:w="5822" w:type="dxa"/>
          </w:tcPr>
          <w:p w:rsidR="007C227F" w:rsidRPr="0055014C" w:rsidRDefault="007C227F" w:rsidP="00DF477C">
            <w:pPr>
              <w:keepNext/>
              <w:rPr>
                <w:rFonts w:ascii="Arial" w:hAnsi="Arial"/>
                <w:lang w:val="fr-CA"/>
              </w:rPr>
            </w:pPr>
            <w:r w:rsidRPr="0055014C">
              <w:rPr>
                <w:rFonts w:ascii="Arial" w:hAnsi="Arial"/>
                <w:lang w:val="fr-CA"/>
              </w:rPr>
              <w:t xml:space="preserve">Bande solide de globules rouges agglutinés à la surface du gel. Quelques agglutinats peuvent descendre dans le gel, mais restent à proximité de la bande principale. </w:t>
            </w:r>
          </w:p>
        </w:tc>
      </w:tr>
      <w:tr w:rsidR="007C227F" w:rsidRPr="0055014C" w:rsidTr="00DF477C">
        <w:trPr>
          <w:trHeight w:val="870"/>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H</w:t>
            </w:r>
          </w:p>
        </w:tc>
        <w:tc>
          <w:tcPr>
            <w:tcW w:w="5822" w:type="dxa"/>
          </w:tcPr>
          <w:p w:rsidR="007C227F" w:rsidRPr="0055014C" w:rsidRDefault="007C227F" w:rsidP="00DF477C">
            <w:pPr>
              <w:keepNext/>
              <w:rPr>
                <w:rFonts w:ascii="Arial" w:hAnsi="Arial"/>
                <w:lang w:val="fr-CA"/>
              </w:rPr>
            </w:pPr>
            <w:r w:rsidRPr="0055014C">
              <w:rPr>
                <w:rFonts w:ascii="Arial" w:hAnsi="Arial"/>
                <w:lang w:val="fr-CA"/>
              </w:rPr>
              <w:t xml:space="preserve">Hémolyse et absence ou presque de globules rouges dans le gel. Inscrivez la présence d’hémolyse dans le microtube, mais non dans l’échantillon. </w:t>
            </w:r>
          </w:p>
        </w:tc>
      </w:tr>
      <w:tr w:rsidR="007C227F" w:rsidRPr="0055014C" w:rsidTr="00DF477C">
        <w:trPr>
          <w:trHeight w:val="653"/>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cm</w:t>
            </w:r>
          </w:p>
        </w:tc>
        <w:tc>
          <w:tcPr>
            <w:tcW w:w="5822" w:type="dxa"/>
          </w:tcPr>
          <w:p w:rsidR="007C227F" w:rsidRPr="0055014C" w:rsidRDefault="007C227F" w:rsidP="00DF477C">
            <w:pPr>
              <w:keepNext/>
              <w:rPr>
                <w:rFonts w:ascii="Arial" w:hAnsi="Arial"/>
                <w:lang w:val="fr-CA"/>
              </w:rPr>
            </w:pPr>
            <w:r w:rsidRPr="0055014C">
              <w:rPr>
                <w:rFonts w:ascii="Arial" w:hAnsi="Arial"/>
                <w:lang w:val="fr-CA"/>
              </w:rPr>
              <w:t xml:space="preserve">Bande de globules rouges agglutinés à la surface du gel et culot de globules rouges non agglutinés au fond du microtube. </w:t>
            </w:r>
          </w:p>
        </w:tc>
      </w:tr>
      <w:tr w:rsidR="007C227F" w:rsidRPr="0055014C" w:rsidTr="00DF477C">
        <w:trPr>
          <w:trHeight w:val="218"/>
          <w:jc w:val="center"/>
        </w:trPr>
        <w:tc>
          <w:tcPr>
            <w:tcW w:w="1306" w:type="dxa"/>
          </w:tcPr>
          <w:p w:rsidR="007C227F" w:rsidRPr="0055014C" w:rsidRDefault="007C227F" w:rsidP="00DF477C">
            <w:pPr>
              <w:keepNext/>
              <w:jc w:val="center"/>
              <w:rPr>
                <w:rFonts w:ascii="Arial" w:hAnsi="Arial"/>
                <w:lang w:val="fr-CA"/>
              </w:rPr>
            </w:pPr>
            <w:r w:rsidRPr="0055014C">
              <w:rPr>
                <w:rFonts w:ascii="Arial" w:hAnsi="Arial"/>
                <w:lang w:val="fr-CA"/>
              </w:rPr>
              <w:t>NT ou NF</w:t>
            </w:r>
          </w:p>
        </w:tc>
        <w:tc>
          <w:tcPr>
            <w:tcW w:w="5822" w:type="dxa"/>
          </w:tcPr>
          <w:p w:rsidR="007C227F" w:rsidRPr="0055014C" w:rsidRDefault="007C227F" w:rsidP="00DF477C">
            <w:pPr>
              <w:keepNext/>
              <w:rPr>
                <w:rFonts w:ascii="Arial" w:hAnsi="Arial"/>
                <w:lang w:val="fr-CA"/>
              </w:rPr>
            </w:pPr>
            <w:r w:rsidRPr="0055014C">
              <w:rPr>
                <w:rFonts w:ascii="Arial" w:hAnsi="Arial"/>
                <w:lang w:val="fr-CA"/>
              </w:rPr>
              <w:t>Non testé ou non fait</w:t>
            </w:r>
          </w:p>
        </w:tc>
      </w:tr>
      <w:tr w:rsidR="007C227F" w:rsidRPr="0055014C" w:rsidTr="00DF477C">
        <w:trPr>
          <w:trHeight w:val="445"/>
          <w:jc w:val="center"/>
        </w:trPr>
        <w:tc>
          <w:tcPr>
            <w:tcW w:w="7128" w:type="dxa"/>
            <w:gridSpan w:val="2"/>
          </w:tcPr>
          <w:p w:rsidR="007C227F" w:rsidRDefault="007C227F" w:rsidP="00DF477C">
            <w:pPr>
              <w:rPr>
                <w:rFonts w:ascii="Arial" w:hAnsi="Arial"/>
                <w:lang w:val="fr-CA"/>
              </w:rPr>
            </w:pPr>
            <w:r w:rsidRPr="00DE3B34">
              <w:rPr>
                <w:rFonts w:ascii="Arial" w:hAnsi="Arial"/>
                <w:lang w:val="fr-CA"/>
              </w:rPr>
              <w:t>*</w:t>
            </w:r>
            <w:r w:rsidRPr="0055014C">
              <w:rPr>
                <w:rFonts w:ascii="Arial" w:hAnsi="Arial"/>
                <w:lang w:val="fr-CA"/>
              </w:rPr>
              <w:t xml:space="preserve"> Ne pas utiliser de demi-niveau, d’exposant ou de signes « plus ». </w:t>
            </w:r>
          </w:p>
          <w:p w:rsidR="007C227F" w:rsidRPr="0055014C" w:rsidRDefault="007C227F" w:rsidP="00DF477C">
            <w:pPr>
              <w:rPr>
                <w:rFonts w:ascii="Arial" w:hAnsi="Arial"/>
                <w:lang w:val="fr-CA"/>
              </w:rPr>
            </w:pPr>
          </w:p>
        </w:tc>
      </w:tr>
    </w:tbl>
    <w:p w:rsidR="007C227F" w:rsidRDefault="007C227F" w:rsidP="007C227F">
      <w:pPr>
        <w:ind w:left="720"/>
        <w:rPr>
          <w:rFonts w:ascii="Arial" w:hAnsi="Arial"/>
          <w:color w:val="000000"/>
          <w:spacing w:val="-2"/>
          <w:sz w:val="24"/>
          <w:lang w:val="fr-CA"/>
        </w:rPr>
      </w:pPr>
    </w:p>
    <w:p w:rsidR="007C227F" w:rsidRDefault="007C227F" w:rsidP="007C227F">
      <w:pPr>
        <w:ind w:left="720"/>
        <w:rPr>
          <w:rFonts w:ascii="Arial" w:hAnsi="Arial"/>
          <w:color w:val="000000"/>
          <w:spacing w:val="-2"/>
          <w:sz w:val="24"/>
          <w:lang w:val="fr-CA"/>
        </w:rPr>
      </w:pPr>
      <w:r w:rsidRPr="00D9091B">
        <w:rPr>
          <w:rFonts w:ascii="Arial" w:hAnsi="Arial"/>
          <w:color w:val="000000"/>
          <w:spacing w:val="-2"/>
          <w:sz w:val="24"/>
          <w:lang w:val="fr-CA"/>
        </w:rPr>
        <w:t>Voir la section de discussion sur chaque niveau dans le guide d’interprétation MTS pour plus d’information</w:t>
      </w:r>
      <w:r>
        <w:rPr>
          <w:rFonts w:ascii="Arial" w:hAnsi="Arial"/>
          <w:color w:val="000000"/>
          <w:spacing w:val="-2"/>
          <w:sz w:val="24"/>
          <w:lang w:val="fr-CA"/>
        </w:rPr>
        <w:t>.</w:t>
      </w:r>
    </w:p>
    <w:p w:rsidR="007C227F" w:rsidRDefault="007C227F" w:rsidP="007C227F">
      <w:pPr>
        <w:ind w:left="1440"/>
        <w:rPr>
          <w:rFonts w:ascii="Arial" w:hAnsi="Arial"/>
          <w:sz w:val="24"/>
          <w:lang w:val="fr-CA"/>
        </w:rPr>
      </w:pPr>
    </w:p>
    <w:p w:rsidR="007C227F" w:rsidRPr="007C227F" w:rsidRDefault="007C227F" w:rsidP="007C227F">
      <w:pPr>
        <w:ind w:left="1440"/>
        <w:rPr>
          <w:rFonts w:ascii="Arial" w:hAnsi="Arial"/>
          <w:sz w:val="24"/>
          <w:lang w:val="fr-CA"/>
        </w:rPr>
      </w:pPr>
    </w:p>
    <w:p w:rsidR="00B4636F" w:rsidRPr="003D7739" w:rsidRDefault="007A0421">
      <w:pPr>
        <w:numPr>
          <w:ilvl w:val="0"/>
          <w:numId w:val="1"/>
        </w:numPr>
        <w:rPr>
          <w:rFonts w:ascii="Arial" w:hAnsi="Arial"/>
          <w:b/>
          <w:sz w:val="28"/>
          <w:lang w:val="fr-CA"/>
        </w:rPr>
      </w:pPr>
      <w:r w:rsidRPr="007A0421">
        <w:rPr>
          <w:rFonts w:ascii="Arial" w:hAnsi="Arial"/>
          <w:b/>
          <w:color w:val="000000"/>
          <w:sz w:val="28"/>
          <w:lang w:val="fr-CA"/>
        </w:rPr>
        <w:t>Documentation</w:t>
      </w:r>
    </w:p>
    <w:p w:rsidR="00B4636F" w:rsidRPr="003D7739" w:rsidRDefault="00B4636F">
      <w:pPr>
        <w:ind w:left="720"/>
        <w:rPr>
          <w:rFonts w:ascii="Arial" w:hAnsi="Arial"/>
          <w:sz w:val="24"/>
          <w:lang w:val="fr-CA"/>
        </w:rPr>
      </w:pPr>
    </w:p>
    <w:p w:rsidR="00B4636F" w:rsidRDefault="003B473F" w:rsidP="003B473F">
      <w:pPr>
        <w:numPr>
          <w:ilvl w:val="1"/>
          <w:numId w:val="1"/>
        </w:numPr>
        <w:rPr>
          <w:rFonts w:ascii="Arial" w:hAnsi="Arial"/>
          <w:sz w:val="24"/>
          <w:lang w:val="fr-CA"/>
        </w:rPr>
      </w:pPr>
      <w:r w:rsidRPr="003B473F">
        <w:rPr>
          <w:rFonts w:ascii="Arial" w:hAnsi="Arial"/>
          <w:spacing w:val="-2"/>
          <w:sz w:val="24"/>
          <w:lang w:val="fr-CA"/>
        </w:rPr>
        <w:t>L’absence d’agglutination ou d’hémolyse des globules rouges est un résultat négatif</w:t>
      </w:r>
      <w:r>
        <w:rPr>
          <w:rFonts w:ascii="Arial" w:hAnsi="Arial"/>
          <w:spacing w:val="-2"/>
          <w:sz w:val="24"/>
          <w:lang w:val="fr-CA"/>
        </w:rPr>
        <w:t xml:space="preserve"> qui indique </w:t>
      </w:r>
      <w:r w:rsidRPr="003B473F">
        <w:rPr>
          <w:rFonts w:ascii="Arial" w:hAnsi="Arial"/>
          <w:spacing w:val="-2"/>
          <w:sz w:val="24"/>
          <w:lang w:val="fr-CA"/>
        </w:rPr>
        <w:t>l’absence de réaction antigène</w:t>
      </w:r>
      <w:r w:rsidR="00E52132">
        <w:rPr>
          <w:rFonts w:ascii="Arial" w:hAnsi="Arial"/>
          <w:spacing w:val="-2"/>
          <w:sz w:val="24"/>
          <w:lang w:val="fr-CA"/>
        </w:rPr>
        <w:t>-</w:t>
      </w:r>
      <w:r w:rsidRPr="003B473F">
        <w:rPr>
          <w:rFonts w:ascii="Arial" w:hAnsi="Arial"/>
          <w:spacing w:val="-2"/>
          <w:sz w:val="24"/>
          <w:lang w:val="fr-CA"/>
        </w:rPr>
        <w:t>anticorps</w:t>
      </w:r>
      <w:r>
        <w:rPr>
          <w:rFonts w:ascii="Arial" w:hAnsi="Arial"/>
          <w:spacing w:val="-2"/>
          <w:sz w:val="24"/>
          <w:lang w:val="fr-CA"/>
        </w:rPr>
        <w:t>. Les unités de donneur sont compatibles avec le plasma du patient</w:t>
      </w:r>
      <w:r w:rsidR="00B4636F" w:rsidRPr="003D7739">
        <w:rPr>
          <w:rFonts w:ascii="Arial" w:hAnsi="Arial"/>
          <w:sz w:val="24"/>
          <w:lang w:val="fr-CA"/>
        </w:rPr>
        <w:t>.</w:t>
      </w:r>
      <w:r w:rsidR="00182232">
        <w:rPr>
          <w:rFonts w:ascii="Arial" w:hAnsi="Arial"/>
          <w:sz w:val="24"/>
          <w:lang w:val="fr-CA"/>
        </w:rPr>
        <w:t xml:space="preserve"> Noter qu’elles sont compatibles. </w:t>
      </w:r>
    </w:p>
    <w:p w:rsidR="00182232" w:rsidRDefault="00182232" w:rsidP="00182232">
      <w:pPr>
        <w:ind w:left="1440"/>
        <w:rPr>
          <w:rFonts w:ascii="Arial" w:hAnsi="Arial"/>
          <w:sz w:val="24"/>
          <w:lang w:val="fr-CA"/>
        </w:rPr>
      </w:pPr>
    </w:p>
    <w:p w:rsidR="00182232" w:rsidRDefault="00182232" w:rsidP="00182232">
      <w:pPr>
        <w:numPr>
          <w:ilvl w:val="1"/>
          <w:numId w:val="1"/>
        </w:numPr>
        <w:rPr>
          <w:rFonts w:ascii="Arial" w:hAnsi="Arial"/>
          <w:sz w:val="24"/>
          <w:lang w:val="fr-CA"/>
        </w:rPr>
      </w:pPr>
      <w:r>
        <w:rPr>
          <w:rFonts w:ascii="Arial" w:hAnsi="Arial"/>
          <w:sz w:val="24"/>
          <w:lang w:val="fr-CA"/>
        </w:rPr>
        <w:t xml:space="preserve">La présence d’agglutination indique l’existence d’une réaction antigène-anticorps; les unités du donneur ne sont pas compatibles avec le plasma ou le sérum du patient et ne doivent pas être transfusées à moins d’en obtenir l’autorisation du directeur médical du Service de médecine transfusionnelle ou de son représentant. Cette autorisation doit être documentée. Voir CAQ.010 – Protocole de consultation du directeur médical. </w:t>
      </w:r>
    </w:p>
    <w:p w:rsidR="00B4636F" w:rsidRPr="003D7739" w:rsidRDefault="00B4636F">
      <w:pPr>
        <w:ind w:left="720"/>
        <w:rPr>
          <w:rFonts w:ascii="Arial" w:hAnsi="Arial"/>
          <w:sz w:val="24"/>
          <w:lang w:val="fr-CA"/>
        </w:rPr>
      </w:pPr>
    </w:p>
    <w:p w:rsidR="00B4636F" w:rsidRPr="007A0421" w:rsidRDefault="007A0421">
      <w:pPr>
        <w:numPr>
          <w:ilvl w:val="1"/>
          <w:numId w:val="1"/>
        </w:numPr>
        <w:rPr>
          <w:rFonts w:ascii="Arial" w:hAnsi="Arial"/>
          <w:sz w:val="24"/>
          <w:lang w:val="fr-CA"/>
        </w:rPr>
      </w:pPr>
      <w:r w:rsidRPr="007A0421">
        <w:rPr>
          <w:rFonts w:ascii="Arial" w:hAnsi="Arial"/>
          <w:spacing w:val="-2"/>
          <w:sz w:val="24"/>
          <w:lang w:val="fr-CA"/>
        </w:rPr>
        <w:t>L’hémolyse en l’absence d’un échantillon hémolysé ou l’agglutination de tout globule rouge dans un microtube de la carte de gel signale la présence d’un anticorps contre l’antigène correspondant présent sur les cellules de donneur.</w:t>
      </w:r>
      <w:r w:rsidR="00B4636F" w:rsidRPr="007A0421">
        <w:rPr>
          <w:rFonts w:ascii="Arial" w:hAnsi="Arial"/>
          <w:spacing w:val="-2"/>
          <w:sz w:val="24"/>
          <w:lang w:val="fr-CA"/>
        </w:rPr>
        <w:t xml:space="preserve"> </w:t>
      </w:r>
      <w:r w:rsidRPr="007A0421">
        <w:rPr>
          <w:rFonts w:ascii="Arial" w:hAnsi="Arial"/>
          <w:sz w:val="24"/>
          <w:lang w:val="fr-CA"/>
        </w:rPr>
        <w:t>La présence d’agglutinat ou d’hémolyse indique que la ou les unités du donneur sont incompatibles.</w:t>
      </w:r>
      <w:r w:rsidR="00182232">
        <w:rPr>
          <w:rFonts w:ascii="Arial" w:hAnsi="Arial"/>
          <w:sz w:val="24"/>
          <w:lang w:val="fr-CA"/>
        </w:rPr>
        <w:t xml:space="preserve"> (Voir 7.2 au sujet de l’émission d’unités incompatibles.)</w:t>
      </w:r>
    </w:p>
    <w:p w:rsidR="00B4636F" w:rsidRPr="007A0421" w:rsidRDefault="00B4636F">
      <w:pPr>
        <w:ind w:left="720"/>
        <w:rPr>
          <w:rFonts w:ascii="Arial" w:hAnsi="Arial"/>
          <w:sz w:val="24"/>
          <w:lang w:val="fr-CA"/>
        </w:rPr>
      </w:pPr>
    </w:p>
    <w:p w:rsidR="00B4636F" w:rsidRPr="003232E2" w:rsidRDefault="007A0421" w:rsidP="003232E2">
      <w:pPr>
        <w:numPr>
          <w:ilvl w:val="1"/>
          <w:numId w:val="1"/>
        </w:numPr>
        <w:rPr>
          <w:rFonts w:ascii="Arial" w:hAnsi="Arial"/>
          <w:sz w:val="24"/>
          <w:lang w:val="fr-CA"/>
        </w:rPr>
      </w:pPr>
      <w:r w:rsidRPr="003232E2">
        <w:rPr>
          <w:rFonts w:ascii="Arial" w:hAnsi="Arial"/>
          <w:sz w:val="24"/>
          <w:lang w:val="fr-CA"/>
        </w:rPr>
        <w:t>Les tests de suivi peuvent comprendre une technique de pré-réchauffement.</w:t>
      </w:r>
      <w:r w:rsidR="003B473F" w:rsidRPr="003232E2">
        <w:rPr>
          <w:rFonts w:ascii="Arial" w:hAnsi="Arial"/>
          <w:sz w:val="24"/>
          <w:lang w:val="fr-CA"/>
        </w:rPr>
        <w:t xml:space="preserve"> </w:t>
      </w:r>
      <w:r w:rsidRPr="003232E2">
        <w:rPr>
          <w:rFonts w:ascii="Arial" w:hAnsi="Arial"/>
          <w:sz w:val="24"/>
          <w:lang w:val="fr-CA"/>
        </w:rPr>
        <w:t>Voir TG.004 - Identification d</w:t>
      </w:r>
      <w:r w:rsidR="001F2B03">
        <w:rPr>
          <w:rFonts w:ascii="Arial" w:hAnsi="Arial"/>
          <w:sz w:val="24"/>
          <w:lang w:val="fr-CA"/>
        </w:rPr>
        <w:t>’</w:t>
      </w:r>
      <w:r w:rsidRPr="003232E2">
        <w:rPr>
          <w:rFonts w:ascii="Arial" w:hAnsi="Arial"/>
          <w:sz w:val="24"/>
          <w:lang w:val="fr-CA"/>
        </w:rPr>
        <w:t>anticorps – Pré-réchauffement - carte de gel anti-IgG</w:t>
      </w:r>
      <w:r w:rsidR="00D415C3" w:rsidRPr="003232E2">
        <w:rPr>
          <w:rFonts w:ascii="Arial" w:hAnsi="Arial"/>
          <w:sz w:val="24"/>
          <w:lang w:val="fr-CA"/>
        </w:rPr>
        <w:t xml:space="preserve"> et/ou EC.001 – Technique de pré-réchauffement</w:t>
      </w:r>
      <w:r w:rsidRPr="003232E2">
        <w:rPr>
          <w:rFonts w:ascii="Arial" w:hAnsi="Arial"/>
          <w:sz w:val="24"/>
          <w:lang w:val="fr-CA"/>
        </w:rPr>
        <w:t>.</w:t>
      </w:r>
      <w:r w:rsidRPr="003232E2">
        <w:rPr>
          <w:rFonts w:ascii="Arial" w:hAnsi="Arial"/>
          <w:sz w:val="24"/>
          <w:lang w:val="fr-CA"/>
        </w:rPr>
        <w:br/>
      </w:r>
    </w:p>
    <w:p w:rsidR="00B4636F" w:rsidRPr="003B473F" w:rsidRDefault="007A0421">
      <w:pPr>
        <w:numPr>
          <w:ilvl w:val="1"/>
          <w:numId w:val="1"/>
        </w:numPr>
        <w:rPr>
          <w:rFonts w:ascii="Arial" w:hAnsi="Arial"/>
          <w:sz w:val="24"/>
          <w:lang w:val="fr-CA"/>
        </w:rPr>
      </w:pPr>
      <w:r w:rsidRPr="003B473F">
        <w:rPr>
          <w:rFonts w:ascii="Arial" w:hAnsi="Arial"/>
          <w:sz w:val="24"/>
          <w:lang w:val="fr-CA"/>
        </w:rPr>
        <w:t>En cas d’anémie hémolytique autoimmune avec anticorps chauds (</w:t>
      </w:r>
      <w:r w:rsidRPr="00E92E64">
        <w:rPr>
          <w:rFonts w:ascii="Arial" w:hAnsi="Arial"/>
          <w:i/>
          <w:sz w:val="24"/>
          <w:lang w:val="fr-CA"/>
        </w:rPr>
        <w:t>WAIHA</w:t>
      </w:r>
      <w:r w:rsidRPr="003B473F">
        <w:rPr>
          <w:rFonts w:ascii="Arial" w:hAnsi="Arial"/>
          <w:sz w:val="24"/>
          <w:lang w:val="fr-CA"/>
        </w:rPr>
        <w:t>), les unités de donneurs qui auraient dû être négatives d’un point de vue sérologique peuvent sembler positives en raison de l’activité de l’autoanticorps</w:t>
      </w:r>
      <w:r w:rsidR="00B4636F" w:rsidRPr="003B473F">
        <w:rPr>
          <w:rFonts w:ascii="Arial" w:hAnsi="Arial"/>
          <w:sz w:val="24"/>
          <w:lang w:val="fr-CA"/>
        </w:rPr>
        <w:t>.</w:t>
      </w:r>
      <w:r w:rsidR="003B473F">
        <w:rPr>
          <w:rFonts w:ascii="Arial" w:hAnsi="Arial"/>
          <w:sz w:val="24"/>
          <w:lang w:val="fr-CA"/>
        </w:rPr>
        <w:t xml:space="preserve"> </w:t>
      </w:r>
      <w:r w:rsidRPr="003B473F">
        <w:rPr>
          <w:rFonts w:ascii="Arial" w:hAnsi="Arial"/>
          <w:sz w:val="24"/>
          <w:lang w:val="fr-CA"/>
        </w:rPr>
        <w:t xml:space="preserve">Confirmer l’absence </w:t>
      </w:r>
      <w:r w:rsidR="00D415C3">
        <w:rPr>
          <w:rFonts w:ascii="Arial" w:hAnsi="Arial"/>
          <w:sz w:val="24"/>
          <w:lang w:val="fr-CA"/>
        </w:rPr>
        <w:t xml:space="preserve">sur les cellules du donneur </w:t>
      </w:r>
      <w:r w:rsidRPr="003B473F">
        <w:rPr>
          <w:rFonts w:ascii="Arial" w:hAnsi="Arial"/>
          <w:sz w:val="24"/>
          <w:lang w:val="fr-CA"/>
        </w:rPr>
        <w:t>de tout antigène à un allo</w:t>
      </w:r>
      <w:r w:rsidR="002129FF">
        <w:rPr>
          <w:rFonts w:ascii="Arial" w:hAnsi="Arial"/>
          <w:sz w:val="24"/>
          <w:lang w:val="fr-CA"/>
        </w:rPr>
        <w:t>-a</w:t>
      </w:r>
      <w:r w:rsidRPr="003B473F">
        <w:rPr>
          <w:rFonts w:ascii="Arial" w:hAnsi="Arial"/>
          <w:sz w:val="24"/>
          <w:lang w:val="fr-CA"/>
        </w:rPr>
        <w:t>nticorps connu d’importance clinique significative.</w:t>
      </w:r>
      <w:r w:rsidR="003B473F">
        <w:rPr>
          <w:rFonts w:ascii="Arial" w:hAnsi="Arial"/>
          <w:sz w:val="24"/>
          <w:lang w:val="fr-CA"/>
        </w:rPr>
        <w:t xml:space="preserve"> </w:t>
      </w:r>
      <w:r w:rsidRPr="003B473F">
        <w:rPr>
          <w:rFonts w:ascii="Arial" w:hAnsi="Arial"/>
          <w:sz w:val="24"/>
          <w:lang w:val="fr-CA"/>
        </w:rPr>
        <w:t>Entreprendre des études d’absorption, au besoin.</w:t>
      </w:r>
      <w:r w:rsidR="00B4636F" w:rsidRPr="003B473F">
        <w:rPr>
          <w:rFonts w:ascii="Arial" w:hAnsi="Arial"/>
          <w:sz w:val="24"/>
          <w:lang w:val="fr-CA"/>
        </w:rPr>
        <w:t xml:space="preserve"> </w:t>
      </w:r>
      <w:r w:rsidRPr="003B473F">
        <w:rPr>
          <w:rFonts w:ascii="Arial" w:hAnsi="Arial"/>
          <w:sz w:val="24"/>
          <w:lang w:val="fr-CA"/>
        </w:rPr>
        <w:t>Si la situation est urgente ou qu’une absorption complète est impossible, suivre l’étape</w:t>
      </w:r>
      <w:r w:rsidR="001F2B03">
        <w:rPr>
          <w:rFonts w:ascii="Arial" w:hAnsi="Arial"/>
          <w:sz w:val="24"/>
          <w:lang w:val="fr-CA"/>
        </w:rPr>
        <w:t> </w:t>
      </w:r>
      <w:r w:rsidRPr="003B473F">
        <w:rPr>
          <w:rFonts w:ascii="Arial" w:hAnsi="Arial"/>
          <w:sz w:val="24"/>
          <w:lang w:val="fr-CA"/>
        </w:rPr>
        <w:t>7.2 relative à l’émission d’unités incompatibles.</w:t>
      </w:r>
    </w:p>
    <w:p w:rsidR="00B4636F" w:rsidRPr="003D7739" w:rsidRDefault="00B4636F">
      <w:pPr>
        <w:ind w:left="720"/>
        <w:rPr>
          <w:rFonts w:ascii="Arial" w:hAnsi="Arial"/>
          <w:sz w:val="24"/>
          <w:lang w:val="fr-CA"/>
        </w:rPr>
      </w:pPr>
    </w:p>
    <w:p w:rsidR="00B4636F" w:rsidRPr="007A0421" w:rsidRDefault="007A0421">
      <w:pPr>
        <w:numPr>
          <w:ilvl w:val="0"/>
          <w:numId w:val="1"/>
        </w:numPr>
        <w:rPr>
          <w:rFonts w:ascii="Arial" w:hAnsi="Arial"/>
          <w:b/>
          <w:sz w:val="28"/>
          <w:lang w:val="fr-CA"/>
        </w:rPr>
      </w:pPr>
      <w:r w:rsidRPr="007A0421">
        <w:rPr>
          <w:rFonts w:ascii="Arial" w:hAnsi="Arial"/>
          <w:b/>
          <w:sz w:val="28"/>
          <w:lang w:val="fr-CA"/>
        </w:rPr>
        <w:t>Remarques</w:t>
      </w:r>
    </w:p>
    <w:p w:rsidR="00B4636F" w:rsidRPr="007A0421" w:rsidRDefault="00B4636F">
      <w:pPr>
        <w:rPr>
          <w:rFonts w:ascii="Arial" w:hAnsi="Arial"/>
          <w:sz w:val="24"/>
          <w:lang w:val="fr-CA"/>
        </w:rPr>
      </w:pPr>
    </w:p>
    <w:p w:rsidR="003232E2" w:rsidRPr="003232E2" w:rsidRDefault="003232E2">
      <w:pPr>
        <w:numPr>
          <w:ilvl w:val="1"/>
          <w:numId w:val="1"/>
        </w:numPr>
        <w:rPr>
          <w:rFonts w:ascii="Arial" w:hAnsi="Arial"/>
          <w:sz w:val="24"/>
          <w:lang w:val="fr-CA"/>
        </w:rPr>
      </w:pPr>
      <w:r>
        <w:rPr>
          <w:rFonts w:ascii="Arial" w:hAnsi="Arial"/>
          <w:sz w:val="24"/>
          <w:szCs w:val="24"/>
          <w:lang w:val="fr-CA"/>
        </w:rPr>
        <w:t xml:space="preserve">Les </w:t>
      </w:r>
      <w:r w:rsidRPr="005F4283">
        <w:rPr>
          <w:rFonts w:ascii="Arial" w:hAnsi="Arial"/>
          <w:sz w:val="24"/>
          <w:szCs w:val="24"/>
          <w:lang w:val="fr-CA"/>
        </w:rPr>
        <w:t xml:space="preserve">anticorps spécifiques aux antigènes </w:t>
      </w:r>
      <w:r>
        <w:rPr>
          <w:rFonts w:ascii="Arial" w:hAnsi="Arial"/>
          <w:sz w:val="24"/>
          <w:szCs w:val="24"/>
          <w:lang w:val="fr-CA"/>
        </w:rPr>
        <w:t>peu fréquents qui ne sont pas représentés dans les cellules témoins ne seront pas dépistés.</w:t>
      </w:r>
    </w:p>
    <w:p w:rsidR="003232E2" w:rsidRPr="003232E2" w:rsidRDefault="003232E2" w:rsidP="003232E2">
      <w:pPr>
        <w:ind w:left="1440"/>
        <w:rPr>
          <w:rFonts w:ascii="Arial" w:hAnsi="Arial"/>
          <w:sz w:val="24"/>
          <w:lang w:val="fr-CA"/>
        </w:rPr>
      </w:pPr>
    </w:p>
    <w:p w:rsidR="003232E2" w:rsidRPr="003232E2" w:rsidRDefault="003232E2" w:rsidP="003232E2">
      <w:pPr>
        <w:numPr>
          <w:ilvl w:val="1"/>
          <w:numId w:val="1"/>
        </w:numPr>
        <w:rPr>
          <w:rFonts w:ascii="Arial" w:hAnsi="Arial"/>
          <w:sz w:val="24"/>
          <w:lang w:val="fr-CA"/>
        </w:rPr>
      </w:pPr>
      <w:r w:rsidRPr="003232E2">
        <w:rPr>
          <w:rFonts w:ascii="Arial" w:hAnsi="Arial"/>
          <w:spacing w:val="-2"/>
          <w:sz w:val="24"/>
          <w:szCs w:val="24"/>
          <w:lang w:val="fr-CA"/>
        </w:rPr>
        <w:t>Il est possible que cette épreuve ne permette pas la détection d’anticorps en deçà du niveau seuil.</w:t>
      </w:r>
    </w:p>
    <w:p w:rsidR="003232E2" w:rsidRDefault="003232E2" w:rsidP="003232E2">
      <w:pPr>
        <w:pStyle w:val="ListParagraph"/>
        <w:rPr>
          <w:rFonts w:ascii="Arial" w:hAnsi="Arial"/>
          <w:spacing w:val="-2"/>
          <w:sz w:val="24"/>
          <w:lang w:val="fr-CA"/>
        </w:rPr>
      </w:pPr>
    </w:p>
    <w:p w:rsidR="003232E2" w:rsidRPr="003232E2" w:rsidRDefault="003232E2" w:rsidP="003232E2">
      <w:pPr>
        <w:numPr>
          <w:ilvl w:val="1"/>
          <w:numId w:val="1"/>
        </w:numPr>
        <w:rPr>
          <w:rFonts w:ascii="Arial" w:hAnsi="Arial"/>
          <w:sz w:val="24"/>
          <w:lang w:val="fr-CA"/>
        </w:rPr>
      </w:pPr>
      <w:r w:rsidRPr="005F4283">
        <w:rPr>
          <w:rFonts w:ascii="Arial" w:hAnsi="Arial"/>
          <w:spacing w:val="-2"/>
          <w:sz w:val="24"/>
          <w:szCs w:val="24"/>
          <w:lang w:val="fr-CA"/>
        </w:rPr>
        <w:t>À l</w:t>
      </w:r>
      <w:r>
        <w:rPr>
          <w:rFonts w:ascii="Arial" w:hAnsi="Arial"/>
          <w:spacing w:val="-2"/>
          <w:sz w:val="24"/>
          <w:szCs w:val="24"/>
          <w:lang w:val="fr-CA"/>
        </w:rPr>
        <w:t>’</w:t>
      </w:r>
      <w:r w:rsidRPr="005F4283">
        <w:rPr>
          <w:rFonts w:ascii="Arial" w:hAnsi="Arial"/>
          <w:spacing w:val="-2"/>
          <w:sz w:val="24"/>
          <w:szCs w:val="24"/>
          <w:lang w:val="fr-CA"/>
        </w:rPr>
        <w:t>occasion, les anti-IgG ne permettent pas la détection d</w:t>
      </w:r>
      <w:r>
        <w:rPr>
          <w:rFonts w:ascii="Arial" w:hAnsi="Arial"/>
          <w:spacing w:val="-2"/>
          <w:sz w:val="24"/>
          <w:szCs w:val="24"/>
          <w:lang w:val="fr-CA"/>
        </w:rPr>
        <w:t>’</w:t>
      </w:r>
      <w:r w:rsidRPr="005F4283">
        <w:rPr>
          <w:rFonts w:ascii="Arial" w:hAnsi="Arial"/>
          <w:spacing w:val="-2"/>
          <w:sz w:val="24"/>
          <w:szCs w:val="24"/>
          <w:lang w:val="fr-CA"/>
        </w:rPr>
        <w:t>anticorps dont on peut démontrer la présence à l</w:t>
      </w:r>
      <w:r>
        <w:rPr>
          <w:rFonts w:ascii="Arial" w:hAnsi="Arial"/>
          <w:spacing w:val="-2"/>
          <w:sz w:val="24"/>
          <w:szCs w:val="24"/>
          <w:lang w:val="fr-CA"/>
        </w:rPr>
        <w:t>’</w:t>
      </w:r>
      <w:r w:rsidRPr="005F4283">
        <w:rPr>
          <w:rFonts w:ascii="Arial" w:hAnsi="Arial"/>
          <w:spacing w:val="-2"/>
          <w:sz w:val="24"/>
          <w:szCs w:val="24"/>
          <w:lang w:val="fr-CA"/>
        </w:rPr>
        <w:t>aide d</w:t>
      </w:r>
      <w:r>
        <w:rPr>
          <w:rFonts w:ascii="Arial" w:hAnsi="Arial"/>
          <w:spacing w:val="-2"/>
          <w:sz w:val="24"/>
          <w:szCs w:val="24"/>
          <w:lang w:val="fr-CA"/>
        </w:rPr>
        <w:t>’</w:t>
      </w:r>
      <w:r w:rsidRPr="005F4283">
        <w:rPr>
          <w:rFonts w:ascii="Arial" w:hAnsi="Arial"/>
          <w:spacing w:val="-2"/>
          <w:sz w:val="24"/>
          <w:szCs w:val="24"/>
          <w:lang w:val="fr-CA"/>
        </w:rPr>
        <w:t>un réactif d</w:t>
      </w:r>
      <w:r>
        <w:rPr>
          <w:rFonts w:ascii="Arial" w:hAnsi="Arial"/>
          <w:spacing w:val="-2"/>
          <w:sz w:val="24"/>
          <w:szCs w:val="24"/>
          <w:lang w:val="fr-CA"/>
        </w:rPr>
        <w:t>’</w:t>
      </w:r>
      <w:r w:rsidRPr="005F4283">
        <w:rPr>
          <w:rFonts w:ascii="Arial" w:hAnsi="Arial"/>
          <w:spacing w:val="-2"/>
          <w:sz w:val="24"/>
          <w:szCs w:val="24"/>
          <w:lang w:val="fr-CA"/>
        </w:rPr>
        <w:t>antiglobuline contenant des anti-C3</w:t>
      </w:r>
      <w:r>
        <w:rPr>
          <w:rFonts w:ascii="Arial" w:hAnsi="Arial"/>
          <w:spacing w:val="-2"/>
          <w:sz w:val="24"/>
          <w:szCs w:val="24"/>
          <w:lang w:val="fr-CA"/>
        </w:rPr>
        <w:t>.</w:t>
      </w:r>
    </w:p>
    <w:p w:rsidR="003232E2" w:rsidRDefault="003232E2" w:rsidP="003232E2">
      <w:pPr>
        <w:pStyle w:val="ListParagraph"/>
        <w:rPr>
          <w:rFonts w:ascii="Arial" w:hAnsi="Arial"/>
          <w:spacing w:val="-2"/>
          <w:sz w:val="24"/>
          <w:lang w:val="fr-CA"/>
        </w:rPr>
      </w:pPr>
    </w:p>
    <w:p w:rsidR="003232E2" w:rsidRPr="003232E2" w:rsidRDefault="003232E2" w:rsidP="003232E2">
      <w:pPr>
        <w:numPr>
          <w:ilvl w:val="1"/>
          <w:numId w:val="1"/>
        </w:numPr>
        <w:rPr>
          <w:rFonts w:ascii="Arial" w:hAnsi="Arial"/>
          <w:sz w:val="24"/>
          <w:lang w:val="fr-CA"/>
        </w:rPr>
      </w:pPr>
      <w:r w:rsidRPr="005F4283">
        <w:rPr>
          <w:rFonts w:ascii="Arial" w:hAnsi="Arial"/>
          <w:spacing w:val="-2"/>
          <w:sz w:val="24"/>
          <w:szCs w:val="24"/>
          <w:lang w:val="fr-CA"/>
        </w:rPr>
        <w:t>La présence dans le sérum d</w:t>
      </w:r>
      <w:r>
        <w:rPr>
          <w:rFonts w:ascii="Arial" w:hAnsi="Arial"/>
          <w:spacing w:val="-2"/>
          <w:sz w:val="24"/>
          <w:szCs w:val="24"/>
          <w:lang w:val="fr-CA"/>
        </w:rPr>
        <w:t>’</w:t>
      </w:r>
      <w:r w:rsidRPr="005F4283">
        <w:rPr>
          <w:rFonts w:ascii="Arial" w:hAnsi="Arial"/>
          <w:spacing w:val="-2"/>
          <w:sz w:val="24"/>
          <w:szCs w:val="24"/>
          <w:lang w:val="fr-CA"/>
        </w:rPr>
        <w:t>anticorps réagissant à des composants de la solution de conservation pourrait entraîner de faux résultats positifs</w:t>
      </w:r>
      <w:r>
        <w:rPr>
          <w:rFonts w:ascii="Arial" w:hAnsi="Arial"/>
          <w:spacing w:val="-2"/>
          <w:sz w:val="24"/>
          <w:szCs w:val="24"/>
          <w:lang w:val="fr-CA"/>
        </w:rPr>
        <w:t>.</w:t>
      </w:r>
    </w:p>
    <w:p w:rsidR="00B4636F" w:rsidRPr="003D7739" w:rsidRDefault="00B4636F">
      <w:pPr>
        <w:ind w:left="720"/>
        <w:rPr>
          <w:rFonts w:ascii="Arial" w:hAnsi="Arial"/>
          <w:sz w:val="24"/>
          <w:lang w:val="fr-CA"/>
        </w:rPr>
      </w:pPr>
    </w:p>
    <w:p w:rsidR="00B4636F" w:rsidRDefault="007A0421">
      <w:pPr>
        <w:numPr>
          <w:ilvl w:val="1"/>
          <w:numId w:val="1"/>
        </w:numPr>
        <w:rPr>
          <w:rFonts w:ascii="Arial" w:hAnsi="Arial"/>
          <w:sz w:val="24"/>
          <w:lang w:val="fr-CA"/>
        </w:rPr>
      </w:pPr>
      <w:r w:rsidRPr="007A0421">
        <w:rPr>
          <w:rFonts w:ascii="Arial" w:hAnsi="Arial"/>
          <w:sz w:val="24"/>
          <w:lang w:val="fr-CA"/>
        </w:rPr>
        <w:t xml:space="preserve">Présence de segments coagulés </w:t>
      </w:r>
      <w:r w:rsidR="00D27FBF">
        <w:rPr>
          <w:rFonts w:ascii="Arial" w:hAnsi="Arial"/>
          <w:sz w:val="24"/>
          <w:lang w:val="fr-CA"/>
        </w:rPr>
        <w:t>sur</w:t>
      </w:r>
      <w:r w:rsidR="00D27FBF" w:rsidRPr="007A0421">
        <w:rPr>
          <w:rFonts w:ascii="Arial" w:hAnsi="Arial"/>
          <w:sz w:val="24"/>
          <w:lang w:val="fr-CA"/>
        </w:rPr>
        <w:t xml:space="preserve"> </w:t>
      </w:r>
      <w:r w:rsidRPr="007A0421">
        <w:rPr>
          <w:rFonts w:ascii="Arial" w:hAnsi="Arial"/>
          <w:sz w:val="24"/>
          <w:lang w:val="fr-CA"/>
        </w:rPr>
        <w:t>une unité de donneur :</w:t>
      </w:r>
    </w:p>
    <w:p w:rsidR="001F2B03" w:rsidRDefault="001F2B03" w:rsidP="001F2B03">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4068"/>
      </w:tblGrid>
      <w:tr w:rsidR="002B729E" w:rsidRPr="00DF477C" w:rsidTr="00DF477C">
        <w:tc>
          <w:tcPr>
            <w:tcW w:w="3262" w:type="dxa"/>
          </w:tcPr>
          <w:p w:rsidR="002B729E" w:rsidRPr="00DF477C" w:rsidRDefault="002B729E" w:rsidP="002B729E">
            <w:pPr>
              <w:rPr>
                <w:rFonts w:ascii="Arial" w:hAnsi="Arial"/>
                <w:i/>
                <w:lang w:val="fr-CA"/>
              </w:rPr>
            </w:pPr>
            <w:r w:rsidRPr="00DF477C">
              <w:rPr>
                <w:rFonts w:ascii="Arial" w:hAnsi="Arial"/>
                <w:i/>
                <w:lang w:val="fr-CA"/>
              </w:rPr>
              <w:t>Si…</w:t>
            </w:r>
          </w:p>
        </w:tc>
        <w:tc>
          <w:tcPr>
            <w:tcW w:w="4068" w:type="dxa"/>
          </w:tcPr>
          <w:p w:rsidR="002B729E" w:rsidRPr="00DF477C" w:rsidRDefault="002B729E" w:rsidP="002B729E">
            <w:pPr>
              <w:rPr>
                <w:rFonts w:ascii="Arial" w:hAnsi="Arial"/>
                <w:i/>
                <w:lang w:val="fr-CA"/>
              </w:rPr>
            </w:pPr>
            <w:r w:rsidRPr="00DF477C">
              <w:rPr>
                <w:rFonts w:ascii="Arial" w:hAnsi="Arial"/>
                <w:i/>
                <w:lang w:val="fr-CA"/>
              </w:rPr>
              <w:t>vous devez…</w:t>
            </w:r>
          </w:p>
        </w:tc>
      </w:tr>
      <w:tr w:rsidR="002B729E" w:rsidRPr="00DF477C" w:rsidTr="00DF477C">
        <w:tc>
          <w:tcPr>
            <w:tcW w:w="3262" w:type="dxa"/>
          </w:tcPr>
          <w:p w:rsidR="002B729E" w:rsidRPr="00DF477C" w:rsidRDefault="002B729E">
            <w:pPr>
              <w:rPr>
                <w:rFonts w:ascii="Arial" w:hAnsi="Arial"/>
                <w:sz w:val="22"/>
                <w:lang w:val="fr-CA"/>
              </w:rPr>
            </w:pPr>
            <w:r w:rsidRPr="00DF477C">
              <w:rPr>
                <w:rFonts w:ascii="Arial" w:hAnsi="Arial"/>
                <w:sz w:val="22"/>
                <w:lang w:val="fr-CA"/>
              </w:rPr>
              <w:t>des segments coagulés sont trouvés sur une unité de donneur,</w:t>
            </w:r>
          </w:p>
        </w:tc>
        <w:tc>
          <w:tcPr>
            <w:tcW w:w="4068" w:type="dxa"/>
          </w:tcPr>
          <w:p w:rsidR="002B729E" w:rsidRPr="00DF477C" w:rsidRDefault="002B729E" w:rsidP="002B729E">
            <w:pPr>
              <w:rPr>
                <w:rFonts w:ascii="Arial" w:hAnsi="Arial"/>
                <w:sz w:val="22"/>
                <w:lang w:val="fr-CA"/>
              </w:rPr>
            </w:pPr>
            <w:r w:rsidRPr="00DF477C">
              <w:rPr>
                <w:rFonts w:ascii="Arial" w:hAnsi="Arial"/>
                <w:sz w:val="22"/>
                <w:lang w:val="fr-CA"/>
              </w:rPr>
              <w:t>ouvrir les segments suivants attachés au sac, jusqu</w:t>
            </w:r>
            <w:r w:rsidR="001F2B03" w:rsidRPr="00DF477C">
              <w:rPr>
                <w:rFonts w:ascii="Arial" w:hAnsi="Arial"/>
                <w:sz w:val="22"/>
                <w:lang w:val="fr-CA"/>
              </w:rPr>
              <w:t>’</w:t>
            </w:r>
            <w:r w:rsidRPr="00DF477C">
              <w:rPr>
                <w:rFonts w:ascii="Arial" w:hAnsi="Arial"/>
                <w:sz w:val="22"/>
                <w:lang w:val="fr-CA"/>
              </w:rPr>
              <w:t>à ce que vous trouviez un segment qui ne soit pas coagulé</w:t>
            </w:r>
          </w:p>
        </w:tc>
      </w:tr>
      <w:tr w:rsidR="002B729E" w:rsidRPr="00DF477C" w:rsidTr="00DF477C">
        <w:tc>
          <w:tcPr>
            <w:tcW w:w="3262" w:type="dxa"/>
          </w:tcPr>
          <w:p w:rsidR="002B729E" w:rsidRPr="00DF477C" w:rsidRDefault="002B729E">
            <w:pPr>
              <w:rPr>
                <w:rFonts w:ascii="Arial" w:hAnsi="Arial"/>
                <w:sz w:val="22"/>
                <w:lang w:val="fr-CA"/>
              </w:rPr>
            </w:pPr>
            <w:r w:rsidRPr="00DF477C">
              <w:rPr>
                <w:rFonts w:ascii="Arial" w:hAnsi="Arial"/>
                <w:sz w:val="22"/>
                <w:lang w:val="fr-CA"/>
              </w:rPr>
              <w:t>tous les segments sont coagulés,</w:t>
            </w:r>
          </w:p>
        </w:tc>
        <w:tc>
          <w:tcPr>
            <w:tcW w:w="4068" w:type="dxa"/>
          </w:tcPr>
          <w:p w:rsidR="002B729E" w:rsidRPr="00DF477C" w:rsidRDefault="002B729E" w:rsidP="002B729E">
            <w:pPr>
              <w:rPr>
                <w:rFonts w:ascii="Arial" w:hAnsi="Arial"/>
                <w:sz w:val="22"/>
                <w:lang w:val="fr-CA"/>
              </w:rPr>
            </w:pPr>
            <w:r w:rsidRPr="00DF477C">
              <w:rPr>
                <w:rFonts w:ascii="Arial" w:hAnsi="Arial"/>
                <w:sz w:val="22"/>
                <w:lang w:val="fr-CA"/>
              </w:rPr>
              <w:t>en aviser le fournisseur de sang. Voir GS.005 - Disposition finale du sang, des composants sanguins et des produits connexes qui ne sont pas en état d</w:t>
            </w:r>
            <w:r w:rsidR="001F2B03" w:rsidRPr="00DF477C">
              <w:rPr>
                <w:rFonts w:ascii="Arial" w:hAnsi="Arial"/>
                <w:sz w:val="22"/>
                <w:lang w:val="fr-CA"/>
              </w:rPr>
              <w:t>’</w:t>
            </w:r>
            <w:r w:rsidRPr="00DF477C">
              <w:rPr>
                <w:rFonts w:ascii="Arial" w:hAnsi="Arial"/>
                <w:sz w:val="22"/>
                <w:lang w:val="fr-CA"/>
              </w:rPr>
              <w:t>être transfusés - procédure manuelle.</w:t>
            </w:r>
          </w:p>
        </w:tc>
      </w:tr>
    </w:tbl>
    <w:p w:rsidR="001F2B03" w:rsidRDefault="001F2B03" w:rsidP="001F2B03">
      <w:pPr>
        <w:ind w:left="1440"/>
        <w:rPr>
          <w:rFonts w:ascii="Arial" w:hAnsi="Arial"/>
          <w:sz w:val="24"/>
          <w:lang w:val="fr-CA"/>
        </w:rPr>
      </w:pPr>
    </w:p>
    <w:p w:rsidR="00141297" w:rsidRDefault="00141297" w:rsidP="00141297">
      <w:pPr>
        <w:numPr>
          <w:ilvl w:val="1"/>
          <w:numId w:val="1"/>
        </w:numPr>
        <w:rPr>
          <w:rFonts w:ascii="Arial" w:hAnsi="Arial"/>
          <w:sz w:val="24"/>
          <w:lang w:val="fr-CA"/>
        </w:rPr>
      </w:pPr>
      <w:r w:rsidRPr="007A0421">
        <w:rPr>
          <w:rFonts w:ascii="Arial" w:hAnsi="Arial"/>
          <w:sz w:val="24"/>
          <w:lang w:val="fr-CA"/>
        </w:rPr>
        <w:t xml:space="preserve">Présence de segments </w:t>
      </w:r>
      <w:r>
        <w:rPr>
          <w:rFonts w:ascii="Arial" w:hAnsi="Arial"/>
          <w:sz w:val="24"/>
          <w:lang w:val="fr-CA"/>
        </w:rPr>
        <w:t>hémolysés au moment du lavage du segment (c.-à-d. surnageant rougeâtre)</w:t>
      </w:r>
      <w:r w:rsidRPr="007A0421">
        <w:rPr>
          <w:rFonts w:ascii="Arial" w:hAnsi="Arial"/>
          <w:sz w:val="24"/>
          <w:lang w:val="fr-CA"/>
        </w:rPr>
        <w:t> :</w:t>
      </w:r>
    </w:p>
    <w:p w:rsidR="00141297" w:rsidRPr="007A0421" w:rsidRDefault="00141297" w:rsidP="00141297">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4068"/>
      </w:tblGrid>
      <w:tr w:rsidR="00141297" w:rsidRPr="00DF477C" w:rsidTr="00DF477C">
        <w:tc>
          <w:tcPr>
            <w:tcW w:w="3262" w:type="dxa"/>
          </w:tcPr>
          <w:p w:rsidR="00141297" w:rsidRPr="00DF477C" w:rsidRDefault="00141297" w:rsidP="00DF477C">
            <w:pPr>
              <w:rPr>
                <w:rFonts w:ascii="Arial" w:hAnsi="Arial"/>
                <w:i/>
                <w:lang w:val="fr-CA"/>
              </w:rPr>
            </w:pPr>
            <w:r w:rsidRPr="00DF477C">
              <w:rPr>
                <w:rFonts w:ascii="Arial" w:hAnsi="Arial"/>
                <w:i/>
                <w:lang w:val="fr-CA"/>
              </w:rPr>
              <w:t>Si…</w:t>
            </w:r>
          </w:p>
        </w:tc>
        <w:tc>
          <w:tcPr>
            <w:tcW w:w="4068" w:type="dxa"/>
          </w:tcPr>
          <w:p w:rsidR="00141297" w:rsidRPr="00DF477C" w:rsidRDefault="00141297" w:rsidP="00DF477C">
            <w:pPr>
              <w:rPr>
                <w:rFonts w:ascii="Arial" w:hAnsi="Arial"/>
                <w:i/>
                <w:lang w:val="fr-CA"/>
              </w:rPr>
            </w:pPr>
            <w:r w:rsidRPr="00DF477C">
              <w:rPr>
                <w:rFonts w:ascii="Arial" w:hAnsi="Arial"/>
                <w:i/>
                <w:lang w:val="fr-CA"/>
              </w:rPr>
              <w:t>vous devez…</w:t>
            </w:r>
          </w:p>
        </w:tc>
      </w:tr>
      <w:tr w:rsidR="00141297" w:rsidRPr="00DF477C" w:rsidTr="00DF477C">
        <w:tc>
          <w:tcPr>
            <w:tcW w:w="3262" w:type="dxa"/>
          </w:tcPr>
          <w:p w:rsidR="00141297" w:rsidRPr="00DF477C" w:rsidRDefault="00141297" w:rsidP="00141297">
            <w:pPr>
              <w:rPr>
                <w:rFonts w:ascii="Arial" w:hAnsi="Arial"/>
                <w:sz w:val="22"/>
                <w:lang w:val="fr-CA"/>
              </w:rPr>
            </w:pPr>
            <w:r w:rsidRPr="00DF477C">
              <w:rPr>
                <w:rFonts w:ascii="Arial" w:hAnsi="Arial"/>
                <w:sz w:val="22"/>
                <w:lang w:val="fr-CA"/>
              </w:rPr>
              <w:t>Un segment hémolysé est trouvé,</w:t>
            </w:r>
          </w:p>
        </w:tc>
        <w:tc>
          <w:tcPr>
            <w:tcW w:w="4068" w:type="dxa"/>
          </w:tcPr>
          <w:p w:rsidR="00141297" w:rsidRPr="00DF477C" w:rsidRDefault="00141297" w:rsidP="00141297">
            <w:pPr>
              <w:rPr>
                <w:rFonts w:ascii="Arial" w:hAnsi="Arial"/>
                <w:sz w:val="22"/>
                <w:lang w:val="fr-CA"/>
              </w:rPr>
            </w:pPr>
            <w:r w:rsidRPr="00DF477C">
              <w:rPr>
                <w:rFonts w:ascii="Arial" w:hAnsi="Arial"/>
                <w:sz w:val="22"/>
                <w:lang w:val="fr-CA"/>
              </w:rPr>
              <w:t>ouvrir les segments suivants attachés au sac, jusqu</w:t>
            </w:r>
            <w:r w:rsidR="001F2B03" w:rsidRPr="00DF477C">
              <w:rPr>
                <w:rFonts w:ascii="Arial" w:hAnsi="Arial"/>
                <w:sz w:val="22"/>
                <w:lang w:val="fr-CA"/>
              </w:rPr>
              <w:t>’</w:t>
            </w:r>
            <w:r w:rsidRPr="00DF477C">
              <w:rPr>
                <w:rFonts w:ascii="Arial" w:hAnsi="Arial"/>
                <w:sz w:val="22"/>
                <w:lang w:val="fr-CA"/>
              </w:rPr>
              <w:t>à ce que vous trouviez un segment qui ne soit pas hémolysé</w:t>
            </w:r>
          </w:p>
        </w:tc>
      </w:tr>
      <w:tr w:rsidR="00141297" w:rsidRPr="00DF477C" w:rsidTr="00DF477C">
        <w:tc>
          <w:tcPr>
            <w:tcW w:w="3262" w:type="dxa"/>
          </w:tcPr>
          <w:p w:rsidR="00141297" w:rsidRPr="00DF477C" w:rsidRDefault="00141297" w:rsidP="00141297">
            <w:pPr>
              <w:rPr>
                <w:rFonts w:ascii="Arial" w:hAnsi="Arial"/>
                <w:sz w:val="22"/>
                <w:lang w:val="fr-CA"/>
              </w:rPr>
            </w:pPr>
            <w:r w:rsidRPr="00DF477C">
              <w:rPr>
                <w:rFonts w:ascii="Arial" w:hAnsi="Arial"/>
                <w:sz w:val="22"/>
                <w:lang w:val="fr-CA"/>
              </w:rPr>
              <w:t>tous les segments sont hémolysés,</w:t>
            </w:r>
          </w:p>
        </w:tc>
        <w:tc>
          <w:tcPr>
            <w:tcW w:w="4068" w:type="dxa"/>
          </w:tcPr>
          <w:p w:rsidR="00141297" w:rsidRPr="00DF477C" w:rsidRDefault="00141297" w:rsidP="00DF477C">
            <w:pPr>
              <w:rPr>
                <w:rFonts w:ascii="Arial" w:hAnsi="Arial"/>
                <w:sz w:val="22"/>
                <w:lang w:val="fr-CA"/>
              </w:rPr>
            </w:pPr>
            <w:r w:rsidRPr="00DF477C">
              <w:rPr>
                <w:rFonts w:ascii="Arial" w:hAnsi="Arial"/>
                <w:sz w:val="22"/>
                <w:lang w:val="fr-CA"/>
              </w:rPr>
              <w:t>en aviser le fournisseur de sang. Voir GS.005 - Disposition finale du sang, des composants sanguins et des produits connexes qui ne sont pas en état d</w:t>
            </w:r>
            <w:r w:rsidR="001F2B03" w:rsidRPr="00DF477C">
              <w:rPr>
                <w:rFonts w:ascii="Arial" w:hAnsi="Arial"/>
                <w:sz w:val="22"/>
                <w:lang w:val="fr-CA"/>
              </w:rPr>
              <w:t>’</w:t>
            </w:r>
            <w:r w:rsidRPr="00DF477C">
              <w:rPr>
                <w:rFonts w:ascii="Arial" w:hAnsi="Arial"/>
                <w:sz w:val="22"/>
                <w:lang w:val="fr-CA"/>
              </w:rPr>
              <w:t>être transfusés - procédure manuelle.</w:t>
            </w:r>
          </w:p>
        </w:tc>
      </w:tr>
    </w:tbl>
    <w:p w:rsidR="00B4636F" w:rsidRPr="003D7739" w:rsidRDefault="00B4636F">
      <w:pPr>
        <w:ind w:left="720"/>
        <w:rPr>
          <w:rFonts w:ascii="Arial" w:hAnsi="Arial"/>
          <w:sz w:val="24"/>
          <w:lang w:val="fr-CA"/>
        </w:rPr>
      </w:pPr>
    </w:p>
    <w:p w:rsidR="003232E2" w:rsidRPr="00141297" w:rsidRDefault="003232E2" w:rsidP="00141297">
      <w:pPr>
        <w:numPr>
          <w:ilvl w:val="1"/>
          <w:numId w:val="1"/>
        </w:numPr>
        <w:rPr>
          <w:rFonts w:ascii="Arial" w:hAnsi="Arial"/>
          <w:sz w:val="24"/>
          <w:lang w:val="fr-CA"/>
        </w:rPr>
      </w:pPr>
      <w:r w:rsidRPr="003232E2">
        <w:rPr>
          <w:rFonts w:ascii="Arial" w:hAnsi="Arial"/>
          <w:spacing w:val="-2"/>
          <w:sz w:val="24"/>
          <w:lang w:val="fr-CA"/>
        </w:rPr>
        <w:t>On doit procéder avec soin à l</w:t>
      </w:r>
      <w:r w:rsidR="001F2B03">
        <w:rPr>
          <w:rFonts w:ascii="Arial" w:hAnsi="Arial"/>
          <w:spacing w:val="-2"/>
          <w:sz w:val="24"/>
          <w:lang w:val="fr-CA"/>
        </w:rPr>
        <w:t>’</w:t>
      </w:r>
      <w:r w:rsidRPr="003232E2">
        <w:rPr>
          <w:rFonts w:ascii="Arial" w:hAnsi="Arial"/>
          <w:spacing w:val="-2"/>
          <w:sz w:val="24"/>
          <w:lang w:val="fr-CA"/>
        </w:rPr>
        <w:t>interprétation des réactions de type champ mixte. La présence de fibrine, de caillots ou de particules peut entraîner la formation d</w:t>
      </w:r>
      <w:r w:rsidR="001F2B03">
        <w:rPr>
          <w:rFonts w:ascii="Arial" w:hAnsi="Arial"/>
          <w:spacing w:val="-2"/>
          <w:sz w:val="24"/>
          <w:lang w:val="fr-CA"/>
        </w:rPr>
        <w:t>’</w:t>
      </w:r>
      <w:r w:rsidRPr="003232E2">
        <w:rPr>
          <w:rFonts w:ascii="Arial" w:hAnsi="Arial"/>
          <w:spacing w:val="-2"/>
          <w:sz w:val="24"/>
          <w:lang w:val="fr-CA"/>
        </w:rPr>
        <w:t>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w:t>
      </w:r>
      <w:r>
        <w:rPr>
          <w:rFonts w:ascii="Arial" w:hAnsi="Arial"/>
          <w:spacing w:val="-2"/>
          <w:sz w:val="24"/>
          <w:lang w:val="fr-CA"/>
        </w:rPr>
        <w:t xml:space="preserve"> Il faut vérifier les antécédents du patient.</w:t>
      </w:r>
    </w:p>
    <w:p w:rsidR="00141297" w:rsidRPr="00141297" w:rsidRDefault="00141297" w:rsidP="00141297">
      <w:pPr>
        <w:ind w:left="1440"/>
        <w:rPr>
          <w:rFonts w:ascii="Arial" w:hAnsi="Arial"/>
          <w:sz w:val="24"/>
          <w:lang w:val="fr-CA"/>
        </w:rPr>
      </w:pPr>
    </w:p>
    <w:p w:rsidR="00141297" w:rsidRDefault="00141297" w:rsidP="00141297">
      <w:pPr>
        <w:numPr>
          <w:ilvl w:val="1"/>
          <w:numId w:val="34"/>
        </w:numPr>
        <w:spacing w:line="228" w:lineRule="auto"/>
        <w:rPr>
          <w:rFonts w:ascii="Arial" w:hAnsi="Arial"/>
          <w:sz w:val="24"/>
          <w:lang w:val="fr-CA"/>
        </w:rPr>
      </w:pPr>
      <w:r w:rsidRPr="0055014C">
        <w:rPr>
          <w:rFonts w:ascii="Arial" w:hAnsi="Arial"/>
          <w:spacing w:val="-2"/>
          <w:sz w:val="24"/>
          <w:lang w:val="fr-CA"/>
        </w:rPr>
        <w:t xml:space="preserve">La présence de trop ou de trop peu de cellules </w:t>
      </w:r>
      <w:r w:rsidRPr="0055014C">
        <w:rPr>
          <w:rFonts w:ascii="Arial" w:hAnsi="Arial"/>
          <w:sz w:val="24"/>
          <w:lang w:val="fr-CA"/>
        </w:rPr>
        <w:t>dans le microtube peut susciter des réactions faussement positives ou faussement négatives. Cette situation peut être due à l’une ou aux deux erreurs suivantes</w:t>
      </w:r>
      <w:r>
        <w:rPr>
          <w:rFonts w:ascii="Arial" w:hAnsi="Arial"/>
          <w:sz w:val="24"/>
          <w:lang w:val="fr-CA"/>
        </w:rPr>
        <w:t> :</w:t>
      </w:r>
    </w:p>
    <w:p w:rsidR="00141297" w:rsidRDefault="00141297" w:rsidP="00141297">
      <w:pPr>
        <w:numPr>
          <w:ilvl w:val="2"/>
          <w:numId w:val="33"/>
        </w:numPr>
        <w:ind w:hanging="579"/>
        <w:rPr>
          <w:rFonts w:ascii="Arial" w:hAnsi="Arial"/>
          <w:sz w:val="24"/>
          <w:lang w:val="fr-CA"/>
        </w:rPr>
      </w:pPr>
      <w:r w:rsidRPr="0055014C">
        <w:rPr>
          <w:rFonts w:ascii="Arial" w:hAnsi="Arial"/>
          <w:sz w:val="24"/>
          <w:lang w:val="fr-CA"/>
        </w:rPr>
        <w:t xml:space="preserve">suspension de cellules mal préparée </w:t>
      </w:r>
    </w:p>
    <w:p w:rsidR="00141297" w:rsidRDefault="00141297" w:rsidP="00141297">
      <w:pPr>
        <w:numPr>
          <w:ilvl w:val="2"/>
          <w:numId w:val="33"/>
        </w:numPr>
        <w:ind w:hanging="579"/>
        <w:rPr>
          <w:rFonts w:ascii="Arial" w:hAnsi="Arial"/>
          <w:sz w:val="24"/>
          <w:lang w:val="fr-CA"/>
        </w:rPr>
      </w:pPr>
      <w:r w:rsidRPr="000D0ED1">
        <w:rPr>
          <w:rFonts w:ascii="Arial" w:hAnsi="Arial"/>
          <w:sz w:val="24"/>
          <w:lang w:val="fr-CA"/>
        </w:rPr>
        <w:t>ajout d’une mauvaise quantité de cellules dans la partie supérieure du microtu</w:t>
      </w:r>
      <w:r>
        <w:rPr>
          <w:rFonts w:ascii="Arial" w:hAnsi="Arial"/>
          <w:sz w:val="24"/>
          <w:lang w:val="fr-CA"/>
        </w:rPr>
        <w:t>be</w:t>
      </w:r>
      <w:r>
        <w:rPr>
          <w:rFonts w:ascii="Arial" w:hAnsi="Arial"/>
          <w:sz w:val="24"/>
          <w:lang w:val="fr-CA"/>
        </w:rPr>
        <w:br/>
      </w:r>
    </w:p>
    <w:p w:rsidR="00141297" w:rsidRPr="00DE3B34" w:rsidRDefault="00141297" w:rsidP="00DE3B34">
      <w:pPr>
        <w:ind w:left="1440"/>
        <w:rPr>
          <w:rFonts w:ascii="Arial" w:hAnsi="Arial"/>
          <w:sz w:val="24"/>
          <w:lang w:val="fr-CA"/>
        </w:rPr>
      </w:pPr>
      <w:r w:rsidRPr="00DE3B34">
        <w:rPr>
          <w:rFonts w:ascii="Arial" w:hAnsi="Arial"/>
          <w:sz w:val="24"/>
          <w:lang w:val="fr-CA"/>
        </w:rPr>
        <w:t>Si c’est le cas, répéter le ou les tests en s’assurant que les quantités sont bonnes et à l’aide de nouvelles suspensions de cellules.</w:t>
      </w:r>
    </w:p>
    <w:p w:rsidR="003232E2" w:rsidRPr="003232E2" w:rsidRDefault="003232E2" w:rsidP="003232E2">
      <w:pPr>
        <w:ind w:left="1440"/>
        <w:rPr>
          <w:rFonts w:ascii="Arial" w:hAnsi="Arial"/>
          <w:sz w:val="24"/>
          <w:lang w:val="fr-CA"/>
        </w:rPr>
      </w:pPr>
    </w:p>
    <w:p w:rsidR="00B4636F" w:rsidRPr="00E85F42" w:rsidRDefault="00141297" w:rsidP="00141297">
      <w:pPr>
        <w:numPr>
          <w:ilvl w:val="1"/>
          <w:numId w:val="36"/>
        </w:numPr>
        <w:rPr>
          <w:rFonts w:ascii="Arial" w:hAnsi="Arial"/>
          <w:sz w:val="24"/>
          <w:lang w:val="fr-CA"/>
        </w:rPr>
      </w:pPr>
      <w:r w:rsidRPr="0055014C">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w:t>
      </w:r>
      <w:r>
        <w:rPr>
          <w:rFonts w:ascii="Arial" w:hAnsi="Arial"/>
          <w:sz w:val="24"/>
          <w:lang w:val="fr-CA"/>
        </w:rPr>
        <w:t xml:space="preserve"> </w:t>
      </w:r>
      <w:r w:rsidRPr="0055014C">
        <w:rPr>
          <w:rFonts w:ascii="Arial" w:hAnsi="Arial"/>
          <w:sz w:val="24"/>
          <w:lang w:val="fr-CA"/>
        </w:rPr>
        <w:t>d’hémagglutination en tube et d’un remplacement par une solution saline, au</w:t>
      </w:r>
      <w:r>
        <w:rPr>
          <w:rFonts w:ascii="Arial" w:hAnsi="Arial"/>
          <w:spacing w:val="-2"/>
          <w:sz w:val="24"/>
          <w:lang w:val="fr-CA"/>
        </w:rPr>
        <w:t xml:space="preserve"> besoin.</w:t>
      </w:r>
    </w:p>
    <w:p w:rsidR="00B4636F" w:rsidRPr="003D7739" w:rsidRDefault="00B4636F">
      <w:pPr>
        <w:rPr>
          <w:rFonts w:ascii="Arial" w:hAnsi="Arial"/>
          <w:sz w:val="24"/>
          <w:lang w:val="fr-CA"/>
        </w:rPr>
      </w:pPr>
    </w:p>
    <w:p w:rsidR="00141297" w:rsidRDefault="00141297" w:rsidP="00141297">
      <w:pPr>
        <w:numPr>
          <w:ilvl w:val="1"/>
          <w:numId w:val="36"/>
        </w:numPr>
        <w:rPr>
          <w:rFonts w:ascii="Arial" w:hAnsi="Arial"/>
          <w:sz w:val="24"/>
          <w:lang w:val="fr-CA"/>
        </w:rPr>
      </w:pPr>
      <w:r w:rsidRPr="0055014C">
        <w:rPr>
          <w:rFonts w:ascii="Arial" w:hAnsi="Arial"/>
          <w:sz w:val="24"/>
          <w:lang w:val="fr-CA"/>
        </w:rPr>
        <w:t xml:space="preserve">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w:t>
      </w:r>
      <w:r>
        <w:rPr>
          <w:rFonts w:ascii="Arial" w:hAnsi="Arial"/>
          <w:sz w:val="24"/>
          <w:lang w:val="fr-CA"/>
        </w:rPr>
        <w:t>gel.</w:t>
      </w:r>
    </w:p>
    <w:p w:rsidR="00141297" w:rsidRDefault="00141297" w:rsidP="00141297">
      <w:pPr>
        <w:pStyle w:val="ListParagraph"/>
        <w:rPr>
          <w:rFonts w:ascii="Arial" w:hAnsi="Arial"/>
          <w:spacing w:val="-2"/>
          <w:sz w:val="24"/>
          <w:lang w:val="fr-CA"/>
        </w:rPr>
      </w:pPr>
    </w:p>
    <w:p w:rsidR="00E10E98" w:rsidRDefault="00141297" w:rsidP="00141297">
      <w:pPr>
        <w:numPr>
          <w:ilvl w:val="1"/>
          <w:numId w:val="36"/>
        </w:numPr>
        <w:rPr>
          <w:rFonts w:ascii="Arial" w:hAnsi="Arial"/>
          <w:sz w:val="24"/>
          <w:lang w:val="fr-CA"/>
        </w:rPr>
      </w:pPr>
      <w:r w:rsidRPr="000D0ED1">
        <w:rPr>
          <w:rFonts w:ascii="Arial" w:hAnsi="Arial"/>
          <w:sz w:val="24"/>
          <w:lang w:val="fr-CA"/>
        </w:rPr>
        <w:t>De faux résultats positifs ou négatifs peuvent survenir dans les situations suivantes : contamination bactérienne du matériel de l’épreuve, température ou durée d’incubation inadéquate, mauvaise centrifugation, mauvais entreposage du matériel</w:t>
      </w:r>
      <w:r w:rsidR="00E10E98">
        <w:rPr>
          <w:rFonts w:ascii="Arial" w:hAnsi="Arial"/>
          <w:sz w:val="24"/>
          <w:lang w:val="fr-CA"/>
        </w:rPr>
        <w:t>.</w:t>
      </w:r>
    </w:p>
    <w:p w:rsidR="00E10E98" w:rsidRDefault="00E10E98" w:rsidP="00E10E98">
      <w:pPr>
        <w:pStyle w:val="ListParagraph"/>
        <w:rPr>
          <w:rFonts w:ascii="Arial" w:hAnsi="Arial"/>
          <w:sz w:val="24"/>
          <w:lang w:val="fr-CA"/>
        </w:rPr>
      </w:pPr>
    </w:p>
    <w:p w:rsidR="00B4636F" w:rsidRPr="00E10E98" w:rsidRDefault="00141297" w:rsidP="00141297">
      <w:pPr>
        <w:numPr>
          <w:ilvl w:val="1"/>
          <w:numId w:val="36"/>
        </w:numPr>
        <w:rPr>
          <w:rFonts w:ascii="Arial" w:hAnsi="Arial"/>
          <w:sz w:val="24"/>
          <w:lang w:val="fr-CA"/>
        </w:rPr>
      </w:pPr>
      <w:r w:rsidRPr="000D0ED1">
        <w:rPr>
          <w:rFonts w:ascii="Arial" w:hAnsi="Arial"/>
          <w:sz w:val="24"/>
          <w:lang w:val="fr-CA"/>
        </w:rPr>
        <w:t xml:space="preserve"> </w:t>
      </w:r>
      <w:r w:rsidR="00E10E98" w:rsidRPr="000D0ED1">
        <w:rPr>
          <w:rFonts w:ascii="Arial" w:hAnsi="Arial"/>
          <w:spacing w:val="-2"/>
          <w:sz w:val="24"/>
          <w:lang w:val="fr-CA"/>
        </w:rPr>
        <w:t>De faux résultats positifs peuvent survenir dans le cas de cartes de gel qui présentent des signes de dessiccation</w:t>
      </w:r>
      <w:r w:rsidR="00E10E98">
        <w:rPr>
          <w:rFonts w:ascii="Arial" w:hAnsi="Arial"/>
          <w:spacing w:val="-2"/>
          <w:sz w:val="24"/>
          <w:lang w:val="fr-CA"/>
        </w:rPr>
        <w:t>.</w:t>
      </w:r>
    </w:p>
    <w:p w:rsidR="00E10E98" w:rsidRDefault="00E10E98" w:rsidP="00E10E98">
      <w:pPr>
        <w:pStyle w:val="ListParagraph"/>
        <w:rPr>
          <w:rFonts w:ascii="Arial" w:hAnsi="Arial"/>
          <w:sz w:val="24"/>
          <w:lang w:val="fr-CA"/>
        </w:rPr>
      </w:pPr>
    </w:p>
    <w:p w:rsidR="00B4636F" w:rsidRPr="00E10E98" w:rsidRDefault="004111DC" w:rsidP="00E10E98">
      <w:pPr>
        <w:numPr>
          <w:ilvl w:val="1"/>
          <w:numId w:val="36"/>
        </w:numPr>
        <w:rPr>
          <w:rFonts w:ascii="Arial" w:hAnsi="Arial"/>
          <w:sz w:val="24"/>
          <w:lang w:val="fr-CA"/>
        </w:rPr>
      </w:pPr>
      <w:r w:rsidRPr="00E10E98">
        <w:rPr>
          <w:rFonts w:ascii="Arial" w:hAnsi="Arial"/>
          <w:spacing w:val="-2"/>
          <w:sz w:val="24"/>
          <w:lang w:val="fr-CA"/>
        </w:rPr>
        <w:t>Le sérum frais, la présence de fibrine ou de particules dans le plasma, ou l</w:t>
      </w:r>
      <w:r w:rsidR="001F2B03">
        <w:rPr>
          <w:rFonts w:ascii="Arial" w:hAnsi="Arial"/>
          <w:spacing w:val="-2"/>
          <w:sz w:val="24"/>
          <w:lang w:val="fr-CA"/>
        </w:rPr>
        <w:t>’</w:t>
      </w:r>
      <w:r w:rsidRPr="00E10E98">
        <w:rPr>
          <w:rFonts w:ascii="Arial" w:hAnsi="Arial"/>
          <w:spacing w:val="-2"/>
          <w:sz w:val="24"/>
          <w:lang w:val="fr-CA"/>
        </w:rPr>
        <w:t>adhérence de globules rouges aux parois du microtube peuvent entraîner des résultats anormaux. Le recours à du plasma avec EDTA minimisera le problème.</w:t>
      </w:r>
    </w:p>
    <w:p w:rsidR="00E10E98" w:rsidRDefault="00E10E98" w:rsidP="00E10E98">
      <w:pPr>
        <w:pStyle w:val="ListParagraph"/>
        <w:rPr>
          <w:rFonts w:ascii="Arial" w:hAnsi="Arial"/>
          <w:sz w:val="24"/>
          <w:lang w:val="fr-CA"/>
        </w:rPr>
      </w:pPr>
    </w:p>
    <w:p w:rsidR="00E10E98" w:rsidRDefault="00E10E98" w:rsidP="00E10E98">
      <w:pPr>
        <w:numPr>
          <w:ilvl w:val="1"/>
          <w:numId w:val="36"/>
        </w:numPr>
        <w:rPr>
          <w:rFonts w:ascii="Arial" w:hAnsi="Arial"/>
          <w:sz w:val="24"/>
          <w:lang w:val="fr-CA"/>
        </w:rPr>
      </w:pPr>
      <w:r>
        <w:rPr>
          <w:rFonts w:ascii="Arial" w:hAnsi="Arial"/>
          <w:sz w:val="24"/>
          <w:lang w:val="fr-CA"/>
        </w:rPr>
        <w:t>Ajout de cellules et de plasma ou de sérum :</w:t>
      </w:r>
      <w:r w:rsidR="00FD731A">
        <w:rPr>
          <w:rFonts w:ascii="Arial" w:hAnsi="Arial"/>
          <w:sz w:val="24"/>
          <w:lang w:val="fr-CA"/>
        </w:rPr>
        <w:br/>
      </w:r>
    </w:p>
    <w:p w:rsidR="00E10E98" w:rsidRDefault="00E10E98" w:rsidP="00E10E98">
      <w:pPr>
        <w:numPr>
          <w:ilvl w:val="2"/>
          <w:numId w:val="36"/>
        </w:numPr>
        <w:rPr>
          <w:rFonts w:ascii="Arial" w:hAnsi="Arial"/>
          <w:sz w:val="24"/>
          <w:lang w:val="fr-CA"/>
        </w:rPr>
      </w:pPr>
      <w:r>
        <w:rPr>
          <w:rFonts w:ascii="Arial" w:hAnsi="Arial"/>
          <w:sz w:val="24"/>
          <w:lang w:val="fr-CA"/>
        </w:rPr>
        <w:t>On doit ajouter la suspension de globules rouges avant le plasma ou le sérum, car le volume de la suspension de globules rouges est plus grand que le volume de plasma. Si on ajoute le plus petit volume de plasma avant la suspension de globules rouges, le mélange pourrait être inadéquat.</w:t>
      </w:r>
    </w:p>
    <w:p w:rsidR="00E10E98" w:rsidRDefault="00E10E98" w:rsidP="00E10E98">
      <w:pPr>
        <w:numPr>
          <w:ilvl w:val="2"/>
          <w:numId w:val="36"/>
        </w:numPr>
        <w:rPr>
          <w:rFonts w:ascii="Arial" w:hAnsi="Arial"/>
          <w:sz w:val="24"/>
          <w:lang w:val="fr-CA"/>
        </w:rPr>
      </w:pPr>
      <w:r>
        <w:rPr>
          <w:rFonts w:ascii="Arial" w:hAnsi="Arial"/>
          <w:sz w:val="24"/>
          <w:lang w:val="fr-CA"/>
        </w:rPr>
        <w:t>On doit ajouter le plasma ou le sérum dans les 10 à 15 minutes suivant l’ajout de la suspension de globules rouges aux chambres de réaction. Tout globule rouge qui entre en contact avec la colonne de gel avant la centrifugation pourrait ne pas avoir l’occasion d’entrer en contact avec le plasma et ainsi commencer à migrer dans le gel et possiblement entraîner une réaction plus faible après la centrifugation.</w:t>
      </w:r>
    </w:p>
    <w:p w:rsidR="00E10E98" w:rsidRDefault="00E10E98" w:rsidP="00E10E98">
      <w:pPr>
        <w:pStyle w:val="ListParagraph"/>
        <w:rPr>
          <w:rFonts w:ascii="Arial" w:hAnsi="Arial"/>
          <w:sz w:val="24"/>
          <w:lang w:val="fr-CA"/>
        </w:rPr>
      </w:pPr>
    </w:p>
    <w:p w:rsidR="00B4636F" w:rsidRPr="003D7739" w:rsidRDefault="00E10E98" w:rsidP="00E10E98">
      <w:pPr>
        <w:numPr>
          <w:ilvl w:val="1"/>
          <w:numId w:val="36"/>
        </w:numPr>
        <w:rPr>
          <w:rFonts w:ascii="Arial" w:hAnsi="Arial"/>
          <w:sz w:val="24"/>
          <w:lang w:val="fr-CA"/>
        </w:rPr>
      </w:pPr>
      <w:r>
        <w:rPr>
          <w:rFonts w:ascii="Arial" w:hAnsi="Arial"/>
          <w:sz w:val="24"/>
          <w:lang w:val="fr-CA"/>
        </w:rPr>
        <w:t>Dans la documentation, on recommande une incubation d’une durée de 5 à 40 minutes dans des solutions à faible concentration ionique. Il n’y a pas de durée d’incubation optimale unique pour tous les anticorps. Si on change la durée d’incubation recommandée par le fabricant, il faut mener des études de</w:t>
      </w:r>
      <w:r w:rsidR="00FD731A">
        <w:rPr>
          <w:rFonts w:ascii="Arial" w:hAnsi="Arial"/>
          <w:sz w:val="24"/>
          <w:lang w:val="fr-CA"/>
        </w:rPr>
        <w:t xml:space="preserve"> validation.</w:t>
      </w:r>
    </w:p>
    <w:p w:rsidR="00E10E98" w:rsidRDefault="00E10E98" w:rsidP="00E10E98">
      <w:pPr>
        <w:rPr>
          <w:rFonts w:ascii="Arial" w:hAnsi="Arial"/>
          <w:spacing w:val="-2"/>
          <w:sz w:val="24"/>
          <w:lang w:val="fr-CA"/>
        </w:rPr>
      </w:pPr>
    </w:p>
    <w:p w:rsidR="00B4636F" w:rsidRPr="00E10E98" w:rsidRDefault="00E10E98" w:rsidP="00E10E98">
      <w:pPr>
        <w:numPr>
          <w:ilvl w:val="1"/>
          <w:numId w:val="36"/>
        </w:numPr>
        <w:rPr>
          <w:rFonts w:ascii="Arial" w:hAnsi="Arial"/>
          <w:sz w:val="24"/>
          <w:lang w:val="fr-CA"/>
        </w:rPr>
      </w:pPr>
      <w:r w:rsidRPr="005F4283">
        <w:rPr>
          <w:rFonts w:ascii="Arial" w:hAnsi="Arial"/>
          <w:sz w:val="24"/>
          <w:szCs w:val="24"/>
          <w:lang w:val="fr-CA"/>
        </w:rPr>
        <w:t>Il se pourrait que les anticorps IgM réagissent dans cette épreuve. Certains anticorps de type IgM pourraient réagir aux antigènes correspondants dans la partie supérieure du microtube et rester pris dans le haut du gel au moment de la centrifugation, entraînant une réaction positive</w:t>
      </w:r>
      <w:r>
        <w:rPr>
          <w:rFonts w:ascii="Arial" w:hAnsi="Arial"/>
          <w:sz w:val="24"/>
          <w:szCs w:val="24"/>
          <w:lang w:val="fr-CA"/>
        </w:rPr>
        <w:t>.</w:t>
      </w:r>
    </w:p>
    <w:p w:rsidR="00E10E98" w:rsidRPr="00E10E98" w:rsidRDefault="00E10E98" w:rsidP="00E10E98">
      <w:pPr>
        <w:ind w:left="720"/>
        <w:rPr>
          <w:rFonts w:ascii="Arial" w:hAnsi="Arial"/>
          <w:sz w:val="24"/>
          <w:lang w:val="fr-CA"/>
        </w:rPr>
      </w:pPr>
    </w:p>
    <w:p w:rsidR="00E10E98" w:rsidRPr="00E10E98" w:rsidRDefault="00E10E98" w:rsidP="00E10E98">
      <w:pPr>
        <w:numPr>
          <w:ilvl w:val="1"/>
          <w:numId w:val="36"/>
        </w:numPr>
        <w:rPr>
          <w:rFonts w:ascii="Arial" w:hAnsi="Arial"/>
          <w:sz w:val="24"/>
          <w:szCs w:val="24"/>
          <w:lang w:val="fr-CA"/>
        </w:rPr>
      </w:pPr>
      <w:r w:rsidRPr="00E10E98">
        <w:rPr>
          <w:rFonts w:ascii="Arial" w:hAnsi="Arial"/>
          <w:spacing w:val="-2"/>
          <w:sz w:val="24"/>
          <w:szCs w:val="24"/>
          <w:lang w:val="fr-CA"/>
        </w:rPr>
        <w:t xml:space="preserve">Pour assurer le bon déroulement de l’épreuve, il est essentiel de respecter les directives du dépliant du fournisseur.  </w:t>
      </w:r>
    </w:p>
    <w:p w:rsidR="00E10E98" w:rsidRDefault="00E10E98" w:rsidP="00E10E98">
      <w:pPr>
        <w:ind w:left="1440"/>
        <w:rPr>
          <w:rFonts w:ascii="Arial" w:hAnsi="Arial"/>
          <w:sz w:val="24"/>
          <w:lang w:val="fr-CA"/>
        </w:rPr>
      </w:pPr>
    </w:p>
    <w:p w:rsidR="00E10E98" w:rsidRPr="003D7739" w:rsidRDefault="00E10E98" w:rsidP="00E10E98">
      <w:pPr>
        <w:ind w:left="1440"/>
        <w:rPr>
          <w:rFonts w:ascii="Arial" w:hAnsi="Arial"/>
          <w:sz w:val="24"/>
          <w:lang w:val="fr-CA"/>
        </w:rPr>
      </w:pPr>
    </w:p>
    <w:p w:rsidR="00B4636F" w:rsidRPr="00E120C5" w:rsidRDefault="00B4636F" w:rsidP="00141297">
      <w:pPr>
        <w:numPr>
          <w:ilvl w:val="0"/>
          <w:numId w:val="36"/>
        </w:numPr>
        <w:rPr>
          <w:rFonts w:ascii="Arial" w:hAnsi="Arial"/>
          <w:b/>
          <w:sz w:val="28"/>
          <w:lang w:val="fr-CA"/>
        </w:rPr>
      </w:pPr>
      <w:r w:rsidRPr="00E120C5">
        <w:rPr>
          <w:rFonts w:ascii="Arial" w:hAnsi="Arial"/>
          <w:b/>
          <w:sz w:val="28"/>
          <w:lang w:val="fr-CA"/>
        </w:rPr>
        <w:t>R</w:t>
      </w:r>
      <w:r w:rsidR="004111DC">
        <w:rPr>
          <w:rFonts w:ascii="Arial" w:hAnsi="Arial"/>
          <w:b/>
          <w:sz w:val="28"/>
          <w:lang w:val="fr-CA"/>
        </w:rPr>
        <w:t>é</w:t>
      </w:r>
      <w:r w:rsidRPr="00E120C5">
        <w:rPr>
          <w:rFonts w:ascii="Arial" w:hAnsi="Arial"/>
          <w:b/>
          <w:sz w:val="28"/>
          <w:lang w:val="fr-CA"/>
        </w:rPr>
        <w:t>f</w:t>
      </w:r>
      <w:r w:rsidR="004111DC">
        <w:rPr>
          <w:rFonts w:ascii="Arial" w:hAnsi="Arial"/>
          <w:b/>
          <w:sz w:val="28"/>
          <w:lang w:val="fr-CA"/>
        </w:rPr>
        <w:t>é</w:t>
      </w:r>
      <w:r w:rsidRPr="00E120C5">
        <w:rPr>
          <w:rFonts w:ascii="Arial" w:hAnsi="Arial"/>
          <w:b/>
          <w:sz w:val="28"/>
          <w:lang w:val="fr-CA"/>
        </w:rPr>
        <w:t>rences</w:t>
      </w:r>
    </w:p>
    <w:p w:rsidR="008054F2" w:rsidRDefault="008054F2" w:rsidP="008054F2">
      <w:pPr>
        <w:tabs>
          <w:tab w:val="left" w:pos="-720"/>
          <w:tab w:val="left" w:pos="0"/>
        </w:tabs>
        <w:suppressAutoHyphens/>
        <w:ind w:left="2706"/>
        <w:rPr>
          <w:rFonts w:ascii="Arial" w:hAnsi="Arial"/>
          <w:spacing w:val="-2"/>
          <w:sz w:val="24"/>
        </w:rPr>
      </w:pPr>
    </w:p>
    <w:p w:rsidR="008054F2" w:rsidRPr="00FD731A" w:rsidRDefault="008054F2" w:rsidP="008054F2">
      <w:pPr>
        <w:numPr>
          <w:ilvl w:val="0"/>
          <w:numId w:val="23"/>
        </w:numPr>
        <w:tabs>
          <w:tab w:val="left" w:pos="-720"/>
        </w:tabs>
        <w:suppressAutoHyphens/>
        <w:ind w:left="1418" w:hanging="709"/>
        <w:rPr>
          <w:rFonts w:ascii="Arial" w:hAnsi="Arial"/>
          <w:sz w:val="24"/>
          <w:lang w:val="fr-CA"/>
        </w:rPr>
      </w:pPr>
      <w:r w:rsidRPr="00FD731A">
        <w:rPr>
          <w:rFonts w:ascii="Arial" w:hAnsi="Arial"/>
          <w:i/>
          <w:sz w:val="24"/>
          <w:lang w:val="fr-CA"/>
        </w:rPr>
        <w:t>Standards for Transfusion Services</w:t>
      </w:r>
      <w:r w:rsidR="003232E2" w:rsidRPr="00FD731A">
        <w:rPr>
          <w:rFonts w:ascii="Arial" w:hAnsi="Arial"/>
          <w:sz w:val="24"/>
          <w:lang w:val="fr-CA"/>
        </w:rPr>
        <w:t>, v</w:t>
      </w:r>
      <w:r w:rsidRPr="00FD731A">
        <w:rPr>
          <w:rFonts w:ascii="Arial" w:hAnsi="Arial"/>
          <w:sz w:val="24"/>
          <w:lang w:val="fr-CA"/>
        </w:rPr>
        <w:t>ersion</w:t>
      </w:r>
      <w:r w:rsidR="001F2B03" w:rsidRPr="00FD731A">
        <w:rPr>
          <w:rFonts w:ascii="Arial" w:hAnsi="Arial"/>
          <w:sz w:val="24"/>
          <w:lang w:val="fr-CA"/>
        </w:rPr>
        <w:t> </w:t>
      </w:r>
      <w:r w:rsidRPr="00FD731A">
        <w:rPr>
          <w:rFonts w:ascii="Arial" w:hAnsi="Arial"/>
          <w:sz w:val="24"/>
          <w:lang w:val="fr-CA"/>
        </w:rPr>
        <w:t xml:space="preserve">3 - </w:t>
      </w:r>
      <w:r w:rsidR="002470EB" w:rsidRPr="00FD731A">
        <w:rPr>
          <w:rFonts w:ascii="Arial" w:hAnsi="Arial"/>
          <w:sz w:val="24"/>
          <w:lang w:val="fr-CA"/>
        </w:rPr>
        <w:t>février</w:t>
      </w:r>
      <w:r w:rsidRPr="00FD731A">
        <w:rPr>
          <w:rFonts w:ascii="Arial" w:hAnsi="Arial"/>
          <w:sz w:val="24"/>
          <w:lang w:val="fr-CA"/>
        </w:rPr>
        <w:t xml:space="preserve"> 2011. </w:t>
      </w:r>
      <w:r w:rsidR="002470EB" w:rsidRPr="00FD731A">
        <w:rPr>
          <w:rFonts w:ascii="Arial" w:hAnsi="Arial"/>
          <w:sz w:val="24"/>
          <w:lang w:val="fr-CA"/>
        </w:rPr>
        <w:t>Société canadienne de médecine transfusionnelle</w:t>
      </w:r>
      <w:r w:rsidRPr="00FD731A">
        <w:rPr>
          <w:rFonts w:ascii="Arial" w:hAnsi="Arial"/>
          <w:sz w:val="24"/>
          <w:lang w:val="fr-CA"/>
        </w:rPr>
        <w:t>, 5.3.7.4.4 5.3.7.4.3, 5.3.7.2.1, 5.2.5.1, 5.7.2.1, 5.7.5.2, 5.9.2.1, 5.9.2.2, 5.9.2.3, 5.9.4.1</w:t>
      </w:r>
    </w:p>
    <w:p w:rsidR="008054F2" w:rsidRPr="00FD731A" w:rsidRDefault="008054F2" w:rsidP="008054F2">
      <w:pPr>
        <w:numPr>
          <w:ilvl w:val="0"/>
          <w:numId w:val="23"/>
        </w:numPr>
        <w:tabs>
          <w:tab w:val="left" w:pos="-720"/>
        </w:tabs>
        <w:suppressAutoHyphens/>
        <w:ind w:left="1418" w:hanging="709"/>
        <w:rPr>
          <w:rFonts w:ascii="Arial" w:hAnsi="Arial"/>
          <w:sz w:val="24"/>
          <w:lang w:val="fr-CA"/>
        </w:rPr>
      </w:pPr>
      <w:r w:rsidRPr="00956652">
        <w:rPr>
          <w:rFonts w:ascii="Arial" w:hAnsi="Arial"/>
          <w:sz w:val="24"/>
          <w:lang w:val="en-CA"/>
        </w:rPr>
        <w:t xml:space="preserve">Roback JD, </w:t>
      </w:r>
      <w:r w:rsidR="002470EB" w:rsidRPr="00956652">
        <w:rPr>
          <w:rFonts w:ascii="Arial" w:hAnsi="Arial"/>
          <w:sz w:val="24"/>
          <w:lang w:val="en-CA"/>
        </w:rPr>
        <w:t>é</w:t>
      </w:r>
      <w:r w:rsidRPr="00956652">
        <w:rPr>
          <w:rFonts w:ascii="Arial" w:hAnsi="Arial"/>
          <w:sz w:val="24"/>
          <w:lang w:val="en-CA"/>
        </w:rPr>
        <w:t xml:space="preserve">d. </w:t>
      </w:r>
      <w:r w:rsidRPr="00956652">
        <w:rPr>
          <w:rFonts w:ascii="Arial" w:hAnsi="Arial"/>
          <w:i/>
          <w:sz w:val="24"/>
          <w:lang w:val="en-CA"/>
        </w:rPr>
        <w:t>American Association of Blood Banks Technical Manual</w:t>
      </w:r>
      <w:r w:rsidRPr="00956652">
        <w:rPr>
          <w:rFonts w:ascii="Arial" w:hAnsi="Arial"/>
          <w:sz w:val="24"/>
          <w:lang w:val="en-CA"/>
        </w:rPr>
        <w:t>, 17</w:t>
      </w:r>
      <w:r w:rsidR="002470EB" w:rsidRPr="00956652">
        <w:rPr>
          <w:rFonts w:ascii="Arial" w:hAnsi="Arial"/>
          <w:sz w:val="24"/>
          <w:vertAlign w:val="superscript"/>
          <w:lang w:val="en-CA"/>
        </w:rPr>
        <w:t>e</w:t>
      </w:r>
      <w:r w:rsidRPr="00956652">
        <w:rPr>
          <w:rFonts w:ascii="Arial" w:hAnsi="Arial"/>
          <w:sz w:val="24"/>
          <w:lang w:val="en-CA"/>
        </w:rPr>
        <w:t xml:space="preserve"> </w:t>
      </w:r>
      <w:r w:rsidR="002470EB" w:rsidRPr="00956652">
        <w:rPr>
          <w:rFonts w:ascii="Arial" w:hAnsi="Arial"/>
          <w:sz w:val="24"/>
          <w:lang w:val="en-CA"/>
        </w:rPr>
        <w:t>é</w:t>
      </w:r>
      <w:r w:rsidRPr="00956652">
        <w:rPr>
          <w:rFonts w:ascii="Arial" w:hAnsi="Arial"/>
          <w:sz w:val="24"/>
          <w:lang w:val="en-CA"/>
        </w:rPr>
        <w:t xml:space="preserve">d. </w:t>
      </w:r>
      <w:r w:rsidRPr="00FD731A">
        <w:rPr>
          <w:rFonts w:ascii="Arial" w:hAnsi="Arial"/>
          <w:sz w:val="24"/>
          <w:lang w:val="fr-CA"/>
        </w:rPr>
        <w:t>Bethesda, MD: American Association of Blood Banks</w:t>
      </w:r>
      <w:r w:rsidR="002470EB" w:rsidRPr="00FD731A">
        <w:rPr>
          <w:rFonts w:ascii="Arial" w:hAnsi="Arial"/>
          <w:sz w:val="24"/>
          <w:lang w:val="fr-CA"/>
        </w:rPr>
        <w:t xml:space="preserve"> (</w:t>
      </w:r>
      <w:r w:rsidRPr="00FD731A">
        <w:rPr>
          <w:rFonts w:ascii="Arial" w:hAnsi="Arial"/>
          <w:sz w:val="24"/>
          <w:lang w:val="fr-CA"/>
        </w:rPr>
        <w:t>2011</w:t>
      </w:r>
      <w:r w:rsidR="002470EB" w:rsidRPr="00FD731A">
        <w:rPr>
          <w:rFonts w:ascii="Arial" w:hAnsi="Arial"/>
          <w:sz w:val="24"/>
          <w:lang w:val="fr-CA"/>
        </w:rPr>
        <w:t>)</w:t>
      </w:r>
      <w:r w:rsidRPr="00FD731A">
        <w:rPr>
          <w:rFonts w:ascii="Arial" w:hAnsi="Arial"/>
          <w:sz w:val="24"/>
          <w:lang w:val="fr-CA"/>
        </w:rPr>
        <w:t>: 452</w:t>
      </w:r>
    </w:p>
    <w:p w:rsidR="008054F2" w:rsidRPr="00956652" w:rsidRDefault="008054F2" w:rsidP="008054F2">
      <w:pPr>
        <w:numPr>
          <w:ilvl w:val="0"/>
          <w:numId w:val="23"/>
        </w:numPr>
        <w:tabs>
          <w:tab w:val="left" w:pos="-720"/>
        </w:tabs>
        <w:suppressAutoHyphens/>
        <w:ind w:left="1418" w:hanging="709"/>
        <w:rPr>
          <w:rFonts w:ascii="Arial" w:hAnsi="Arial"/>
          <w:sz w:val="24"/>
          <w:lang w:val="en-CA"/>
        </w:rPr>
      </w:pPr>
      <w:r w:rsidRPr="00956652">
        <w:rPr>
          <w:rFonts w:ascii="Arial" w:hAnsi="Arial"/>
          <w:spacing w:val="-2"/>
          <w:sz w:val="24"/>
          <w:lang w:val="en-CA"/>
        </w:rPr>
        <w:t>Implementation Guide and Procedures -Procedure 11 Antiglobulin Crossmatch Using MTS</w:t>
      </w:r>
      <w:r w:rsidRPr="00956652">
        <w:rPr>
          <w:rFonts w:ascii="Arial" w:hAnsi="Arial"/>
          <w:spacing w:val="-2"/>
          <w:sz w:val="24"/>
          <w:vertAlign w:val="superscript"/>
          <w:lang w:val="en-CA"/>
        </w:rPr>
        <w:t>TM</w:t>
      </w:r>
      <w:r w:rsidRPr="00956652">
        <w:rPr>
          <w:rFonts w:ascii="Arial" w:hAnsi="Arial"/>
          <w:spacing w:val="-2"/>
          <w:sz w:val="24"/>
          <w:lang w:val="en-CA"/>
        </w:rPr>
        <w:t xml:space="preserve"> Anti-IgG Card  Version 5 2010-05-31, ID-Micro Typing System</w:t>
      </w:r>
      <w:r w:rsidRPr="00956652">
        <w:rPr>
          <w:rFonts w:ascii="Arial" w:hAnsi="Arial"/>
          <w:sz w:val="24"/>
          <w:lang w:val="en-CA"/>
        </w:rPr>
        <w:t xml:space="preserve"> </w:t>
      </w:r>
    </w:p>
    <w:p w:rsidR="008054F2" w:rsidRPr="00956652" w:rsidRDefault="008054F2" w:rsidP="008054F2">
      <w:pPr>
        <w:numPr>
          <w:ilvl w:val="0"/>
          <w:numId w:val="23"/>
        </w:numPr>
        <w:tabs>
          <w:tab w:val="left" w:pos="-720"/>
        </w:tabs>
        <w:suppressAutoHyphens/>
        <w:ind w:left="1418" w:hanging="709"/>
        <w:rPr>
          <w:rFonts w:ascii="Arial" w:hAnsi="Arial"/>
          <w:sz w:val="24"/>
          <w:lang w:val="en-CA"/>
        </w:rPr>
      </w:pPr>
      <w:r w:rsidRPr="00956652">
        <w:rPr>
          <w:rFonts w:ascii="Arial" w:hAnsi="Arial"/>
          <w:spacing w:val="-2"/>
          <w:sz w:val="24"/>
          <w:lang w:val="en-CA"/>
        </w:rPr>
        <w:t>ID-Micro Typing System</w:t>
      </w:r>
      <w:r w:rsidRPr="00956652">
        <w:rPr>
          <w:rFonts w:ascii="Arial" w:hAnsi="Arial"/>
          <w:spacing w:val="-2"/>
          <w:sz w:val="24"/>
          <w:vertAlign w:val="superscript"/>
          <w:lang w:val="en-CA"/>
        </w:rPr>
        <w:t>TM</w:t>
      </w:r>
      <w:r w:rsidRPr="00956652">
        <w:rPr>
          <w:rFonts w:ascii="Arial" w:hAnsi="Arial"/>
          <w:spacing w:val="-2"/>
          <w:sz w:val="24"/>
          <w:lang w:val="en-CA"/>
        </w:rPr>
        <w:t xml:space="preserve"> Interpretation Guide-2010-06-04</w:t>
      </w:r>
    </w:p>
    <w:p w:rsidR="008054F2" w:rsidRPr="00956652" w:rsidRDefault="008054F2" w:rsidP="008054F2">
      <w:pPr>
        <w:numPr>
          <w:ilvl w:val="0"/>
          <w:numId w:val="23"/>
        </w:numPr>
        <w:tabs>
          <w:tab w:val="left" w:pos="-720"/>
        </w:tabs>
        <w:suppressAutoHyphens/>
        <w:ind w:left="1418" w:hanging="709"/>
        <w:rPr>
          <w:rFonts w:ascii="Arial" w:hAnsi="Arial"/>
          <w:sz w:val="24"/>
          <w:lang w:val="en-CA"/>
        </w:rPr>
      </w:pPr>
      <w:r w:rsidRPr="00956652">
        <w:rPr>
          <w:rFonts w:ascii="Arial" w:hAnsi="Arial" w:cs="Arial"/>
          <w:bCs/>
          <w:sz w:val="24"/>
          <w:szCs w:val="24"/>
          <w:lang w:val="en-CA"/>
        </w:rPr>
        <w:t>Instructions for use</w:t>
      </w:r>
      <w:r w:rsidR="001F2B03" w:rsidRPr="00956652">
        <w:rPr>
          <w:rFonts w:ascii="Arial" w:hAnsi="Arial" w:cs="Arial"/>
          <w:bCs/>
          <w:sz w:val="24"/>
          <w:szCs w:val="24"/>
          <w:lang w:val="en-CA"/>
        </w:rPr>
        <w:t xml:space="preserve"> </w:t>
      </w:r>
      <w:r w:rsidRPr="00956652">
        <w:rPr>
          <w:rFonts w:ascii="Arial" w:hAnsi="Arial" w:cs="Arial"/>
          <w:bCs/>
          <w:sz w:val="24"/>
          <w:szCs w:val="24"/>
          <w:lang w:val="en-CA"/>
        </w:rPr>
        <w:t>- Anti-Human Globulin Anti-IgG (Rabbit) MTS™ Anti-IgG Card, Version 2.0</w:t>
      </w:r>
    </w:p>
    <w:p w:rsidR="008054F2" w:rsidRDefault="008054F2" w:rsidP="008054F2">
      <w:pPr>
        <w:tabs>
          <w:tab w:val="left" w:pos="-720"/>
          <w:tab w:val="left" w:pos="0"/>
        </w:tabs>
        <w:suppressAutoHyphens/>
        <w:rPr>
          <w:rFonts w:ascii="Arial" w:hAnsi="Arial"/>
          <w:spacing w:val="-2"/>
          <w:sz w:val="28"/>
        </w:rPr>
      </w:pPr>
    </w:p>
    <w:p w:rsidR="00FD731A" w:rsidRPr="00FD731A" w:rsidRDefault="00FD731A" w:rsidP="008054F2">
      <w:pPr>
        <w:tabs>
          <w:tab w:val="left" w:pos="-720"/>
          <w:tab w:val="left" w:pos="0"/>
        </w:tabs>
        <w:suppressAutoHyphens/>
        <w:rPr>
          <w:rFonts w:ascii="Arial" w:hAnsi="Arial"/>
          <w:spacing w:val="-2"/>
          <w:sz w:val="28"/>
        </w:rPr>
      </w:pPr>
    </w:p>
    <w:p w:rsidR="002470EB" w:rsidRDefault="002470EB" w:rsidP="002470EB">
      <w:pPr>
        <w:numPr>
          <w:ilvl w:val="0"/>
          <w:numId w:val="39"/>
        </w:numPr>
        <w:tabs>
          <w:tab w:val="left" w:pos="-720"/>
        </w:tabs>
        <w:suppressAutoHyphens/>
        <w:rPr>
          <w:rFonts w:ascii="Arial" w:hAnsi="Arial"/>
          <w:b/>
          <w:spacing w:val="-2"/>
          <w:sz w:val="28"/>
        </w:rPr>
      </w:pPr>
      <w:r>
        <w:rPr>
          <w:rFonts w:ascii="Arial" w:hAnsi="Arial"/>
          <w:b/>
          <w:spacing w:val="-2"/>
          <w:sz w:val="28"/>
        </w:rPr>
        <w:t>Suivi des révisions</w:t>
      </w:r>
    </w:p>
    <w:p w:rsidR="002470EB" w:rsidRDefault="002470EB" w:rsidP="002470EB">
      <w:pPr>
        <w:tabs>
          <w:tab w:val="left" w:pos="-720"/>
        </w:tabs>
        <w:suppressAutoHyphens/>
        <w:ind w:left="720"/>
        <w:rPr>
          <w:rFonts w:ascii="Arial" w:hAnsi="Arial"/>
          <w:b/>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2470EB" w:rsidRPr="0055014C" w:rsidTr="00DF477C">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2470EB" w:rsidRPr="0055014C" w:rsidRDefault="002470EB" w:rsidP="00DF477C">
            <w:pPr>
              <w:jc w:val="center"/>
              <w:rPr>
                <w:rFonts w:ascii="Arial" w:hAnsi="Arial" w:cs="Arial"/>
                <w:b/>
                <w:sz w:val="22"/>
                <w:szCs w:val="22"/>
                <w:lang w:val="fr-CA"/>
              </w:rPr>
            </w:pPr>
            <w:r w:rsidRPr="0055014C">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2470EB" w:rsidRPr="0055014C" w:rsidRDefault="002470EB" w:rsidP="002470EB">
            <w:pPr>
              <w:numPr>
                <w:ilvl w:val="0"/>
                <w:numId w:val="40"/>
              </w:numPr>
              <w:jc w:val="center"/>
              <w:rPr>
                <w:rFonts w:ascii="Arial" w:hAnsi="Arial" w:cs="Arial"/>
                <w:b/>
                <w:sz w:val="22"/>
                <w:szCs w:val="22"/>
                <w:lang w:val="fr-CA"/>
              </w:rPr>
            </w:pPr>
            <w:r w:rsidRPr="0055014C">
              <w:rPr>
                <w:rFonts w:ascii="Arial" w:hAnsi="Arial" w:cs="Arial"/>
                <w:b/>
                <w:sz w:val="22"/>
                <w:szCs w:val="22"/>
                <w:lang w:val="fr-CA"/>
              </w:rPr>
              <w:t>Résumé des changements</w:t>
            </w:r>
          </w:p>
        </w:tc>
      </w:tr>
      <w:tr w:rsidR="002470EB" w:rsidRPr="0055014C" w:rsidTr="00DF477C">
        <w:tc>
          <w:tcPr>
            <w:tcW w:w="3085" w:type="dxa"/>
            <w:tcBorders>
              <w:top w:val="single" w:sz="4" w:space="0" w:color="auto"/>
              <w:left w:val="single" w:sz="4" w:space="0" w:color="auto"/>
              <w:bottom w:val="single" w:sz="4" w:space="0" w:color="auto"/>
              <w:right w:val="single" w:sz="4" w:space="0" w:color="auto"/>
            </w:tcBorders>
            <w:shd w:val="clear" w:color="auto" w:fill="auto"/>
          </w:tcPr>
          <w:p w:rsidR="002470EB" w:rsidRPr="0055014C" w:rsidRDefault="002470EB" w:rsidP="00DF477C">
            <w:pPr>
              <w:pStyle w:val="Header"/>
              <w:tabs>
                <w:tab w:val="left" w:pos="720"/>
              </w:tabs>
              <w:rPr>
                <w:rFonts w:ascii="Arial" w:hAnsi="Arial" w:cs="Arial"/>
                <w:sz w:val="22"/>
                <w:szCs w:val="22"/>
                <w:lang w:val="fr-CA"/>
              </w:rPr>
            </w:pPr>
            <w:r w:rsidRPr="0055014C">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2470EB" w:rsidRPr="0055014C" w:rsidRDefault="002470EB" w:rsidP="002470EB">
            <w:pPr>
              <w:pStyle w:val="ListParagraph"/>
              <w:numPr>
                <w:ilvl w:val="0"/>
                <w:numId w:val="40"/>
              </w:numPr>
              <w:contextualSpacing/>
              <w:rPr>
                <w:rFonts w:ascii="Arial" w:hAnsi="Arial" w:cs="Arial"/>
                <w:sz w:val="22"/>
                <w:szCs w:val="22"/>
                <w:lang w:val="fr-CA"/>
              </w:rPr>
            </w:pPr>
            <w:r w:rsidRPr="0055014C">
              <w:rPr>
                <w:rFonts w:ascii="Arial" w:hAnsi="Arial" w:cs="Arial"/>
                <w:sz w:val="22"/>
                <w:szCs w:val="22"/>
                <w:lang w:val="fr-CA"/>
              </w:rPr>
              <w:t xml:space="preserve">Changement du nom du manuel </w:t>
            </w:r>
          </w:p>
          <w:p w:rsidR="002470EB" w:rsidRDefault="002470EB" w:rsidP="002470EB">
            <w:pPr>
              <w:pStyle w:val="Header"/>
              <w:numPr>
                <w:ilvl w:val="0"/>
                <w:numId w:val="40"/>
              </w:numPr>
              <w:tabs>
                <w:tab w:val="left" w:pos="601"/>
              </w:tabs>
              <w:rPr>
                <w:rFonts w:ascii="Arial" w:hAnsi="Arial" w:cs="Arial"/>
                <w:sz w:val="22"/>
                <w:szCs w:val="22"/>
                <w:lang w:val="fr-CA"/>
              </w:rPr>
            </w:pPr>
            <w:r w:rsidRPr="0066509F">
              <w:rPr>
                <w:rFonts w:ascii="Arial" w:hAnsi="Arial"/>
                <w:sz w:val="22"/>
                <w:szCs w:val="22"/>
                <w:lang w:val="fr-CA"/>
              </w:rPr>
              <w:tab/>
              <w:t>Changement du numéro du document anciennement T</w:t>
            </w:r>
            <w:r w:rsidRPr="0066509F">
              <w:rPr>
                <w:rFonts w:ascii="Arial" w:hAnsi="Arial" w:cs="Arial"/>
                <w:sz w:val="22"/>
                <w:szCs w:val="22"/>
                <w:lang w:val="fr-CA"/>
              </w:rPr>
              <w:t>G.00</w:t>
            </w:r>
            <w:r>
              <w:rPr>
                <w:rFonts w:ascii="Arial" w:hAnsi="Arial" w:cs="Arial"/>
                <w:sz w:val="22"/>
                <w:szCs w:val="22"/>
                <w:lang w:val="fr-CA"/>
              </w:rPr>
              <w:t>6</w:t>
            </w:r>
            <w:r w:rsidRPr="0066509F">
              <w:rPr>
                <w:rFonts w:ascii="Arial" w:hAnsi="Arial" w:cs="Arial"/>
                <w:sz w:val="22"/>
                <w:szCs w:val="22"/>
                <w:lang w:val="fr-CA"/>
              </w:rPr>
              <w:t>, maintenant TG.00</w:t>
            </w:r>
            <w:r>
              <w:rPr>
                <w:rFonts w:ascii="Arial" w:hAnsi="Arial" w:cs="Arial"/>
                <w:sz w:val="22"/>
                <w:szCs w:val="22"/>
                <w:lang w:val="fr-CA"/>
              </w:rPr>
              <w:t>7</w:t>
            </w:r>
          </w:p>
          <w:p w:rsidR="002470EB" w:rsidRPr="00A235C8" w:rsidRDefault="002470EB" w:rsidP="002470EB">
            <w:pPr>
              <w:pStyle w:val="Header"/>
              <w:numPr>
                <w:ilvl w:val="0"/>
                <w:numId w:val="40"/>
              </w:numPr>
              <w:tabs>
                <w:tab w:val="left" w:pos="601"/>
              </w:tabs>
              <w:rPr>
                <w:rFonts w:ascii="Arial" w:hAnsi="Arial" w:cs="Arial"/>
                <w:sz w:val="22"/>
                <w:szCs w:val="22"/>
                <w:lang w:val="fr-CA"/>
              </w:rPr>
            </w:pPr>
            <w:r w:rsidRPr="00A235C8">
              <w:rPr>
                <w:rFonts w:ascii="Arial" w:hAnsi="Arial" w:cs="Arial"/>
                <w:sz w:val="22"/>
                <w:szCs w:val="22"/>
                <w:lang w:val="fr-CA"/>
              </w:rPr>
              <w:tab/>
            </w:r>
            <w:r w:rsidR="00EF1E64">
              <w:rPr>
                <w:rFonts w:ascii="Arial" w:hAnsi="Arial" w:cs="Arial"/>
                <w:sz w:val="22"/>
                <w:szCs w:val="22"/>
                <w:lang w:val="fr-CA"/>
              </w:rPr>
              <w:t>Révision de la section</w:t>
            </w:r>
            <w:r w:rsidR="001F2B03">
              <w:rPr>
                <w:rFonts w:ascii="Arial" w:hAnsi="Arial" w:cs="Arial"/>
                <w:sz w:val="22"/>
                <w:szCs w:val="22"/>
                <w:lang w:val="fr-CA"/>
              </w:rPr>
              <w:t> </w:t>
            </w:r>
            <w:r w:rsidR="00EF1E64">
              <w:rPr>
                <w:rFonts w:ascii="Arial" w:hAnsi="Arial" w:cs="Arial"/>
                <w:sz w:val="22"/>
                <w:szCs w:val="22"/>
                <w:lang w:val="fr-CA"/>
              </w:rPr>
              <w:t xml:space="preserve">1.0 pour y ajouter des explications </w:t>
            </w:r>
          </w:p>
          <w:p w:rsidR="00EF1E64" w:rsidRDefault="00EF1E64" w:rsidP="002470EB">
            <w:pPr>
              <w:pStyle w:val="Header"/>
              <w:numPr>
                <w:ilvl w:val="0"/>
                <w:numId w:val="40"/>
              </w:numPr>
              <w:tabs>
                <w:tab w:val="left" w:pos="720"/>
              </w:tabs>
              <w:rPr>
                <w:rFonts w:ascii="Arial" w:hAnsi="Arial" w:cs="Arial"/>
                <w:sz w:val="22"/>
                <w:lang w:val="fr-CA"/>
              </w:rPr>
            </w:pPr>
            <w:r>
              <w:rPr>
                <w:rFonts w:ascii="Arial" w:hAnsi="Arial" w:cs="Arial"/>
                <w:sz w:val="22"/>
                <w:lang w:val="fr-CA"/>
              </w:rPr>
              <w:t>Changement à 96 heures dans la section</w:t>
            </w:r>
            <w:r w:rsidR="001F2B03">
              <w:rPr>
                <w:rFonts w:ascii="Arial" w:hAnsi="Arial" w:cs="Arial"/>
                <w:sz w:val="22"/>
                <w:lang w:val="fr-CA"/>
              </w:rPr>
              <w:t> </w:t>
            </w:r>
            <w:r>
              <w:rPr>
                <w:rFonts w:ascii="Arial" w:hAnsi="Arial" w:cs="Arial"/>
                <w:sz w:val="22"/>
                <w:lang w:val="fr-CA"/>
              </w:rPr>
              <w:t>2.3.1</w:t>
            </w:r>
          </w:p>
          <w:p w:rsidR="00EF1E64" w:rsidRDefault="00EF1E64" w:rsidP="00EF1E64">
            <w:pPr>
              <w:pStyle w:val="Header"/>
              <w:numPr>
                <w:ilvl w:val="0"/>
                <w:numId w:val="40"/>
              </w:numPr>
              <w:tabs>
                <w:tab w:val="left" w:pos="743"/>
              </w:tabs>
              <w:rPr>
                <w:rFonts w:ascii="Arial" w:hAnsi="Arial" w:cs="Arial"/>
                <w:sz w:val="22"/>
                <w:szCs w:val="22"/>
                <w:lang w:val="fr-CA"/>
              </w:rPr>
            </w:pPr>
            <w:r>
              <w:rPr>
                <w:rFonts w:ascii="Arial" w:hAnsi="Arial" w:cs="Arial"/>
                <w:sz w:val="22"/>
                <w:szCs w:val="22"/>
                <w:lang w:val="fr-CA"/>
              </w:rPr>
              <w:t>Changement à « 96 heures » en 2.3.1</w:t>
            </w:r>
          </w:p>
          <w:p w:rsidR="00EF1E64" w:rsidRPr="00A235C8" w:rsidRDefault="00EF1E64" w:rsidP="00EF1E64">
            <w:pPr>
              <w:pStyle w:val="Header"/>
              <w:numPr>
                <w:ilvl w:val="0"/>
                <w:numId w:val="40"/>
              </w:numPr>
              <w:tabs>
                <w:tab w:val="left" w:pos="601"/>
              </w:tabs>
              <w:rPr>
                <w:rFonts w:ascii="Arial" w:hAnsi="Arial" w:cs="Arial"/>
                <w:sz w:val="22"/>
                <w:szCs w:val="22"/>
                <w:lang w:val="fr-CA"/>
              </w:rPr>
            </w:pPr>
            <w:r w:rsidRPr="00A235C8">
              <w:rPr>
                <w:rFonts w:ascii="Arial" w:hAnsi="Arial" w:cs="Arial"/>
                <w:sz w:val="22"/>
                <w:szCs w:val="22"/>
                <w:lang w:val="fr-CA"/>
              </w:rPr>
              <w:tab/>
            </w:r>
            <w:r>
              <w:rPr>
                <w:rFonts w:ascii="Arial" w:hAnsi="Arial" w:cs="Arial"/>
                <w:sz w:val="22"/>
                <w:szCs w:val="22"/>
                <w:lang w:val="fr-CA"/>
              </w:rPr>
              <w:t>À la section</w:t>
            </w:r>
            <w:r w:rsidR="001F2B03">
              <w:rPr>
                <w:rFonts w:ascii="Arial" w:hAnsi="Arial" w:cs="Arial"/>
                <w:sz w:val="22"/>
                <w:szCs w:val="22"/>
                <w:lang w:val="fr-CA"/>
              </w:rPr>
              <w:t> </w:t>
            </w:r>
            <w:r>
              <w:rPr>
                <w:rFonts w:ascii="Arial" w:hAnsi="Arial" w:cs="Arial"/>
                <w:sz w:val="22"/>
                <w:szCs w:val="22"/>
                <w:lang w:val="fr-CA"/>
              </w:rPr>
              <w:t>3, c</w:t>
            </w:r>
            <w:r w:rsidRPr="00A235C8">
              <w:rPr>
                <w:rFonts w:ascii="Arial" w:hAnsi="Arial" w:cs="Arial"/>
                <w:sz w:val="22"/>
                <w:szCs w:val="22"/>
                <w:lang w:val="fr-CA"/>
              </w:rPr>
              <w:t xml:space="preserve">hangement </w:t>
            </w:r>
            <w:r>
              <w:rPr>
                <w:rFonts w:ascii="Arial" w:hAnsi="Arial" w:cs="Arial"/>
                <w:sz w:val="22"/>
                <w:szCs w:val="22"/>
                <w:lang w:val="fr-CA"/>
              </w:rPr>
              <w:t>du</w:t>
            </w:r>
            <w:r w:rsidRPr="00A235C8">
              <w:rPr>
                <w:rFonts w:ascii="Arial" w:hAnsi="Arial" w:cs="Arial"/>
                <w:sz w:val="22"/>
                <w:szCs w:val="22"/>
                <w:lang w:val="fr-CA"/>
              </w:rPr>
              <w:t xml:space="preserve"> </w:t>
            </w:r>
            <w:r>
              <w:rPr>
                <w:rFonts w:ascii="Arial" w:hAnsi="Arial" w:cs="Arial"/>
                <w:sz w:val="22"/>
                <w:szCs w:val="22"/>
                <w:lang w:val="fr-CA"/>
              </w:rPr>
              <w:t>délai d’utilisation des échantillons à « 14 jours »</w:t>
            </w:r>
          </w:p>
          <w:p w:rsidR="002470EB" w:rsidRPr="00A235C8" w:rsidRDefault="002470EB" w:rsidP="002470EB">
            <w:pPr>
              <w:pStyle w:val="Header"/>
              <w:numPr>
                <w:ilvl w:val="0"/>
                <w:numId w:val="40"/>
              </w:numPr>
              <w:tabs>
                <w:tab w:val="left" w:pos="720"/>
              </w:tabs>
              <w:rPr>
                <w:rFonts w:ascii="Arial" w:hAnsi="Arial" w:cs="Arial"/>
                <w:sz w:val="22"/>
                <w:szCs w:val="22"/>
                <w:lang w:val="fr-CA"/>
              </w:rPr>
            </w:pPr>
            <w:r w:rsidRPr="00A235C8">
              <w:rPr>
                <w:rFonts w:ascii="Arial" w:hAnsi="Arial" w:cs="Arial"/>
                <w:sz w:val="22"/>
                <w:szCs w:val="22"/>
                <w:lang w:val="fr-CA"/>
              </w:rPr>
              <w:t>Révision et renumérotation de</w:t>
            </w:r>
            <w:r>
              <w:rPr>
                <w:rFonts w:ascii="Arial" w:hAnsi="Arial" w:cs="Arial"/>
                <w:sz w:val="22"/>
                <w:szCs w:val="22"/>
                <w:lang w:val="fr-CA"/>
              </w:rPr>
              <w:t xml:space="preserve"> la section </w:t>
            </w:r>
            <w:r w:rsidR="00EF1E64">
              <w:rPr>
                <w:rFonts w:ascii="Arial" w:hAnsi="Arial" w:cs="Arial"/>
                <w:sz w:val="22"/>
                <w:szCs w:val="22"/>
                <w:lang w:val="fr-CA"/>
              </w:rPr>
              <w:t>8</w:t>
            </w:r>
            <w:r w:rsidRPr="00A235C8">
              <w:rPr>
                <w:rFonts w:ascii="Arial" w:hAnsi="Arial" w:cs="Arial"/>
                <w:sz w:val="22"/>
                <w:szCs w:val="22"/>
                <w:lang w:val="fr-CA"/>
              </w:rPr>
              <w:t>.0</w:t>
            </w:r>
          </w:p>
          <w:p w:rsidR="002470EB" w:rsidRPr="0055014C" w:rsidRDefault="002470EB" w:rsidP="002470EB">
            <w:pPr>
              <w:pStyle w:val="Header"/>
              <w:numPr>
                <w:ilvl w:val="0"/>
                <w:numId w:val="40"/>
              </w:numPr>
              <w:tabs>
                <w:tab w:val="left" w:pos="720"/>
              </w:tabs>
              <w:rPr>
                <w:rFonts w:ascii="Arial" w:hAnsi="Arial" w:cs="Arial"/>
                <w:sz w:val="22"/>
                <w:szCs w:val="22"/>
                <w:lang w:val="fr-CA"/>
              </w:rPr>
            </w:pPr>
            <w:r w:rsidRPr="0055014C">
              <w:rPr>
                <w:rFonts w:ascii="Arial" w:hAnsi="Arial"/>
                <w:sz w:val="22"/>
                <w:lang w:val="fr-CA"/>
              </w:rPr>
              <w:t xml:space="preserve">Mise à jour des références </w:t>
            </w:r>
          </w:p>
        </w:tc>
      </w:tr>
    </w:tbl>
    <w:p w:rsidR="002470EB" w:rsidRDefault="002470EB" w:rsidP="00FD731A">
      <w:pPr>
        <w:rPr>
          <w:lang w:val="fr-CA"/>
        </w:rPr>
      </w:pPr>
    </w:p>
    <w:sectPr w:rsidR="002470EB">
      <w:headerReference w:type="even" r:id="rId8"/>
      <w:headerReference w:type="default" r:id="rId9"/>
      <w:footerReference w:type="even" r:id="rId10"/>
      <w:footerReference w:type="default" r:id="rId11"/>
      <w:headerReference w:type="first" r:id="rId12"/>
      <w:footerReference w:type="first" r:id="rId13"/>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35" w:rsidRDefault="00514A35">
      <w:r>
        <w:separator/>
      </w:r>
    </w:p>
  </w:endnote>
  <w:endnote w:type="continuationSeparator" w:id="0">
    <w:p w:rsidR="00514A35" w:rsidRDefault="0051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B8" w:rsidRDefault="0019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37113">
      <w:trPr>
        <w:trHeight w:val="720"/>
      </w:trPr>
      <w:tc>
        <w:tcPr>
          <w:tcW w:w="1368" w:type="dxa"/>
        </w:tcPr>
        <w:p w:rsidR="00337113" w:rsidRDefault="00337113">
          <w:pPr>
            <w:pStyle w:val="Footer"/>
            <w:jc w:val="center"/>
            <w:rPr>
              <w:sz w:val="8"/>
            </w:rPr>
          </w:pPr>
        </w:p>
        <w:p w:rsidR="00337113" w:rsidRDefault="001D240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37113" w:rsidRPr="004111DC" w:rsidRDefault="00337113">
          <w:pPr>
            <w:pStyle w:val="Footer"/>
            <w:jc w:val="center"/>
            <w:rPr>
              <w:rFonts w:ascii="Arial" w:hAnsi="Arial"/>
              <w:sz w:val="18"/>
              <w:lang w:val="fr-CA"/>
            </w:rPr>
          </w:pPr>
        </w:p>
        <w:p w:rsidR="008054F2" w:rsidRDefault="008054F2" w:rsidP="008054F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337113" w:rsidRPr="004111DC" w:rsidRDefault="008054F2" w:rsidP="008054F2">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337113" w:rsidRPr="004111DC" w:rsidRDefault="00337113">
          <w:pPr>
            <w:pStyle w:val="Footer"/>
            <w:jc w:val="right"/>
            <w:rPr>
              <w:rFonts w:ascii="Arial" w:hAnsi="Arial"/>
              <w:sz w:val="18"/>
              <w:lang w:val="fr-CA"/>
            </w:rPr>
          </w:pPr>
        </w:p>
        <w:p w:rsidR="00337113" w:rsidRPr="004111DC" w:rsidRDefault="00337113" w:rsidP="008054F2">
          <w:pPr>
            <w:pStyle w:val="Footer"/>
            <w:jc w:val="right"/>
            <w:rPr>
              <w:rFonts w:ascii="Arial" w:hAnsi="Arial"/>
              <w:sz w:val="18"/>
              <w:lang w:val="fr-CA"/>
            </w:rPr>
          </w:pPr>
          <w:r w:rsidRPr="004111DC">
            <w:rPr>
              <w:rFonts w:ascii="Arial" w:hAnsi="Arial"/>
              <w:sz w:val="18"/>
              <w:lang w:val="fr-CA"/>
            </w:rPr>
            <w:t>TG.00</w:t>
          </w:r>
          <w:r w:rsidR="008054F2">
            <w:rPr>
              <w:rFonts w:ascii="Arial" w:hAnsi="Arial"/>
              <w:sz w:val="18"/>
              <w:lang w:val="fr-CA"/>
            </w:rPr>
            <w:t>7</w:t>
          </w:r>
          <w:r w:rsidRPr="004111DC">
            <w:rPr>
              <w:rFonts w:ascii="Arial" w:hAnsi="Arial"/>
              <w:sz w:val="18"/>
              <w:lang w:val="fr-CA"/>
            </w:rPr>
            <w:br/>
          </w:r>
          <w:r w:rsidRPr="004111DC">
            <w:rPr>
              <w:rFonts w:ascii="Arial" w:hAnsi="Arial"/>
              <w:snapToGrid w:val="0"/>
              <w:sz w:val="18"/>
              <w:lang w:val="fr-CA"/>
            </w:rPr>
            <w:t>Page</w:t>
          </w:r>
          <w:r w:rsidR="001F2B03">
            <w:rPr>
              <w:rFonts w:ascii="Arial" w:hAnsi="Arial"/>
              <w:snapToGrid w:val="0"/>
              <w:sz w:val="18"/>
              <w:lang w:val="fr-CA"/>
            </w:rPr>
            <w:t> </w:t>
          </w:r>
          <w:r w:rsidRPr="004111DC">
            <w:rPr>
              <w:rFonts w:ascii="Arial" w:hAnsi="Arial"/>
              <w:snapToGrid w:val="0"/>
              <w:sz w:val="18"/>
              <w:lang w:val="fr-CA"/>
            </w:rPr>
            <w:fldChar w:fldCharType="begin"/>
          </w:r>
          <w:r w:rsidRPr="004111DC">
            <w:rPr>
              <w:rFonts w:ascii="Arial" w:hAnsi="Arial"/>
              <w:snapToGrid w:val="0"/>
              <w:sz w:val="18"/>
              <w:lang w:val="fr-CA"/>
            </w:rPr>
            <w:instrText xml:space="preserve"> PAGE </w:instrText>
          </w:r>
          <w:r w:rsidRPr="004111DC">
            <w:rPr>
              <w:rFonts w:ascii="Arial" w:hAnsi="Arial"/>
              <w:snapToGrid w:val="0"/>
              <w:sz w:val="18"/>
              <w:lang w:val="fr-CA"/>
            </w:rPr>
            <w:fldChar w:fldCharType="separate"/>
          </w:r>
          <w:r w:rsidR="003D0113">
            <w:rPr>
              <w:rFonts w:ascii="Arial" w:hAnsi="Arial"/>
              <w:noProof/>
              <w:snapToGrid w:val="0"/>
              <w:sz w:val="18"/>
              <w:lang w:val="fr-CA"/>
            </w:rPr>
            <w:t>7</w:t>
          </w:r>
          <w:r w:rsidRPr="004111DC">
            <w:rPr>
              <w:rFonts w:ascii="Arial" w:hAnsi="Arial"/>
              <w:snapToGrid w:val="0"/>
              <w:sz w:val="18"/>
              <w:lang w:val="fr-CA"/>
            </w:rPr>
            <w:fldChar w:fldCharType="end"/>
          </w:r>
          <w:r w:rsidRPr="004111DC">
            <w:rPr>
              <w:rFonts w:ascii="Arial" w:hAnsi="Arial"/>
              <w:snapToGrid w:val="0"/>
              <w:sz w:val="18"/>
              <w:lang w:val="fr-CA"/>
            </w:rPr>
            <w:t xml:space="preserve"> de </w:t>
          </w:r>
          <w:r w:rsidRPr="004111DC">
            <w:rPr>
              <w:rFonts w:ascii="Arial" w:hAnsi="Arial"/>
              <w:snapToGrid w:val="0"/>
              <w:sz w:val="18"/>
              <w:lang w:val="fr-CA"/>
            </w:rPr>
            <w:fldChar w:fldCharType="begin"/>
          </w:r>
          <w:r w:rsidRPr="004111DC">
            <w:rPr>
              <w:rFonts w:ascii="Arial" w:hAnsi="Arial"/>
              <w:snapToGrid w:val="0"/>
              <w:sz w:val="18"/>
              <w:lang w:val="fr-CA"/>
            </w:rPr>
            <w:instrText xml:space="preserve"> NUMPAGES </w:instrText>
          </w:r>
          <w:r w:rsidRPr="004111DC">
            <w:rPr>
              <w:rFonts w:ascii="Arial" w:hAnsi="Arial"/>
              <w:snapToGrid w:val="0"/>
              <w:sz w:val="18"/>
              <w:lang w:val="fr-CA"/>
            </w:rPr>
            <w:fldChar w:fldCharType="separate"/>
          </w:r>
          <w:r w:rsidR="003D0113">
            <w:rPr>
              <w:rFonts w:ascii="Arial" w:hAnsi="Arial"/>
              <w:noProof/>
              <w:snapToGrid w:val="0"/>
              <w:sz w:val="18"/>
              <w:lang w:val="fr-CA"/>
            </w:rPr>
            <w:t>7</w:t>
          </w:r>
          <w:r w:rsidRPr="004111DC">
            <w:rPr>
              <w:rFonts w:ascii="Arial" w:hAnsi="Arial"/>
              <w:snapToGrid w:val="0"/>
              <w:sz w:val="18"/>
              <w:lang w:val="fr-CA"/>
            </w:rPr>
            <w:fldChar w:fldCharType="end"/>
          </w:r>
        </w:p>
      </w:tc>
    </w:tr>
  </w:tbl>
  <w:p w:rsidR="00337113" w:rsidRDefault="0033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37113">
      <w:trPr>
        <w:trHeight w:val="720"/>
      </w:trPr>
      <w:tc>
        <w:tcPr>
          <w:tcW w:w="1368" w:type="dxa"/>
        </w:tcPr>
        <w:p w:rsidR="00337113" w:rsidRDefault="00337113">
          <w:pPr>
            <w:pStyle w:val="Footer"/>
            <w:jc w:val="center"/>
            <w:rPr>
              <w:rFonts w:ascii="Verdana" w:hAnsi="Verdana"/>
              <w:sz w:val="8"/>
            </w:rPr>
          </w:pPr>
        </w:p>
        <w:p w:rsidR="00337113" w:rsidRDefault="001D240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37113" w:rsidRDefault="00337113">
          <w:pPr>
            <w:pStyle w:val="Footer"/>
            <w:jc w:val="center"/>
            <w:rPr>
              <w:rFonts w:ascii="Arial" w:hAnsi="Arial"/>
              <w:sz w:val="18"/>
            </w:rPr>
          </w:pPr>
        </w:p>
        <w:p w:rsidR="008054F2" w:rsidRDefault="008054F2" w:rsidP="008054F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337113" w:rsidRPr="00956652" w:rsidRDefault="008054F2" w:rsidP="008054F2">
          <w:pPr>
            <w:pStyle w:val="Footer"/>
            <w:jc w:val="center"/>
            <w:rPr>
              <w:rFonts w:ascii="Arial" w:hAnsi="Arial"/>
              <w:sz w:val="18"/>
              <w:lang w:val="fr-CA"/>
            </w:rPr>
          </w:pPr>
          <w:r>
            <w:rPr>
              <w:rFonts w:ascii="Arial" w:hAnsi="Arial"/>
              <w:sz w:val="18"/>
              <w:lang w:val="fr-CA"/>
            </w:rPr>
            <w:t>Manuel de ressources techniques en transfusion de l’Ontario</w:t>
          </w:r>
          <w:r w:rsidRPr="00956652">
            <w:rPr>
              <w:rFonts w:ascii="Arial" w:hAnsi="Arial"/>
              <w:sz w:val="18"/>
              <w:lang w:val="fr-CA"/>
            </w:rPr>
            <w:t xml:space="preserve"> </w:t>
          </w:r>
        </w:p>
      </w:tc>
      <w:tc>
        <w:tcPr>
          <w:tcW w:w="1494" w:type="dxa"/>
        </w:tcPr>
        <w:p w:rsidR="00337113" w:rsidRPr="00956652" w:rsidRDefault="00337113">
          <w:pPr>
            <w:pStyle w:val="Footer"/>
            <w:jc w:val="right"/>
            <w:rPr>
              <w:rFonts w:ascii="Arial" w:hAnsi="Arial"/>
              <w:sz w:val="18"/>
              <w:lang w:val="fr-CA"/>
            </w:rPr>
          </w:pPr>
        </w:p>
        <w:p w:rsidR="00337113" w:rsidRDefault="00337113" w:rsidP="008054F2">
          <w:pPr>
            <w:pStyle w:val="Footer"/>
            <w:jc w:val="right"/>
            <w:rPr>
              <w:rFonts w:ascii="Arial" w:hAnsi="Arial"/>
              <w:sz w:val="18"/>
            </w:rPr>
          </w:pPr>
          <w:r>
            <w:rPr>
              <w:rFonts w:ascii="Arial" w:hAnsi="Arial"/>
              <w:sz w:val="18"/>
            </w:rPr>
            <w:t>TG.00</w:t>
          </w:r>
          <w:r w:rsidR="008054F2">
            <w:rPr>
              <w:rFonts w:ascii="Arial" w:hAnsi="Arial"/>
              <w:sz w:val="18"/>
            </w:rPr>
            <w:t>7</w:t>
          </w:r>
          <w:r>
            <w:rPr>
              <w:rFonts w:ascii="Arial" w:hAnsi="Arial"/>
              <w:sz w:val="18"/>
            </w:rPr>
            <w:br/>
          </w:r>
          <w:r>
            <w:rPr>
              <w:rFonts w:ascii="Arial" w:hAnsi="Arial"/>
              <w:snapToGrid w:val="0"/>
              <w:sz w:val="18"/>
            </w:rPr>
            <w:t>Page</w:t>
          </w:r>
          <w:r w:rsidR="001F2B03">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D0113">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D0113">
            <w:rPr>
              <w:rFonts w:ascii="Arial" w:hAnsi="Arial"/>
              <w:noProof/>
              <w:snapToGrid w:val="0"/>
              <w:sz w:val="18"/>
            </w:rPr>
            <w:t>1</w:t>
          </w:r>
          <w:r>
            <w:rPr>
              <w:rFonts w:ascii="Arial" w:hAnsi="Arial"/>
              <w:snapToGrid w:val="0"/>
              <w:sz w:val="18"/>
            </w:rPr>
            <w:fldChar w:fldCharType="end"/>
          </w:r>
        </w:p>
      </w:tc>
    </w:tr>
  </w:tbl>
  <w:p w:rsidR="00337113" w:rsidRDefault="0033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35" w:rsidRDefault="00514A35">
      <w:r>
        <w:separator/>
      </w:r>
    </w:p>
  </w:footnote>
  <w:footnote w:type="continuationSeparator" w:id="0">
    <w:p w:rsidR="00514A35" w:rsidRDefault="0051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B8" w:rsidRDefault="0019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13" w:rsidRPr="004111DC" w:rsidRDefault="00337113">
    <w:pPr>
      <w:pStyle w:val="Header"/>
      <w:jc w:val="center"/>
      <w:rPr>
        <w:rFonts w:ascii="Arial" w:hAnsi="Arial"/>
        <w:b/>
        <w:sz w:val="28"/>
        <w:highlight w:val="yellow"/>
        <w:lang w:val="fr-CA"/>
      </w:rPr>
    </w:pPr>
    <w:r w:rsidRPr="004111DC">
      <w:rPr>
        <w:rFonts w:ascii="Arial" w:hAnsi="Arial"/>
        <w:b/>
        <w:sz w:val="28"/>
        <w:lang w:val="fr-CA"/>
      </w:rPr>
      <w:t>Épreuve de compatibilité – carte de gel anti-IgG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13" w:rsidRDefault="001D2405">
    <w:pPr>
      <w:pStyle w:val="Header"/>
      <w:tabs>
        <w:tab w:val="clear" w:pos="8640"/>
        <w:tab w:val="left" w:pos="5057"/>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956652" w:rsidRPr="004774E2" w:rsidRDefault="00956652">
    <w:pPr>
      <w:pStyle w:val="Header"/>
      <w:tabs>
        <w:tab w:val="clear" w:pos="8640"/>
        <w:tab w:val="left" w:pos="5057"/>
      </w:tabs>
      <w:rPr>
        <w:lang w:val="fr-CA"/>
      </w:rPr>
    </w:pPr>
  </w:p>
  <w:p w:rsidR="008054F2" w:rsidRPr="00956652" w:rsidRDefault="008054F2" w:rsidP="008054F2">
    <w:pPr>
      <w:pStyle w:val="Header"/>
      <w:jc w:val="center"/>
      <w:rPr>
        <w:rFonts w:ascii="Arial" w:hAnsi="Arial" w:cs="Arial"/>
        <w:b/>
        <w:bCs/>
        <w:sz w:val="24"/>
        <w:szCs w:val="28"/>
        <w:lang w:val="fr-CA"/>
      </w:rPr>
    </w:pPr>
    <w:r w:rsidRPr="00956652">
      <w:rPr>
        <w:rFonts w:ascii="Arial" w:hAnsi="Arial" w:cs="Arial"/>
        <w:b/>
        <w:bCs/>
        <w:sz w:val="24"/>
        <w:szCs w:val="28"/>
        <w:lang w:val="fr-CA"/>
      </w:rPr>
      <w:t>Réseau régional ontarien de coordination du sang</w:t>
    </w:r>
  </w:p>
  <w:p w:rsidR="008054F2" w:rsidRPr="00956652" w:rsidRDefault="008054F2" w:rsidP="008054F2">
    <w:pPr>
      <w:pStyle w:val="Header"/>
      <w:jc w:val="center"/>
      <w:rPr>
        <w:rFonts w:ascii="Arial" w:hAnsi="Arial" w:cs="Arial"/>
        <w:b/>
        <w:bCs/>
        <w:sz w:val="24"/>
        <w:szCs w:val="28"/>
        <w:lang w:val="fr-CA"/>
      </w:rPr>
    </w:pPr>
    <w:r w:rsidRPr="00956652">
      <w:rPr>
        <w:rFonts w:ascii="Arial" w:hAnsi="Arial" w:cs="Arial"/>
        <w:b/>
        <w:bCs/>
        <w:sz w:val="24"/>
        <w:szCs w:val="28"/>
        <w:lang w:val="fr-CA"/>
      </w:rPr>
      <w:t>Manuel de ressources techniques en transfusion de l’Ontario</w:t>
    </w:r>
  </w:p>
  <w:p w:rsidR="00337113" w:rsidRPr="004774E2" w:rsidRDefault="00337113">
    <w:pPr>
      <w:pStyle w:val="Header"/>
      <w:jc w:val="center"/>
      <w:rPr>
        <w:rFonts w:ascii="Arial" w:hAnsi="Arial" w:cs="Arial"/>
        <w:b/>
        <w:bCs/>
        <w:kern w:val="24"/>
        <w:sz w:val="22"/>
        <w:lang w:val="fr-CA"/>
      </w:rPr>
    </w:pPr>
  </w:p>
  <w:p w:rsidR="00337113" w:rsidRPr="00E52132" w:rsidRDefault="00337113">
    <w:pPr>
      <w:pStyle w:val="Header"/>
      <w:jc w:val="center"/>
      <w:rPr>
        <w:rFonts w:ascii="Arial" w:hAnsi="Arial"/>
        <w:b/>
        <w:sz w:val="28"/>
        <w:lang w:val="fr-CA"/>
      </w:rPr>
    </w:pPr>
    <w:r w:rsidRPr="00E52132">
      <w:rPr>
        <w:rFonts w:ascii="Arial" w:hAnsi="Arial"/>
        <w:b/>
        <w:sz w:val="28"/>
        <w:lang w:val="fr-CA"/>
      </w:rPr>
      <w:t>Épreuve de compatibilité - carte de gel anti-IgG</w:t>
    </w:r>
  </w:p>
  <w:p w:rsidR="00337113" w:rsidRPr="004774E2" w:rsidRDefault="00337113">
    <w:pPr>
      <w:pStyle w:val="Header"/>
      <w:jc w:val="center"/>
      <w:rPr>
        <w:rFonts w:ascii="Arial" w:hAnsi="Arial"/>
        <w:b/>
        <w:sz w:val="28"/>
        <w:lang w:val="fr-CA"/>
      </w:rPr>
    </w:pPr>
  </w:p>
  <w:p w:rsidR="00337113" w:rsidRPr="004774E2" w:rsidRDefault="00337113">
    <w:pPr>
      <w:pStyle w:val="Header"/>
      <w:tabs>
        <w:tab w:val="left" w:pos="6617"/>
      </w:tabs>
      <w:rPr>
        <w:rFonts w:ascii="Arial" w:hAnsi="Arial" w:cs="Arial"/>
        <w:b/>
        <w:bCs/>
        <w:kern w:val="24"/>
        <w:lang w:val="fr-CA"/>
      </w:rPr>
    </w:pPr>
    <w:r w:rsidRPr="004774E2">
      <w:rPr>
        <w:rFonts w:ascii="Arial" w:hAnsi="Arial" w:cs="Arial"/>
        <w:b/>
        <w:bCs/>
        <w:lang w:val="fr-CA"/>
      </w:rPr>
      <w:tab/>
    </w:r>
    <w:r w:rsidR="001D2405" w:rsidRPr="004774E2">
      <w:rPr>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E41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337113" w:rsidRPr="004774E2">
      <w:tc>
        <w:tcPr>
          <w:tcW w:w="4428" w:type="dxa"/>
        </w:tcPr>
        <w:p w:rsidR="00337113" w:rsidRPr="004774E2" w:rsidRDefault="00337113" w:rsidP="008054F2">
          <w:pPr>
            <w:pStyle w:val="Header"/>
            <w:rPr>
              <w:rFonts w:ascii="Arial" w:hAnsi="Arial" w:cs="Arial"/>
              <w:kern w:val="24"/>
              <w:lang w:val="fr-CA"/>
            </w:rPr>
          </w:pPr>
          <w:r w:rsidRPr="004774E2">
            <w:rPr>
              <w:rFonts w:ascii="Arial" w:hAnsi="Arial" w:cs="Arial"/>
              <w:lang w:val="fr-CA"/>
            </w:rPr>
            <w:t>Approbation :</w:t>
          </w:r>
          <w:r w:rsidR="00E85F42">
            <w:rPr>
              <w:rFonts w:ascii="Arial" w:hAnsi="Arial" w:cs="Arial"/>
              <w:lang w:val="fr-CA"/>
            </w:rPr>
            <w:t xml:space="preserve"> </w:t>
          </w:r>
        </w:p>
      </w:tc>
      <w:tc>
        <w:tcPr>
          <w:tcW w:w="4428" w:type="dxa"/>
        </w:tcPr>
        <w:p w:rsidR="00337113" w:rsidRPr="004774E2" w:rsidRDefault="00337113" w:rsidP="00475862">
          <w:pPr>
            <w:pStyle w:val="Header"/>
            <w:rPr>
              <w:rFonts w:ascii="Arial" w:hAnsi="Arial" w:cs="Arial"/>
              <w:kern w:val="24"/>
              <w:lang w:val="fr-CA"/>
            </w:rPr>
          </w:pPr>
          <w:r w:rsidRPr="004774E2">
            <w:rPr>
              <w:rFonts w:ascii="Arial" w:hAnsi="Arial" w:cs="Arial"/>
              <w:lang w:val="fr-CA"/>
            </w:rPr>
            <w:t>Document n</w:t>
          </w:r>
          <w:r w:rsidRPr="004774E2">
            <w:rPr>
              <w:rFonts w:ascii="Arial" w:hAnsi="Arial" w:cs="Arial"/>
              <w:vertAlign w:val="superscript"/>
              <w:lang w:val="fr-CA"/>
            </w:rPr>
            <w:t>o</w:t>
          </w:r>
          <w:r w:rsidRPr="004774E2">
            <w:rPr>
              <w:rFonts w:ascii="Arial" w:hAnsi="Arial" w:cs="Arial"/>
              <w:lang w:val="fr-CA"/>
            </w:rPr>
            <w:t xml:space="preserve"> : TG.00</w:t>
          </w:r>
          <w:r w:rsidR="00475862">
            <w:rPr>
              <w:rFonts w:ascii="Arial" w:hAnsi="Arial" w:cs="Arial"/>
              <w:lang w:val="fr-CA"/>
            </w:rPr>
            <w:t>7</w:t>
          </w:r>
        </w:p>
      </w:tc>
    </w:tr>
    <w:tr w:rsidR="00337113" w:rsidRPr="004774E2">
      <w:tc>
        <w:tcPr>
          <w:tcW w:w="4428" w:type="dxa"/>
        </w:tcPr>
        <w:p w:rsidR="00337113" w:rsidRPr="004774E2" w:rsidRDefault="00337113">
          <w:pPr>
            <w:pStyle w:val="Header"/>
            <w:rPr>
              <w:rFonts w:ascii="Arial" w:hAnsi="Arial" w:cs="Arial"/>
              <w:kern w:val="24"/>
              <w:lang w:val="fr-CA"/>
            </w:rPr>
          </w:pPr>
          <w:r w:rsidRPr="004774E2">
            <w:rPr>
              <w:rFonts w:ascii="Arial" w:hAnsi="Arial" w:cs="Arial"/>
              <w:lang w:val="fr-CA"/>
            </w:rPr>
            <w:t>Date de publication : 2006/06/01</w:t>
          </w:r>
        </w:p>
      </w:tc>
      <w:tc>
        <w:tcPr>
          <w:tcW w:w="4428" w:type="dxa"/>
        </w:tcPr>
        <w:p w:rsidR="00337113" w:rsidRPr="004774E2" w:rsidRDefault="00337113">
          <w:pPr>
            <w:pStyle w:val="Header"/>
            <w:rPr>
              <w:rFonts w:ascii="Arial" w:hAnsi="Arial" w:cs="Arial"/>
              <w:kern w:val="24"/>
              <w:lang w:val="fr-CA"/>
            </w:rPr>
          </w:pPr>
          <w:r w:rsidRPr="004774E2">
            <w:rPr>
              <w:rFonts w:ascii="Arial" w:hAnsi="Arial" w:cs="Arial"/>
              <w:lang w:val="fr-CA"/>
            </w:rPr>
            <w:t>Catégorie : Techniques en gel</w:t>
          </w:r>
        </w:p>
      </w:tc>
    </w:tr>
    <w:tr w:rsidR="00337113" w:rsidRPr="004774E2">
      <w:tc>
        <w:tcPr>
          <w:tcW w:w="4428" w:type="dxa"/>
        </w:tcPr>
        <w:p w:rsidR="00337113" w:rsidRPr="004774E2" w:rsidRDefault="00337113">
          <w:pPr>
            <w:pStyle w:val="Header"/>
            <w:rPr>
              <w:rFonts w:ascii="Arial" w:hAnsi="Arial" w:cs="Arial"/>
              <w:kern w:val="24"/>
              <w:lang w:val="fr-CA"/>
            </w:rPr>
          </w:pPr>
          <w:r w:rsidRPr="004774E2">
            <w:rPr>
              <w:rFonts w:ascii="Arial" w:hAnsi="Arial" w:cs="Arial"/>
              <w:lang w:val="fr-CA"/>
            </w:rPr>
            <w:t>Date de révision :</w:t>
          </w:r>
          <w:r w:rsidR="00E85F42">
            <w:rPr>
              <w:rFonts w:ascii="Arial" w:hAnsi="Arial" w:cs="Arial"/>
              <w:lang w:val="fr-CA"/>
            </w:rPr>
            <w:t xml:space="preserve"> 2009/12/31</w:t>
          </w:r>
          <w:r w:rsidR="008054F2">
            <w:rPr>
              <w:rFonts w:ascii="Arial" w:hAnsi="Arial" w:cs="Arial"/>
              <w:lang w:val="fr-CA"/>
            </w:rPr>
            <w:t>; 2014/04/30</w:t>
          </w:r>
        </w:p>
      </w:tc>
      <w:tc>
        <w:tcPr>
          <w:tcW w:w="4428" w:type="dxa"/>
        </w:tcPr>
        <w:p w:rsidR="00337113" w:rsidRPr="004774E2" w:rsidRDefault="00337113">
          <w:pPr>
            <w:pStyle w:val="Header"/>
            <w:rPr>
              <w:rFonts w:ascii="Arial" w:hAnsi="Arial" w:cs="Arial"/>
              <w:kern w:val="24"/>
              <w:lang w:val="fr-CA"/>
            </w:rPr>
          </w:pPr>
          <w:r w:rsidRPr="004774E2">
            <w:rPr>
              <w:rFonts w:ascii="Arial" w:hAnsi="Arial" w:cs="Arial"/>
              <w:lang w:val="fr-CA"/>
            </w:rPr>
            <w:t xml:space="preserve">Pages : </w:t>
          </w:r>
          <w:r w:rsidRPr="004774E2">
            <w:rPr>
              <w:rFonts w:ascii="Arial" w:hAnsi="Arial" w:cs="Arial"/>
              <w:lang w:val="fr-CA"/>
            </w:rPr>
            <w:fldChar w:fldCharType="begin"/>
          </w:r>
          <w:r w:rsidRPr="004774E2">
            <w:rPr>
              <w:rFonts w:ascii="Arial" w:hAnsi="Arial" w:cs="Arial"/>
              <w:lang w:val="fr-CA"/>
            </w:rPr>
            <w:instrText xml:space="preserve"> NUMPAGES </w:instrText>
          </w:r>
          <w:r w:rsidRPr="004774E2">
            <w:rPr>
              <w:rFonts w:ascii="Arial" w:hAnsi="Arial" w:cs="Arial"/>
              <w:lang w:val="fr-CA"/>
            </w:rPr>
            <w:fldChar w:fldCharType="separate"/>
          </w:r>
          <w:r w:rsidR="003D0113">
            <w:rPr>
              <w:rFonts w:ascii="Arial" w:hAnsi="Arial" w:cs="Arial"/>
              <w:noProof/>
              <w:lang w:val="fr-CA"/>
            </w:rPr>
            <w:t>1</w:t>
          </w:r>
          <w:r w:rsidRPr="004774E2">
            <w:rPr>
              <w:rFonts w:ascii="Arial" w:hAnsi="Arial" w:cs="Arial"/>
              <w:lang w:val="fr-CA"/>
            </w:rPr>
            <w:fldChar w:fldCharType="end"/>
          </w:r>
        </w:p>
      </w:tc>
    </w:tr>
  </w:tbl>
  <w:p w:rsidR="00337113" w:rsidRPr="004774E2" w:rsidRDefault="001D2405">
    <w:pPr>
      <w:pStyle w:val="Header"/>
      <w:rPr>
        <w:lang w:val="fr-CA"/>
      </w:rPr>
    </w:pPr>
    <w:r w:rsidRPr="004774E2">
      <w:rPr>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294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37113" w:rsidRPr="004774E2">
      <w:rPr>
        <w:lang w:val="fr-CA"/>
      </w:rPr>
      <w:tab/>
    </w:r>
  </w:p>
  <w:p w:rsidR="00337113" w:rsidRDefault="0033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B40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105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C4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C62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9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1C2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07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0D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6E5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ECD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EB3"/>
    <w:multiLevelType w:val="multilevel"/>
    <w:tmpl w:val="58D685E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D117B8C"/>
    <w:multiLevelType w:val="hybridMultilevel"/>
    <w:tmpl w:val="6546B2B4"/>
    <w:lvl w:ilvl="0" w:tplc="34E21FBA">
      <w:start w:val="1"/>
      <w:numFmt w:val="decimal"/>
      <w:lvlText w:val="9.%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3" w15:restartNumberingAfterBreak="0">
    <w:nsid w:val="124B75A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41015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B7040"/>
    <w:multiLevelType w:val="multilevel"/>
    <w:tmpl w:val="31BC6AF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2B22F3A"/>
    <w:multiLevelType w:val="multilevel"/>
    <w:tmpl w:val="713EC8E4"/>
    <w:lvl w:ilvl="0">
      <w:start w:val="8"/>
      <w:numFmt w:val="decimal"/>
      <w:lvlText w:val="%1.0"/>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4922573"/>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9F0A38"/>
    <w:multiLevelType w:val="multilevel"/>
    <w:tmpl w:val="B65676EA"/>
    <w:lvl w:ilvl="0">
      <w:start w:val="8"/>
      <w:numFmt w:val="decimal"/>
      <w:lvlText w:val="%1.0"/>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4839E5"/>
    <w:multiLevelType w:val="multilevel"/>
    <w:tmpl w:val="6540E34C"/>
    <w:lvl w:ilvl="0">
      <w:start w:val="8"/>
      <w:numFmt w:val="decimal"/>
      <w:lvlText w:val="%1.0"/>
      <w:lvlJc w:val="left"/>
      <w:pPr>
        <w:tabs>
          <w:tab w:val="num" w:pos="525"/>
        </w:tabs>
        <w:ind w:left="525" w:hanging="525"/>
      </w:pPr>
      <w:rPr>
        <w:rFonts w:hint="default"/>
      </w:rPr>
    </w:lvl>
    <w:lvl w:ilvl="1">
      <w:start w:val="8"/>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3554C1F"/>
    <w:multiLevelType w:val="multilevel"/>
    <w:tmpl w:val="D3EECE16"/>
    <w:lvl w:ilvl="0">
      <w:start w:val="1"/>
      <w:numFmt w:val="decimal"/>
      <w:lvlText w:val="9.%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9A0262"/>
    <w:multiLevelType w:val="multilevel"/>
    <w:tmpl w:val="3B78B2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859524A"/>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D40669E"/>
    <w:multiLevelType w:val="multilevel"/>
    <w:tmpl w:val="D3EECE16"/>
    <w:lvl w:ilvl="0">
      <w:start w:val="1"/>
      <w:numFmt w:val="decimal"/>
      <w:lvlText w:val="9.%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FB0DC4"/>
    <w:multiLevelType w:val="multilevel"/>
    <w:tmpl w:val="3A2AD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43415C8"/>
    <w:multiLevelType w:val="multilevel"/>
    <w:tmpl w:val="71822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A9A7E58"/>
    <w:multiLevelType w:val="multilevel"/>
    <w:tmpl w:val="B750E9AA"/>
    <w:lvl w:ilvl="0">
      <w:start w:val="7"/>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DDF6E05"/>
    <w:multiLevelType w:val="multilevel"/>
    <w:tmpl w:val="70C0196C"/>
    <w:lvl w:ilvl="0">
      <w:start w:val="6"/>
      <w:numFmt w:val="decimal"/>
      <w:lvlText w:val="%1.0"/>
      <w:lvlJc w:val="left"/>
      <w:pPr>
        <w:tabs>
          <w:tab w:val="num" w:pos="525"/>
        </w:tabs>
        <w:ind w:left="525" w:hanging="525"/>
      </w:pPr>
      <w:rPr>
        <w:rFonts w:hint="default"/>
      </w:rPr>
    </w:lvl>
    <w:lvl w:ilvl="1">
      <w:start w:val="4"/>
      <w:numFmt w:val="decimal"/>
      <w:lvlText w:val="%1.%2"/>
      <w:lvlJc w:val="left"/>
      <w:pPr>
        <w:tabs>
          <w:tab w:val="num" w:pos="1245"/>
        </w:tabs>
        <w:ind w:left="1245" w:hanging="52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E5F1DC2"/>
    <w:multiLevelType w:val="multilevel"/>
    <w:tmpl w:val="3E7A3F3E"/>
    <w:lvl w:ilvl="0">
      <w:start w:val="2"/>
      <w:numFmt w:val="decimal"/>
      <w:lvlText w:val="%1. "/>
      <w:lvlJc w:val="left"/>
      <w:pPr>
        <w:tabs>
          <w:tab w:val="num" w:pos="360"/>
        </w:tabs>
        <w:ind w:left="360" w:hanging="360"/>
      </w:pPr>
      <w:rPr>
        <w:rFonts w:hint="default"/>
        <w:b w:val="0"/>
        <w:i w:val="0"/>
        <w:sz w:val="20"/>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E69248E"/>
    <w:multiLevelType w:val="hybridMultilevel"/>
    <w:tmpl w:val="09787E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2" w15:restartNumberingAfterBreak="0">
    <w:nsid w:val="5E8C6146"/>
    <w:multiLevelType w:val="multilevel"/>
    <w:tmpl w:val="1352A00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4F7124C"/>
    <w:multiLevelType w:val="multilevel"/>
    <w:tmpl w:val="3E7A3F3E"/>
    <w:lvl w:ilvl="0">
      <w:start w:val="2"/>
      <w:numFmt w:val="decimal"/>
      <w:lvlText w:val="%1. "/>
      <w:lvlJc w:val="left"/>
      <w:pPr>
        <w:tabs>
          <w:tab w:val="num" w:pos="360"/>
        </w:tabs>
        <w:ind w:left="360" w:hanging="360"/>
      </w:pPr>
      <w:rPr>
        <w:rFonts w:hint="default"/>
        <w:b w:val="0"/>
        <w:i w:val="0"/>
        <w:sz w:val="20"/>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9077DAB"/>
    <w:multiLevelType w:val="multilevel"/>
    <w:tmpl w:val="C892FDB4"/>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E284EF0"/>
    <w:multiLevelType w:val="multilevel"/>
    <w:tmpl w:val="17183B9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7" w15:restartNumberingAfterBreak="0">
    <w:nsid w:val="72C6582F"/>
    <w:multiLevelType w:val="multilevel"/>
    <w:tmpl w:val="6124346E"/>
    <w:lvl w:ilvl="0">
      <w:start w:val="10"/>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F13064"/>
    <w:multiLevelType w:val="hybridMultilevel"/>
    <w:tmpl w:val="5A644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11"/>
  </w:num>
  <w:num w:numId="2">
    <w:abstractNumId w:val="39"/>
  </w:num>
  <w:num w:numId="3">
    <w:abstractNumId w:val="36"/>
  </w:num>
  <w:num w:numId="4">
    <w:abstractNumId w:val="23"/>
  </w:num>
  <w:num w:numId="5">
    <w:abstractNumId w:val="26"/>
  </w:num>
  <w:num w:numId="6">
    <w:abstractNumId w:val="32"/>
  </w:num>
  <w:num w:numId="7">
    <w:abstractNumId w:val="15"/>
  </w:num>
  <w:num w:numId="8">
    <w:abstractNumId w:val="13"/>
  </w:num>
  <w:num w:numId="9">
    <w:abstractNumId w:val="16"/>
  </w:num>
  <w:num w:numId="10">
    <w:abstractNumId w:val="3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7"/>
  </w:num>
  <w:num w:numId="22">
    <w:abstractNumId w:val="38"/>
  </w:num>
  <w:num w:numId="23">
    <w:abstractNumId w:val="12"/>
  </w:num>
  <w:num w:numId="24">
    <w:abstractNumId w:val="27"/>
  </w:num>
  <w:num w:numId="25">
    <w:abstractNumId w:val="22"/>
  </w:num>
  <w:num w:numId="26">
    <w:abstractNumId w:val="25"/>
  </w:num>
  <w:num w:numId="27">
    <w:abstractNumId w:val="33"/>
  </w:num>
  <w:num w:numId="28">
    <w:abstractNumId w:val="30"/>
  </w:num>
  <w:num w:numId="29">
    <w:abstractNumId w:val="10"/>
  </w:num>
  <w:num w:numId="30">
    <w:abstractNumId w:val="31"/>
  </w:num>
  <w:num w:numId="31">
    <w:abstractNumId w:val="29"/>
  </w:num>
  <w:num w:numId="32">
    <w:abstractNumId w:val="28"/>
  </w:num>
  <w:num w:numId="33">
    <w:abstractNumId w:val="24"/>
  </w:num>
  <w:num w:numId="34">
    <w:abstractNumId w:val="19"/>
  </w:num>
  <w:num w:numId="35">
    <w:abstractNumId w:val="18"/>
  </w:num>
  <w:num w:numId="36">
    <w:abstractNumId w:val="17"/>
  </w:num>
  <w:num w:numId="37">
    <w:abstractNumId w:val="34"/>
  </w:num>
  <w:num w:numId="38">
    <w:abstractNumId w:val="20"/>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39"/>
    <w:rsid w:val="000E6FEE"/>
    <w:rsid w:val="000F431D"/>
    <w:rsid w:val="00141297"/>
    <w:rsid w:val="00182232"/>
    <w:rsid w:val="0018371B"/>
    <w:rsid w:val="001956B8"/>
    <w:rsid w:val="001D2405"/>
    <w:rsid w:val="001F2B03"/>
    <w:rsid w:val="002129FF"/>
    <w:rsid w:val="002470EB"/>
    <w:rsid w:val="00267570"/>
    <w:rsid w:val="002832DD"/>
    <w:rsid w:val="00285159"/>
    <w:rsid w:val="00293973"/>
    <w:rsid w:val="002B729E"/>
    <w:rsid w:val="003232E2"/>
    <w:rsid w:val="0032375F"/>
    <w:rsid w:val="00337113"/>
    <w:rsid w:val="00364F28"/>
    <w:rsid w:val="00397AE4"/>
    <w:rsid w:val="003B473F"/>
    <w:rsid w:val="003C0D64"/>
    <w:rsid w:val="003D0113"/>
    <w:rsid w:val="003D7739"/>
    <w:rsid w:val="004111DC"/>
    <w:rsid w:val="00414EE9"/>
    <w:rsid w:val="00475862"/>
    <w:rsid w:val="004763D9"/>
    <w:rsid w:val="004774E2"/>
    <w:rsid w:val="004E176B"/>
    <w:rsid w:val="004F6105"/>
    <w:rsid w:val="0050237A"/>
    <w:rsid w:val="0050719B"/>
    <w:rsid w:val="00514A35"/>
    <w:rsid w:val="005F23E9"/>
    <w:rsid w:val="006638D0"/>
    <w:rsid w:val="006F6F03"/>
    <w:rsid w:val="007A0421"/>
    <w:rsid w:val="007C227F"/>
    <w:rsid w:val="007F4E0C"/>
    <w:rsid w:val="008054F2"/>
    <w:rsid w:val="0082516A"/>
    <w:rsid w:val="00855005"/>
    <w:rsid w:val="008626BE"/>
    <w:rsid w:val="008B502A"/>
    <w:rsid w:val="00920AC2"/>
    <w:rsid w:val="00956652"/>
    <w:rsid w:val="009614E1"/>
    <w:rsid w:val="009678D4"/>
    <w:rsid w:val="009704F4"/>
    <w:rsid w:val="009B0040"/>
    <w:rsid w:val="009C08E2"/>
    <w:rsid w:val="00A33D41"/>
    <w:rsid w:val="00A55DA8"/>
    <w:rsid w:val="00A96569"/>
    <w:rsid w:val="00B4636F"/>
    <w:rsid w:val="00B66FB5"/>
    <w:rsid w:val="00BB5D1D"/>
    <w:rsid w:val="00BE78D3"/>
    <w:rsid w:val="00C142E6"/>
    <w:rsid w:val="00D27FBF"/>
    <w:rsid w:val="00D30359"/>
    <w:rsid w:val="00D415C3"/>
    <w:rsid w:val="00DA51EF"/>
    <w:rsid w:val="00DB6F71"/>
    <w:rsid w:val="00DE3B34"/>
    <w:rsid w:val="00DF2577"/>
    <w:rsid w:val="00DF477C"/>
    <w:rsid w:val="00E10E98"/>
    <w:rsid w:val="00E120C5"/>
    <w:rsid w:val="00E52132"/>
    <w:rsid w:val="00E74277"/>
    <w:rsid w:val="00E85F42"/>
    <w:rsid w:val="00E92E64"/>
    <w:rsid w:val="00EA109D"/>
    <w:rsid w:val="00EF1E64"/>
    <w:rsid w:val="00EF491E"/>
    <w:rsid w:val="00F5086C"/>
    <w:rsid w:val="00FA4CEE"/>
    <w:rsid w:val="00FB7CAC"/>
    <w:rsid w:val="00FC386A"/>
    <w:rsid w:val="00FC76B7"/>
    <w:rsid w:val="00FD0150"/>
    <w:rsid w:val="00FD7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F24EFF-307C-4765-AD0D-D2FD9564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24"/>
    </w:rPr>
  </w:style>
  <w:style w:type="character" w:styleId="CommentReference">
    <w:name w:val="annotation reference"/>
    <w:semiHidden/>
    <w:rsid w:val="00285159"/>
    <w:rPr>
      <w:sz w:val="16"/>
      <w:szCs w:val="16"/>
    </w:rPr>
  </w:style>
  <w:style w:type="paragraph" w:styleId="CommentText">
    <w:name w:val="annotation text"/>
    <w:basedOn w:val="Normal"/>
    <w:semiHidden/>
    <w:rsid w:val="00285159"/>
  </w:style>
  <w:style w:type="paragraph" w:styleId="CommentSubject">
    <w:name w:val="annotation subject"/>
    <w:basedOn w:val="CommentText"/>
    <w:next w:val="CommentText"/>
    <w:semiHidden/>
    <w:rsid w:val="00285159"/>
    <w:rPr>
      <w:b/>
      <w:bCs/>
    </w:rPr>
  </w:style>
  <w:style w:type="paragraph" w:styleId="BalloonText">
    <w:name w:val="Balloon Text"/>
    <w:basedOn w:val="Normal"/>
    <w:semiHidden/>
    <w:rsid w:val="00285159"/>
    <w:rPr>
      <w:rFonts w:ascii="Tahoma" w:hAnsi="Tahoma" w:cs="Tahoma"/>
      <w:sz w:val="16"/>
      <w:szCs w:val="16"/>
    </w:rPr>
  </w:style>
  <w:style w:type="character" w:customStyle="1" w:styleId="FooterChar">
    <w:name w:val="Footer Char"/>
    <w:link w:val="Footer"/>
    <w:rsid w:val="00E85F42"/>
    <w:rPr>
      <w:lang w:val="en-US" w:eastAsia="en-US"/>
    </w:rPr>
  </w:style>
  <w:style w:type="character" w:customStyle="1" w:styleId="HeaderChar">
    <w:name w:val="Header Char"/>
    <w:link w:val="Header"/>
    <w:rsid w:val="008054F2"/>
    <w:rPr>
      <w:lang w:val="en-US" w:eastAsia="en-US"/>
    </w:rPr>
  </w:style>
  <w:style w:type="paragraph" w:styleId="ListParagraph">
    <w:name w:val="List Paragraph"/>
    <w:basedOn w:val="Normal"/>
    <w:uiPriority w:val="34"/>
    <w:qFormat/>
    <w:rsid w:val="00B66FB5"/>
    <w:pPr>
      <w:ind w:left="708"/>
    </w:pPr>
  </w:style>
  <w:style w:type="table" w:styleId="TableGrid">
    <w:name w:val="Table Grid"/>
    <w:basedOn w:val="TableNormal"/>
    <w:rsid w:val="002B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72EB-3300-4E2F-92AF-0C03932B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3069</Words>
  <Characters>17495</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GM.008 Crossmatch - Anti-IgG Gel Card</vt:lpstr>
      <vt:lpstr>GM.008 Crossmatch - Anti-IgG Gel Card</vt:lpstr>
    </vt:vector>
  </TitlesOfParts>
  <Company>Microsoft</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GM.008 Crossmatch - Anti-IgG Gel Card</dc:title>
  <dc:subject/>
  <dc:creator>Transfusion Ontario Program Office</dc:creator>
  <cp:keywords/>
  <cp:lastModifiedBy>Nesrallah, Heather</cp:lastModifiedBy>
  <cp:revision>2</cp:revision>
  <cp:lastPrinted>2011-06-10T18:52:00Z</cp:lastPrinted>
  <dcterms:created xsi:type="dcterms:W3CDTF">2020-08-10T19:20:00Z</dcterms:created>
  <dcterms:modified xsi:type="dcterms:W3CDTF">2020-08-10T19:20:00Z</dcterms:modified>
</cp:coreProperties>
</file>