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4DE" w:rsidRDefault="009A74DE">
      <w:pPr>
        <w:numPr>
          <w:ilvl w:val="0"/>
          <w:numId w:val="1"/>
        </w:numPr>
        <w:rPr>
          <w:rFonts w:ascii="Arial" w:hAnsi="Arial"/>
          <w:b/>
          <w:sz w:val="28"/>
          <w:lang w:val="fr-CA"/>
        </w:rPr>
      </w:pPr>
      <w:bookmarkStart w:id="0" w:name="_GoBack"/>
      <w:bookmarkEnd w:id="0"/>
      <w:r>
        <w:rPr>
          <w:rFonts w:ascii="Arial" w:hAnsi="Arial"/>
          <w:b/>
          <w:sz w:val="28"/>
          <w:lang w:val="fr-CA"/>
        </w:rPr>
        <w:t>Principe</w:t>
      </w:r>
    </w:p>
    <w:p w:rsidR="009A74DE" w:rsidRDefault="009A74DE">
      <w:pPr>
        <w:ind w:left="720"/>
        <w:rPr>
          <w:rFonts w:ascii="Arial" w:hAnsi="Arial"/>
          <w:sz w:val="24"/>
          <w:lang w:val="fr-CA"/>
        </w:rPr>
      </w:pPr>
    </w:p>
    <w:p w:rsidR="009A74DE" w:rsidRDefault="008203BC">
      <w:pPr>
        <w:ind w:left="720"/>
        <w:rPr>
          <w:rFonts w:ascii="Arial" w:hAnsi="Arial"/>
          <w:sz w:val="24"/>
          <w:lang w:val="fr-CA"/>
        </w:rPr>
      </w:pPr>
      <w:r>
        <w:rPr>
          <w:rFonts w:ascii="Arial" w:hAnsi="Arial"/>
          <w:sz w:val="24"/>
          <w:lang w:val="fr-CA"/>
        </w:rPr>
        <w:t xml:space="preserve">Cette épreuve permet de </w:t>
      </w:r>
      <w:r w:rsidR="009A74DE">
        <w:rPr>
          <w:rFonts w:ascii="Arial" w:hAnsi="Arial"/>
          <w:sz w:val="24"/>
          <w:lang w:val="fr-CA"/>
        </w:rPr>
        <w:t>prévenir la réactivité des anticorps froids cliniquement non significatifs tout en dépistant les anticorps chauds cliniquement significatifs.</w:t>
      </w:r>
    </w:p>
    <w:p w:rsidR="009A74DE" w:rsidRDefault="009A74DE">
      <w:pPr>
        <w:ind w:left="720"/>
        <w:rPr>
          <w:rFonts w:ascii="Arial" w:hAnsi="Arial"/>
          <w:sz w:val="24"/>
          <w:lang w:val="fr-CA"/>
        </w:rPr>
      </w:pPr>
    </w:p>
    <w:p w:rsidR="008203BC" w:rsidRDefault="008203BC" w:rsidP="008203BC">
      <w:pPr>
        <w:pStyle w:val="BodyTextIndent"/>
        <w:rPr>
          <w:b/>
          <w:lang w:val="fr-CA"/>
        </w:rPr>
      </w:pPr>
      <w:r>
        <w:rPr>
          <w:spacing w:val="-2"/>
          <w:lang w:val="fr-CA"/>
        </w:rPr>
        <w:t xml:space="preserve">Dans cette technique en gel, </w:t>
      </w:r>
      <w:r w:rsidR="009A74DE" w:rsidRPr="00D02BC6">
        <w:rPr>
          <w:spacing w:val="-2"/>
          <w:lang w:val="fr-CA"/>
        </w:rPr>
        <w:t>on mélange les globules rouges</w:t>
      </w:r>
      <w:r w:rsidR="003505C3">
        <w:rPr>
          <w:spacing w:val="-2"/>
          <w:lang w:val="fr-CA"/>
        </w:rPr>
        <w:t xml:space="preserve"> </w:t>
      </w:r>
      <w:r w:rsidR="002F40CF">
        <w:rPr>
          <w:spacing w:val="-2"/>
          <w:lang w:val="fr-CA"/>
        </w:rPr>
        <w:t>commerciaux</w:t>
      </w:r>
      <w:r w:rsidR="009A74DE" w:rsidRPr="00D02BC6">
        <w:rPr>
          <w:spacing w:val="-2"/>
          <w:lang w:val="fr-CA"/>
        </w:rPr>
        <w:t xml:space="preserve"> mis en solution saline hypotonique tamponnée avec l’échantillon de plasma ou de sérum à tester</w:t>
      </w:r>
      <w:r>
        <w:rPr>
          <w:spacing w:val="-2"/>
          <w:lang w:val="fr-CA"/>
        </w:rPr>
        <w:t xml:space="preserve"> pour susciter une réaction antigène-anticorps dans la partie supérieure du microtube</w:t>
      </w:r>
      <w:r w:rsidR="009A74DE" w:rsidRPr="00D02BC6">
        <w:rPr>
          <w:spacing w:val="-2"/>
          <w:lang w:val="fr-CA"/>
        </w:rPr>
        <w:t>.</w:t>
      </w:r>
      <w:r w:rsidR="009A74DE">
        <w:rPr>
          <w:spacing w:val="-2"/>
          <w:lang w:val="fr-CA"/>
        </w:rPr>
        <w:t xml:space="preserve"> L’incubation de ces réactifs à 37</w:t>
      </w:r>
      <w:r w:rsidR="003D2C8E">
        <w:rPr>
          <w:spacing w:val="-2"/>
          <w:lang w:val="fr-CA"/>
        </w:rPr>
        <w:t> </w:t>
      </w:r>
      <w:r w:rsidR="009A74DE">
        <w:rPr>
          <w:spacing w:val="-2"/>
          <w:lang w:val="fr-CA"/>
        </w:rPr>
        <w:t xml:space="preserve">°C </w:t>
      </w:r>
      <w:r>
        <w:rPr>
          <w:spacing w:val="-2"/>
          <w:lang w:val="fr-CA"/>
        </w:rPr>
        <w:t>s</w:t>
      </w:r>
      <w:r w:rsidR="009A74DE">
        <w:rPr>
          <w:spacing w:val="-2"/>
          <w:lang w:val="fr-CA"/>
        </w:rPr>
        <w:t xml:space="preserve">timule </w:t>
      </w:r>
      <w:r>
        <w:rPr>
          <w:spacing w:val="-2"/>
          <w:lang w:val="fr-CA"/>
        </w:rPr>
        <w:t>l’</w:t>
      </w:r>
      <w:r w:rsidR="009A74DE">
        <w:rPr>
          <w:spacing w:val="-2"/>
          <w:lang w:val="fr-CA"/>
        </w:rPr>
        <w:t>interaction antigène-anticorps</w:t>
      </w:r>
      <w:r>
        <w:rPr>
          <w:spacing w:val="-2"/>
          <w:lang w:val="fr-CA"/>
        </w:rPr>
        <w:t xml:space="preserve">; si les globules rouges sont sensibilisés, ils </w:t>
      </w:r>
      <w:r w:rsidR="009A74DE" w:rsidRPr="00D02BC6">
        <w:rPr>
          <w:spacing w:val="-2"/>
          <w:lang w:val="fr-CA"/>
        </w:rPr>
        <w:t>réagissent avec l’anti-IgG dans le microtube pendant la centrifugation.</w:t>
      </w:r>
      <w:r w:rsidR="009A74DE">
        <w:rPr>
          <w:spacing w:val="-2"/>
          <w:lang w:val="fr-CA"/>
        </w:rPr>
        <w:t xml:space="preserve"> </w:t>
      </w:r>
      <w:r w:rsidRPr="0055014C">
        <w:rPr>
          <w:color w:val="000000"/>
          <w:spacing w:val="-2"/>
          <w:lang w:val="fr-CA"/>
        </w:rPr>
        <w:t>L’agglutination indique la présence d’une réaction antigène-anticorps. L’absence d’agglutination indique l’absence de réaction antigène-anticorps.</w:t>
      </w:r>
      <w:r>
        <w:rPr>
          <w:lang w:val="fr-CA"/>
        </w:rPr>
        <w:t>.</w:t>
      </w:r>
    </w:p>
    <w:p w:rsidR="009A74DE" w:rsidRPr="008203BC" w:rsidRDefault="009A74DE">
      <w:pPr>
        <w:ind w:left="720"/>
        <w:rPr>
          <w:rFonts w:ascii="Arial" w:hAnsi="Arial"/>
          <w:spacing w:val="-2"/>
          <w:sz w:val="24"/>
          <w:lang w:val="fr-CA"/>
        </w:rPr>
      </w:pPr>
      <w:r>
        <w:rPr>
          <w:rFonts w:ascii="Arial" w:hAnsi="Arial"/>
          <w:spacing w:val="-2"/>
          <w:sz w:val="24"/>
          <w:lang w:val="fr-CA"/>
        </w:rPr>
        <w:t>En modifiant cette technique par préréchauffement, il est possible de diminuer ou d’éliminer la réactivité d’anticorps réactifs</w:t>
      </w:r>
      <w:r w:rsidR="00662A91">
        <w:rPr>
          <w:rFonts w:ascii="Arial" w:hAnsi="Arial"/>
          <w:spacing w:val="-2"/>
          <w:sz w:val="24"/>
          <w:lang w:val="fr-CA"/>
        </w:rPr>
        <w:t xml:space="preserve"> </w:t>
      </w:r>
      <w:r w:rsidR="003505C3">
        <w:rPr>
          <w:rFonts w:ascii="Arial" w:hAnsi="Arial"/>
          <w:spacing w:val="-2"/>
          <w:sz w:val="24"/>
          <w:lang w:val="fr-CA"/>
        </w:rPr>
        <w:t xml:space="preserve">froids </w:t>
      </w:r>
      <w:r>
        <w:rPr>
          <w:rFonts w:ascii="Arial" w:hAnsi="Arial"/>
          <w:spacing w:val="-2"/>
          <w:sz w:val="24"/>
          <w:lang w:val="fr-CA"/>
        </w:rPr>
        <w:t xml:space="preserve">non désirés tout en maintenant la sensibilité </w:t>
      </w:r>
      <w:r w:rsidR="00D73173">
        <w:rPr>
          <w:rFonts w:ascii="Arial" w:hAnsi="Arial"/>
          <w:spacing w:val="-2"/>
          <w:sz w:val="24"/>
          <w:lang w:val="fr-CA"/>
        </w:rPr>
        <w:t>des</w:t>
      </w:r>
      <w:r>
        <w:rPr>
          <w:rFonts w:ascii="Arial" w:hAnsi="Arial"/>
          <w:spacing w:val="-2"/>
          <w:sz w:val="24"/>
          <w:lang w:val="fr-CA"/>
        </w:rPr>
        <w:t xml:space="preserve"> anticorps réactifs</w:t>
      </w:r>
      <w:r w:rsidR="00662A91">
        <w:rPr>
          <w:rFonts w:ascii="Arial" w:hAnsi="Arial"/>
          <w:spacing w:val="-2"/>
          <w:sz w:val="24"/>
          <w:lang w:val="fr-CA"/>
        </w:rPr>
        <w:t xml:space="preserve"> </w:t>
      </w:r>
      <w:r w:rsidR="003505C3">
        <w:rPr>
          <w:rFonts w:ascii="Arial" w:hAnsi="Arial"/>
          <w:spacing w:val="-2"/>
          <w:sz w:val="24"/>
          <w:lang w:val="fr-CA"/>
        </w:rPr>
        <w:t>chauds</w:t>
      </w:r>
      <w:r w:rsidR="006062FA">
        <w:rPr>
          <w:rFonts w:ascii="Arial" w:hAnsi="Arial"/>
          <w:spacing w:val="-2"/>
          <w:sz w:val="24"/>
          <w:lang w:val="fr-CA"/>
        </w:rPr>
        <w:t xml:space="preserve"> </w:t>
      </w:r>
      <w:r>
        <w:rPr>
          <w:rFonts w:ascii="Arial" w:hAnsi="Arial"/>
          <w:spacing w:val="-2"/>
          <w:sz w:val="24"/>
          <w:lang w:val="fr-CA"/>
        </w:rPr>
        <w:t>cliniquement significatifs.</w:t>
      </w:r>
      <w:r w:rsidR="008203BC" w:rsidRPr="008203BC">
        <w:rPr>
          <w:rFonts w:ascii="Arial" w:hAnsi="Arial"/>
          <w:spacing w:val="-2"/>
          <w:sz w:val="24"/>
          <w:lang w:val="fr-CA"/>
        </w:rPr>
        <w:t xml:space="preserve"> L’inclusion d’un autotémoin facilite la reconnaissance d’autoanticorps dans l’échantillon de plasma soumis à l’épreuve</w:t>
      </w:r>
      <w:r w:rsidR="008203BC">
        <w:rPr>
          <w:rFonts w:ascii="Arial" w:hAnsi="Arial"/>
          <w:spacing w:val="-2"/>
          <w:sz w:val="24"/>
          <w:lang w:val="fr-CA"/>
        </w:rPr>
        <w:t>.</w:t>
      </w:r>
    </w:p>
    <w:p w:rsidR="009A74DE" w:rsidRDefault="009A74DE">
      <w:pPr>
        <w:ind w:left="720"/>
        <w:rPr>
          <w:rFonts w:ascii="Arial" w:hAnsi="Arial"/>
          <w:sz w:val="24"/>
          <w:lang w:val="fr-CA"/>
        </w:rPr>
      </w:pPr>
    </w:p>
    <w:p w:rsidR="008203BC" w:rsidRDefault="008203BC">
      <w:pPr>
        <w:ind w:left="720"/>
        <w:rPr>
          <w:rFonts w:ascii="Arial" w:hAnsi="Arial"/>
          <w:sz w:val="24"/>
          <w:lang w:val="fr-CA"/>
        </w:rPr>
      </w:pPr>
    </w:p>
    <w:p w:rsidR="009A74DE" w:rsidRDefault="009A74DE">
      <w:pPr>
        <w:numPr>
          <w:ilvl w:val="0"/>
          <w:numId w:val="1"/>
        </w:numPr>
        <w:rPr>
          <w:rFonts w:ascii="Arial" w:hAnsi="Arial"/>
          <w:b/>
          <w:sz w:val="28"/>
          <w:lang w:val="fr-CA"/>
        </w:rPr>
      </w:pPr>
      <w:r>
        <w:rPr>
          <w:rFonts w:ascii="Arial" w:hAnsi="Arial"/>
          <w:b/>
          <w:sz w:val="28"/>
          <w:lang w:val="fr-CA"/>
        </w:rPr>
        <w:t>Portée et politiques connexes</w:t>
      </w:r>
    </w:p>
    <w:p w:rsidR="009A74DE" w:rsidRDefault="009A74DE">
      <w:pPr>
        <w:rPr>
          <w:rFonts w:ascii="Arial" w:hAnsi="Arial"/>
          <w:b/>
          <w:sz w:val="24"/>
          <w:lang w:val="fr-CA"/>
        </w:rPr>
      </w:pPr>
    </w:p>
    <w:p w:rsidR="008203BC" w:rsidRDefault="008203BC" w:rsidP="008203BC">
      <w:pPr>
        <w:numPr>
          <w:ilvl w:val="1"/>
          <w:numId w:val="1"/>
        </w:numPr>
        <w:rPr>
          <w:rFonts w:ascii="Arial" w:hAnsi="Arial"/>
          <w:sz w:val="24"/>
          <w:lang w:val="fr-CA"/>
        </w:rPr>
      </w:pPr>
      <w:r>
        <w:rPr>
          <w:rFonts w:ascii="Arial" w:hAnsi="Arial"/>
          <w:sz w:val="24"/>
          <w:lang w:val="fr-CA"/>
        </w:rPr>
        <w:t>On teste un panel de cellules quand le dépistage d’anticorps initial est positif.</w:t>
      </w:r>
    </w:p>
    <w:p w:rsidR="008203BC" w:rsidRDefault="008203BC" w:rsidP="008203BC">
      <w:pPr>
        <w:ind w:left="720"/>
        <w:rPr>
          <w:rFonts w:ascii="Arial" w:hAnsi="Arial"/>
          <w:sz w:val="24"/>
          <w:lang w:val="fr-CA"/>
        </w:rPr>
      </w:pPr>
    </w:p>
    <w:p w:rsidR="008203BC" w:rsidRDefault="008203BC" w:rsidP="008203BC">
      <w:pPr>
        <w:numPr>
          <w:ilvl w:val="1"/>
          <w:numId w:val="1"/>
        </w:numPr>
        <w:rPr>
          <w:rFonts w:ascii="Arial" w:hAnsi="Arial"/>
          <w:sz w:val="24"/>
          <w:lang w:val="fr-CA"/>
        </w:rPr>
      </w:pPr>
      <w:r w:rsidRPr="00D77B39">
        <w:rPr>
          <w:rFonts w:ascii="Arial" w:hAnsi="Arial"/>
          <w:sz w:val="24"/>
          <w:lang w:val="fr-CA"/>
        </w:rPr>
        <w:t xml:space="preserve">Lorsqu’un patient a un anticorps cliniquement significatif ou des antécédents d’anticorps cliniquement significatifs, les globules rouges dénués de l’antigène correspondant devraient être mis à </w:t>
      </w:r>
      <w:r>
        <w:rPr>
          <w:rFonts w:ascii="Arial" w:hAnsi="Arial"/>
          <w:sz w:val="24"/>
          <w:lang w:val="fr-CA"/>
        </w:rPr>
        <w:t xml:space="preserve">l’épreuve à l’aide d’une </w:t>
      </w:r>
      <w:r w:rsidRPr="00D77B39">
        <w:rPr>
          <w:rFonts w:ascii="Arial" w:hAnsi="Arial"/>
          <w:sz w:val="24"/>
          <w:lang w:val="fr-CA"/>
        </w:rPr>
        <w:t>antiglobuline ou d’une technique comparable</w:t>
      </w:r>
      <w:r>
        <w:rPr>
          <w:rFonts w:ascii="Arial" w:hAnsi="Arial"/>
          <w:sz w:val="24"/>
          <w:vertAlign w:val="superscript"/>
          <w:lang w:val="fr-CA"/>
        </w:rPr>
        <w:t>9.1</w:t>
      </w:r>
      <w:r>
        <w:rPr>
          <w:rFonts w:ascii="Arial" w:hAnsi="Arial"/>
          <w:sz w:val="24"/>
          <w:lang w:val="fr-CA"/>
        </w:rPr>
        <w:t>.</w:t>
      </w:r>
    </w:p>
    <w:p w:rsidR="008203BC" w:rsidRDefault="008203BC" w:rsidP="008203BC">
      <w:pPr>
        <w:ind w:left="720"/>
        <w:rPr>
          <w:rFonts w:ascii="Arial" w:hAnsi="Arial"/>
          <w:sz w:val="24"/>
          <w:lang w:val="fr-CA"/>
        </w:rPr>
      </w:pPr>
    </w:p>
    <w:p w:rsidR="008203BC" w:rsidRDefault="008203BC" w:rsidP="008203BC">
      <w:pPr>
        <w:numPr>
          <w:ilvl w:val="1"/>
          <w:numId w:val="1"/>
        </w:numPr>
        <w:rPr>
          <w:rFonts w:ascii="Arial" w:hAnsi="Arial"/>
          <w:sz w:val="24"/>
          <w:lang w:val="fr-CA"/>
        </w:rPr>
      </w:pPr>
      <w:r>
        <w:rPr>
          <w:rFonts w:ascii="Arial" w:hAnsi="Arial"/>
          <w:sz w:val="24"/>
          <w:lang w:val="fr-CA"/>
        </w:rPr>
        <w:lastRenderedPageBreak/>
        <w:t>Des « cellules choisies » provenant d</w:t>
      </w:r>
      <w:r w:rsidR="00287F2D">
        <w:rPr>
          <w:rFonts w:ascii="Arial" w:hAnsi="Arial"/>
          <w:sz w:val="24"/>
          <w:lang w:val="fr-CA"/>
        </w:rPr>
        <w:t>’</w:t>
      </w:r>
      <w:r>
        <w:rPr>
          <w:rFonts w:ascii="Arial" w:hAnsi="Arial"/>
          <w:sz w:val="24"/>
          <w:lang w:val="fr-CA"/>
        </w:rPr>
        <w:t>un panel sont testées pour exclure la présence d’autres anticorps cliniquement significatifs dans les circonstances suivantes :</w:t>
      </w:r>
    </w:p>
    <w:p w:rsidR="008203BC" w:rsidRDefault="008203BC" w:rsidP="008203BC">
      <w:pPr>
        <w:ind w:left="720"/>
        <w:rPr>
          <w:rFonts w:ascii="Arial" w:hAnsi="Arial"/>
          <w:sz w:val="24"/>
          <w:lang w:val="fr-CA"/>
        </w:rPr>
      </w:pPr>
    </w:p>
    <w:p w:rsidR="008203BC" w:rsidRDefault="008203BC" w:rsidP="008203BC">
      <w:pPr>
        <w:numPr>
          <w:ilvl w:val="2"/>
          <w:numId w:val="1"/>
        </w:numPr>
        <w:tabs>
          <w:tab w:val="clear" w:pos="2160"/>
          <w:tab w:val="num" w:pos="1997"/>
        </w:tabs>
        <w:ind w:left="1997"/>
        <w:rPr>
          <w:rFonts w:ascii="Arial" w:hAnsi="Arial"/>
          <w:sz w:val="24"/>
          <w:lang w:val="fr-CA"/>
        </w:rPr>
      </w:pPr>
      <w:r w:rsidRPr="00D77B39">
        <w:rPr>
          <w:rFonts w:ascii="Arial" w:hAnsi="Arial"/>
          <w:sz w:val="24"/>
          <w:lang w:val="fr-CA"/>
        </w:rPr>
        <w:t>Un anticorps déjà identifié réagit avec les cellules de dépistage.</w:t>
      </w:r>
    </w:p>
    <w:p w:rsidR="008203BC" w:rsidRDefault="008203BC" w:rsidP="008203BC">
      <w:pPr>
        <w:ind w:left="2160"/>
        <w:rPr>
          <w:rFonts w:ascii="Arial" w:hAnsi="Arial"/>
          <w:sz w:val="24"/>
          <w:lang w:val="fr-CA"/>
        </w:rPr>
      </w:pPr>
    </w:p>
    <w:p w:rsidR="008203BC" w:rsidRDefault="008203BC" w:rsidP="008203BC">
      <w:pPr>
        <w:numPr>
          <w:ilvl w:val="2"/>
          <w:numId w:val="1"/>
        </w:numPr>
        <w:tabs>
          <w:tab w:val="clear" w:pos="2160"/>
          <w:tab w:val="num" w:pos="1997"/>
        </w:tabs>
        <w:ind w:left="1997"/>
        <w:rPr>
          <w:rFonts w:ascii="Arial" w:hAnsi="Arial"/>
          <w:sz w:val="24"/>
          <w:lang w:val="fr-CA"/>
        </w:rPr>
      </w:pPr>
      <w:r>
        <w:rPr>
          <w:rFonts w:ascii="Arial" w:hAnsi="Arial"/>
          <w:sz w:val="24"/>
          <w:lang w:val="fr-CA"/>
        </w:rPr>
        <w:t>Des cellules supplémentaires sont nécessaires pour exclure un anticorps (c’est à dire, après une procédure d’exclusion sur un panel d’anticorps initial).</w:t>
      </w:r>
      <w:r>
        <w:rPr>
          <w:rFonts w:ascii="Arial" w:hAnsi="Arial"/>
          <w:sz w:val="24"/>
          <w:lang w:val="fr-CA"/>
        </w:rPr>
        <w:br/>
      </w:r>
    </w:p>
    <w:p w:rsidR="009A74DE" w:rsidRDefault="009A74DE">
      <w:pPr>
        <w:numPr>
          <w:ilvl w:val="1"/>
          <w:numId w:val="1"/>
        </w:numPr>
        <w:rPr>
          <w:rFonts w:ascii="Arial" w:hAnsi="Arial"/>
          <w:sz w:val="24"/>
          <w:lang w:val="fr-CA"/>
        </w:rPr>
      </w:pPr>
      <w:r>
        <w:rPr>
          <w:rFonts w:ascii="Arial" w:hAnsi="Arial"/>
          <w:sz w:val="24"/>
          <w:lang w:val="fr-CA"/>
        </w:rPr>
        <w:t>Une technique de préréchauffement est habituellement utilisée en présence d</w:t>
      </w:r>
      <w:r w:rsidR="00287F2D">
        <w:rPr>
          <w:rFonts w:ascii="Arial" w:hAnsi="Arial"/>
          <w:sz w:val="24"/>
          <w:lang w:val="fr-CA"/>
        </w:rPr>
        <w:t>’</w:t>
      </w:r>
      <w:r>
        <w:rPr>
          <w:rFonts w:ascii="Arial" w:hAnsi="Arial"/>
          <w:sz w:val="24"/>
          <w:lang w:val="fr-CA"/>
        </w:rPr>
        <w:t xml:space="preserve">un anticorps </w:t>
      </w:r>
      <w:r w:rsidR="006062FA">
        <w:rPr>
          <w:rFonts w:ascii="Arial" w:hAnsi="Arial"/>
          <w:sz w:val="24"/>
          <w:lang w:val="fr-CA"/>
        </w:rPr>
        <w:t>réactif</w:t>
      </w:r>
      <w:r w:rsidR="00662A91">
        <w:rPr>
          <w:rFonts w:ascii="Arial" w:hAnsi="Arial"/>
          <w:sz w:val="24"/>
          <w:lang w:val="fr-CA"/>
        </w:rPr>
        <w:t xml:space="preserve"> </w:t>
      </w:r>
      <w:r>
        <w:rPr>
          <w:rFonts w:ascii="Arial" w:hAnsi="Arial"/>
          <w:sz w:val="24"/>
          <w:lang w:val="fr-CA"/>
        </w:rPr>
        <w:t>froid non significatif dans l</w:t>
      </w:r>
      <w:r w:rsidR="00287F2D">
        <w:rPr>
          <w:rFonts w:ascii="Arial" w:hAnsi="Arial"/>
          <w:sz w:val="24"/>
          <w:lang w:val="fr-CA"/>
        </w:rPr>
        <w:t>’</w:t>
      </w:r>
      <w:r>
        <w:rPr>
          <w:rFonts w:ascii="Arial" w:hAnsi="Arial"/>
          <w:sz w:val="24"/>
          <w:lang w:val="fr-CA"/>
        </w:rPr>
        <w:t>échantillon d</w:t>
      </w:r>
      <w:r w:rsidR="00287F2D">
        <w:rPr>
          <w:rFonts w:ascii="Arial" w:hAnsi="Arial"/>
          <w:sz w:val="24"/>
          <w:lang w:val="fr-CA"/>
        </w:rPr>
        <w:t>’</w:t>
      </w:r>
      <w:r>
        <w:rPr>
          <w:rFonts w:ascii="Arial" w:hAnsi="Arial"/>
          <w:sz w:val="24"/>
          <w:lang w:val="fr-CA"/>
        </w:rPr>
        <w:t>un patient ou lors d</w:t>
      </w:r>
      <w:r w:rsidR="00287F2D">
        <w:rPr>
          <w:rFonts w:ascii="Arial" w:hAnsi="Arial"/>
          <w:sz w:val="24"/>
          <w:lang w:val="fr-CA"/>
        </w:rPr>
        <w:t>’</w:t>
      </w:r>
      <w:r>
        <w:rPr>
          <w:rFonts w:ascii="Arial" w:hAnsi="Arial"/>
          <w:sz w:val="24"/>
          <w:lang w:val="fr-CA"/>
        </w:rPr>
        <w:t>un soupçon à cet effet.</w:t>
      </w:r>
    </w:p>
    <w:p w:rsidR="009A74DE" w:rsidRDefault="009A74DE">
      <w:pPr>
        <w:rPr>
          <w:rFonts w:ascii="Arial" w:hAnsi="Arial"/>
          <w:sz w:val="24"/>
          <w:lang w:val="fr-CA"/>
        </w:rPr>
      </w:pPr>
    </w:p>
    <w:p w:rsidR="009A74DE" w:rsidRDefault="00D73173">
      <w:pPr>
        <w:numPr>
          <w:ilvl w:val="1"/>
          <w:numId w:val="1"/>
        </w:numPr>
        <w:rPr>
          <w:rFonts w:ascii="Arial" w:hAnsi="Arial"/>
          <w:sz w:val="24"/>
          <w:lang w:val="fr-CA"/>
        </w:rPr>
      </w:pPr>
      <w:r>
        <w:rPr>
          <w:rFonts w:ascii="Arial" w:hAnsi="Arial"/>
          <w:sz w:val="24"/>
          <w:lang w:val="fr-CA"/>
        </w:rPr>
        <w:t>Outre le réchauffement, l</w:t>
      </w:r>
      <w:r w:rsidR="009A74DE">
        <w:rPr>
          <w:rFonts w:ascii="Arial" w:hAnsi="Arial"/>
          <w:sz w:val="24"/>
          <w:lang w:val="fr-CA"/>
        </w:rPr>
        <w:t>a technique de préréchauffement doit être identique à la méthode qui a donné un résultat positif (c.-à-d. même type de carte, même temps d</w:t>
      </w:r>
      <w:r w:rsidR="00287F2D">
        <w:rPr>
          <w:rFonts w:ascii="Arial" w:hAnsi="Arial"/>
          <w:sz w:val="24"/>
          <w:lang w:val="fr-CA"/>
        </w:rPr>
        <w:t>’</w:t>
      </w:r>
      <w:r w:rsidR="009A74DE">
        <w:rPr>
          <w:rFonts w:ascii="Arial" w:hAnsi="Arial"/>
          <w:sz w:val="24"/>
          <w:lang w:val="fr-CA"/>
        </w:rPr>
        <w:t>incubation, etc.).</w:t>
      </w:r>
    </w:p>
    <w:p w:rsidR="009A74DE" w:rsidRDefault="009A74DE">
      <w:pPr>
        <w:ind w:left="720"/>
        <w:rPr>
          <w:rFonts w:ascii="Arial" w:hAnsi="Arial"/>
          <w:sz w:val="24"/>
          <w:lang w:val="fr-CA"/>
        </w:rPr>
      </w:pPr>
    </w:p>
    <w:p w:rsidR="008203BC" w:rsidRDefault="008203BC">
      <w:pPr>
        <w:ind w:left="720"/>
        <w:rPr>
          <w:rFonts w:ascii="Arial" w:hAnsi="Arial"/>
          <w:sz w:val="24"/>
          <w:lang w:val="fr-CA"/>
        </w:rPr>
      </w:pPr>
    </w:p>
    <w:p w:rsidR="009A74DE" w:rsidRDefault="009A74DE">
      <w:pPr>
        <w:numPr>
          <w:ilvl w:val="0"/>
          <w:numId w:val="1"/>
        </w:numPr>
        <w:rPr>
          <w:rFonts w:ascii="Arial" w:hAnsi="Arial"/>
          <w:b/>
          <w:sz w:val="28"/>
          <w:lang w:val="fr-CA"/>
        </w:rPr>
      </w:pPr>
      <w:r>
        <w:rPr>
          <w:rFonts w:ascii="Arial" w:hAnsi="Arial"/>
          <w:b/>
          <w:sz w:val="28"/>
          <w:lang w:val="fr-CA"/>
        </w:rPr>
        <w:t>Échantillons</w:t>
      </w:r>
    </w:p>
    <w:p w:rsidR="009A74DE" w:rsidRDefault="009A74DE">
      <w:pPr>
        <w:rPr>
          <w:rFonts w:ascii="Arial" w:hAnsi="Arial"/>
          <w:sz w:val="24"/>
          <w:lang w:val="fr-CA"/>
        </w:rPr>
      </w:pPr>
    </w:p>
    <w:p w:rsidR="008203BC" w:rsidRDefault="008203BC" w:rsidP="008203BC">
      <w:pPr>
        <w:ind w:left="720"/>
        <w:rPr>
          <w:rFonts w:ascii="Arial" w:hAnsi="Arial"/>
          <w:sz w:val="24"/>
          <w:lang w:val="fr-CA"/>
        </w:rPr>
      </w:pPr>
      <w:r w:rsidRPr="00D77B39">
        <w:rPr>
          <w:rFonts w:ascii="Arial" w:hAnsi="Arial"/>
          <w:sz w:val="24"/>
          <w:lang w:val="fr-CA"/>
        </w:rPr>
        <w:t>Sang total anticoagulé - tube EDTA</w:t>
      </w:r>
      <w:r>
        <w:rPr>
          <w:lang w:val="fr-CA"/>
        </w:rPr>
        <w:t xml:space="preserve"> </w:t>
      </w:r>
      <w:r>
        <w:rPr>
          <w:rFonts w:ascii="Arial" w:hAnsi="Arial"/>
          <w:sz w:val="24"/>
          <w:lang w:val="fr-CA"/>
        </w:rPr>
        <w:t>prélevé dans quatorze (14</w:t>
      </w:r>
      <w:r w:rsidRPr="00D77B39">
        <w:rPr>
          <w:rFonts w:ascii="Arial" w:hAnsi="Arial"/>
          <w:sz w:val="24"/>
          <w:lang w:val="fr-CA"/>
        </w:rPr>
        <w:t>) jours précédant l’épreuve</w:t>
      </w:r>
      <w:r>
        <w:rPr>
          <w:rFonts w:ascii="Arial" w:hAnsi="Arial"/>
          <w:sz w:val="24"/>
          <w:lang w:val="fr-CA"/>
        </w:rPr>
        <w:t>, de préférence, mais du sérum peut aussi être utilisé.</w:t>
      </w:r>
    </w:p>
    <w:p w:rsidR="008203BC" w:rsidRDefault="008203BC" w:rsidP="008203BC">
      <w:pPr>
        <w:ind w:left="720"/>
        <w:rPr>
          <w:rFonts w:ascii="Arial" w:hAnsi="Arial"/>
          <w:sz w:val="24"/>
          <w:lang w:val="fr-CA"/>
        </w:rPr>
      </w:pPr>
    </w:p>
    <w:p w:rsidR="008203BC" w:rsidRDefault="008203BC" w:rsidP="008203BC">
      <w:pPr>
        <w:spacing w:line="228" w:lineRule="auto"/>
        <w:ind w:left="720"/>
        <w:rPr>
          <w:rFonts w:ascii="Arial" w:hAnsi="Arial"/>
          <w:sz w:val="24"/>
          <w:lang w:val="fr-CA"/>
        </w:rPr>
      </w:pPr>
      <w:r>
        <w:rPr>
          <w:rFonts w:ascii="Arial" w:hAnsi="Arial"/>
          <w:sz w:val="24"/>
          <w:lang w:val="fr-CA"/>
        </w:rPr>
        <w:t>En cas de transfusion récente ou de grossesse, il faut tester l’échantillon dans les trois (3) jours suivant son prélèvement.</w:t>
      </w:r>
    </w:p>
    <w:p w:rsidR="008203BC" w:rsidRDefault="008203BC">
      <w:pPr>
        <w:pStyle w:val="BodyTextIndent"/>
        <w:rPr>
          <w:lang w:val="fr-CA"/>
        </w:rPr>
      </w:pPr>
    </w:p>
    <w:p w:rsidR="009A74DE" w:rsidRDefault="009A74DE">
      <w:pPr>
        <w:pStyle w:val="BodyTextIndent"/>
        <w:rPr>
          <w:lang w:val="fr-CA"/>
        </w:rPr>
      </w:pPr>
      <w:r>
        <w:rPr>
          <w:lang w:val="fr-CA"/>
        </w:rPr>
        <w:t>Les échantillons hémolysés et nettement ictériques peuvent compliquer l</w:t>
      </w:r>
      <w:r w:rsidR="00287F2D">
        <w:rPr>
          <w:lang w:val="fr-CA"/>
        </w:rPr>
        <w:t>’</w:t>
      </w:r>
      <w:r>
        <w:rPr>
          <w:lang w:val="fr-CA"/>
        </w:rPr>
        <w:t>interprétation des résultats.</w:t>
      </w:r>
      <w:r w:rsidR="00287F2D">
        <w:rPr>
          <w:lang w:val="fr-CA"/>
        </w:rPr>
        <w:t xml:space="preserve"> </w:t>
      </w:r>
      <w:r w:rsidR="00D33C89">
        <w:rPr>
          <w:lang w:val="fr-CA"/>
        </w:rPr>
        <w:t>Voir la remarque 8.10.</w:t>
      </w:r>
    </w:p>
    <w:p w:rsidR="009A74DE" w:rsidRDefault="009A74DE">
      <w:pPr>
        <w:pStyle w:val="BodyTextIndent"/>
        <w:rPr>
          <w:lang w:val="fr-CA"/>
        </w:rPr>
      </w:pPr>
    </w:p>
    <w:p w:rsidR="009A74DE" w:rsidRDefault="009A74DE">
      <w:pPr>
        <w:ind w:left="720"/>
        <w:rPr>
          <w:rFonts w:ascii="Arial" w:hAnsi="Arial"/>
          <w:sz w:val="24"/>
          <w:lang w:val="fr-CA"/>
        </w:rPr>
      </w:pPr>
      <w:r>
        <w:rPr>
          <w:rFonts w:ascii="Arial" w:hAnsi="Arial"/>
          <w:sz w:val="24"/>
          <w:lang w:val="fr-CA"/>
        </w:rPr>
        <w:t>On peut éclaircir par centrifugation ou par filtration et ensuite tester à nouveau les échantillons nettement lipémiques contenant des particules qui obstruent le gel et dont la présence forme des taches diffuses de globules rouges.</w:t>
      </w:r>
    </w:p>
    <w:p w:rsidR="009A74DE" w:rsidRDefault="009A74DE">
      <w:pPr>
        <w:rPr>
          <w:rFonts w:ascii="Arial" w:hAnsi="Arial"/>
          <w:sz w:val="24"/>
          <w:lang w:val="fr-CA"/>
        </w:rPr>
      </w:pPr>
    </w:p>
    <w:p w:rsidR="009A74DE" w:rsidRDefault="009A74DE">
      <w:pPr>
        <w:numPr>
          <w:ilvl w:val="0"/>
          <w:numId w:val="1"/>
        </w:numPr>
        <w:rPr>
          <w:rFonts w:ascii="Arial" w:hAnsi="Arial"/>
          <w:b/>
          <w:sz w:val="28"/>
          <w:lang w:val="fr-CA"/>
        </w:rPr>
      </w:pPr>
      <w:r>
        <w:rPr>
          <w:rFonts w:ascii="Arial" w:hAnsi="Arial"/>
          <w:b/>
          <w:sz w:val="28"/>
          <w:lang w:val="fr-CA"/>
        </w:rPr>
        <w:t>Matériel</w:t>
      </w:r>
    </w:p>
    <w:p w:rsidR="009A74DE" w:rsidRDefault="009A74DE">
      <w:pPr>
        <w:rPr>
          <w:rFonts w:ascii="Arial" w:hAnsi="Arial"/>
          <w:sz w:val="24"/>
          <w:lang w:val="fr-CA"/>
        </w:rPr>
      </w:pPr>
    </w:p>
    <w:p w:rsidR="009A74DE" w:rsidRDefault="009A74DE" w:rsidP="00D73173">
      <w:pPr>
        <w:ind w:left="2430" w:hanging="1710"/>
        <w:rPr>
          <w:rFonts w:ascii="Arial" w:hAnsi="Arial"/>
          <w:sz w:val="24"/>
          <w:lang w:val="fr-CA"/>
        </w:rPr>
      </w:pPr>
      <w:r>
        <w:rPr>
          <w:rFonts w:ascii="Arial" w:hAnsi="Arial"/>
          <w:b/>
          <w:sz w:val="24"/>
          <w:lang w:val="fr-CA"/>
        </w:rPr>
        <w:t>Équipement </w:t>
      </w:r>
      <w:r>
        <w:rPr>
          <w:rFonts w:ascii="Arial" w:hAnsi="Arial"/>
          <w:sz w:val="24"/>
          <w:lang w:val="fr-CA"/>
        </w:rPr>
        <w:t>:</w:t>
      </w:r>
      <w:r w:rsidR="00D02BC6">
        <w:rPr>
          <w:rFonts w:ascii="Arial" w:hAnsi="Arial"/>
          <w:sz w:val="24"/>
          <w:lang w:val="fr-CA"/>
        </w:rPr>
        <w:t xml:space="preserve"> </w:t>
      </w:r>
      <w:r w:rsidR="00D73173">
        <w:rPr>
          <w:rFonts w:ascii="Arial" w:hAnsi="Arial"/>
          <w:sz w:val="24"/>
          <w:lang w:val="fr-CA"/>
        </w:rPr>
        <w:tab/>
        <w:t>c</w:t>
      </w:r>
      <w:r>
        <w:rPr>
          <w:rFonts w:ascii="Arial" w:hAnsi="Arial"/>
          <w:sz w:val="24"/>
          <w:lang w:val="fr-CA"/>
        </w:rPr>
        <w:t>entrifugeuse</w:t>
      </w:r>
    </w:p>
    <w:p w:rsidR="009A74DE" w:rsidRDefault="009A74DE" w:rsidP="00D73173">
      <w:pPr>
        <w:ind w:left="2430" w:hanging="1710"/>
        <w:rPr>
          <w:rFonts w:ascii="Arial" w:hAnsi="Arial"/>
          <w:sz w:val="24"/>
          <w:lang w:val="fr-CA"/>
        </w:rPr>
      </w:pPr>
      <w:r>
        <w:rPr>
          <w:rFonts w:ascii="Arial" w:hAnsi="Arial"/>
          <w:sz w:val="24"/>
          <w:lang w:val="fr-CA"/>
        </w:rPr>
        <w:tab/>
        <w:t>incubateur</w:t>
      </w:r>
    </w:p>
    <w:p w:rsidR="009A74DE" w:rsidRDefault="009A74DE" w:rsidP="00D73173">
      <w:pPr>
        <w:ind w:left="2430" w:hanging="1710"/>
        <w:rPr>
          <w:rFonts w:ascii="Arial" w:hAnsi="Arial"/>
          <w:sz w:val="24"/>
          <w:lang w:val="fr-CA"/>
        </w:rPr>
      </w:pPr>
      <w:r>
        <w:rPr>
          <w:rFonts w:ascii="Arial" w:hAnsi="Arial"/>
          <w:sz w:val="24"/>
          <w:lang w:val="fr-CA"/>
        </w:rPr>
        <w:tab/>
        <w:t>pipetteur</w:t>
      </w:r>
    </w:p>
    <w:p w:rsidR="009A74DE" w:rsidRDefault="009A74DE" w:rsidP="00D73173">
      <w:pPr>
        <w:ind w:left="2430" w:hanging="1710"/>
        <w:rPr>
          <w:rFonts w:ascii="Arial" w:hAnsi="Arial"/>
          <w:sz w:val="24"/>
          <w:lang w:val="fr-CA"/>
        </w:rPr>
      </w:pPr>
      <w:r>
        <w:rPr>
          <w:rFonts w:ascii="Arial" w:hAnsi="Arial"/>
          <w:sz w:val="24"/>
          <w:lang w:val="fr-CA"/>
        </w:rPr>
        <w:tab/>
        <w:t>distributeur</w:t>
      </w:r>
    </w:p>
    <w:p w:rsidR="009A74DE" w:rsidRDefault="009A74DE" w:rsidP="00D73173">
      <w:pPr>
        <w:ind w:left="2430" w:hanging="1710"/>
        <w:rPr>
          <w:rFonts w:ascii="Arial" w:hAnsi="Arial"/>
          <w:sz w:val="24"/>
          <w:lang w:val="fr-CA"/>
        </w:rPr>
      </w:pPr>
      <w:r>
        <w:rPr>
          <w:rFonts w:ascii="Arial" w:hAnsi="Arial"/>
          <w:sz w:val="24"/>
          <w:lang w:val="fr-CA"/>
        </w:rPr>
        <w:tab/>
        <w:t>poste de préparation, facultatif</w:t>
      </w:r>
    </w:p>
    <w:p w:rsidR="009A74DE" w:rsidRDefault="009A74DE" w:rsidP="00D73173">
      <w:pPr>
        <w:ind w:left="2430" w:hanging="1710"/>
        <w:rPr>
          <w:rFonts w:ascii="Arial" w:hAnsi="Arial"/>
          <w:sz w:val="24"/>
          <w:lang w:val="fr-CA"/>
        </w:rPr>
      </w:pPr>
      <w:r>
        <w:rPr>
          <w:rFonts w:ascii="Arial" w:hAnsi="Arial"/>
          <w:sz w:val="24"/>
          <w:lang w:val="fr-CA"/>
        </w:rPr>
        <w:tab/>
        <w:t>centrifugeuse sérologique</w:t>
      </w:r>
    </w:p>
    <w:p w:rsidR="009A74DE" w:rsidRDefault="009A74DE" w:rsidP="00D73173">
      <w:pPr>
        <w:ind w:left="2430" w:hanging="1710"/>
        <w:rPr>
          <w:rFonts w:ascii="Arial" w:hAnsi="Arial"/>
          <w:sz w:val="24"/>
          <w:lang w:val="fr-CA"/>
        </w:rPr>
      </w:pPr>
    </w:p>
    <w:p w:rsidR="009A74DE" w:rsidRDefault="009A74DE" w:rsidP="00D73173">
      <w:pPr>
        <w:ind w:left="2430" w:hanging="1710"/>
        <w:rPr>
          <w:rFonts w:ascii="Arial" w:hAnsi="Arial"/>
          <w:sz w:val="24"/>
          <w:lang w:val="fr-CA"/>
        </w:rPr>
      </w:pPr>
      <w:r>
        <w:rPr>
          <w:rFonts w:ascii="Arial" w:hAnsi="Arial"/>
          <w:b/>
          <w:sz w:val="24"/>
          <w:lang w:val="fr-CA"/>
        </w:rPr>
        <w:t>Fournitures</w:t>
      </w:r>
      <w:r>
        <w:rPr>
          <w:rFonts w:ascii="Arial" w:hAnsi="Arial"/>
          <w:sz w:val="24"/>
          <w:lang w:val="fr-CA"/>
        </w:rPr>
        <w:t> :</w:t>
      </w:r>
      <w:r w:rsidR="00262957">
        <w:rPr>
          <w:rFonts w:ascii="Arial" w:hAnsi="Arial"/>
          <w:sz w:val="24"/>
          <w:lang w:val="fr-CA"/>
        </w:rPr>
        <w:t xml:space="preserve"> </w:t>
      </w:r>
      <w:r w:rsidR="00D73173">
        <w:rPr>
          <w:rFonts w:ascii="Arial" w:hAnsi="Arial"/>
          <w:sz w:val="24"/>
          <w:lang w:val="fr-CA"/>
        </w:rPr>
        <w:tab/>
      </w:r>
      <w:r w:rsidR="00D02BC6">
        <w:rPr>
          <w:rFonts w:ascii="Arial" w:hAnsi="Arial"/>
          <w:sz w:val="24"/>
          <w:lang w:val="fr-CA"/>
        </w:rPr>
        <w:t>ID-Tips (embouts de</w:t>
      </w:r>
      <w:r>
        <w:rPr>
          <w:rFonts w:ascii="Arial" w:hAnsi="Arial"/>
          <w:sz w:val="24"/>
          <w:lang w:val="fr-CA"/>
        </w:rPr>
        <w:t xml:space="preserve"> pipettes)</w:t>
      </w:r>
    </w:p>
    <w:p w:rsidR="009A74DE" w:rsidRDefault="009A74DE" w:rsidP="00D73173">
      <w:pPr>
        <w:ind w:left="2430" w:hanging="1710"/>
        <w:rPr>
          <w:rFonts w:ascii="Arial" w:hAnsi="Arial"/>
          <w:sz w:val="24"/>
          <w:lang w:val="fr-CA"/>
        </w:rPr>
      </w:pPr>
      <w:r>
        <w:rPr>
          <w:rFonts w:ascii="Arial" w:hAnsi="Arial"/>
          <w:sz w:val="24"/>
          <w:lang w:val="fr-CA"/>
        </w:rPr>
        <w:tab/>
      </w:r>
      <w:r w:rsidR="00925448">
        <w:rPr>
          <w:rFonts w:ascii="Arial" w:hAnsi="Arial"/>
          <w:sz w:val="24"/>
          <w:lang w:val="fr-CA"/>
        </w:rPr>
        <w:t xml:space="preserve">tubes </w:t>
      </w:r>
      <w:r>
        <w:rPr>
          <w:rFonts w:ascii="Arial" w:hAnsi="Arial"/>
          <w:sz w:val="24"/>
          <w:lang w:val="fr-CA"/>
        </w:rPr>
        <w:t>10 x 75 mm</w:t>
      </w:r>
    </w:p>
    <w:p w:rsidR="009A74DE" w:rsidRDefault="009A74DE" w:rsidP="00D73173">
      <w:pPr>
        <w:ind w:left="2430" w:hanging="1710"/>
        <w:rPr>
          <w:rFonts w:ascii="Arial" w:hAnsi="Arial"/>
          <w:sz w:val="24"/>
          <w:lang w:val="fr-CA"/>
        </w:rPr>
      </w:pPr>
      <w:r>
        <w:rPr>
          <w:rFonts w:ascii="Arial" w:hAnsi="Arial"/>
          <w:sz w:val="24"/>
          <w:lang w:val="fr-CA"/>
        </w:rPr>
        <w:tab/>
        <w:t>pipettes sérologiques</w:t>
      </w:r>
    </w:p>
    <w:p w:rsidR="009A74DE" w:rsidRDefault="009A74DE" w:rsidP="00D73173">
      <w:pPr>
        <w:ind w:left="2430" w:hanging="1710"/>
        <w:rPr>
          <w:rFonts w:ascii="Arial" w:hAnsi="Arial"/>
          <w:sz w:val="24"/>
          <w:lang w:val="fr-CA"/>
        </w:rPr>
      </w:pPr>
      <w:r>
        <w:rPr>
          <w:rFonts w:ascii="Arial" w:hAnsi="Arial"/>
          <w:sz w:val="24"/>
          <w:lang w:val="fr-CA"/>
        </w:rPr>
        <w:tab/>
        <w:t>dépliants du fournisseur</w:t>
      </w:r>
    </w:p>
    <w:p w:rsidR="009A74DE" w:rsidRDefault="009A74DE" w:rsidP="00D73173">
      <w:pPr>
        <w:ind w:left="2430" w:hanging="1710"/>
        <w:rPr>
          <w:rFonts w:ascii="Arial" w:hAnsi="Arial"/>
          <w:sz w:val="24"/>
          <w:lang w:val="fr-CA"/>
        </w:rPr>
      </w:pPr>
    </w:p>
    <w:p w:rsidR="009A74DE" w:rsidRPr="00D73173" w:rsidRDefault="009A74DE" w:rsidP="00D73173">
      <w:pPr>
        <w:ind w:left="2430" w:hanging="1710"/>
        <w:rPr>
          <w:rFonts w:ascii="Arial" w:hAnsi="Arial"/>
          <w:sz w:val="24"/>
          <w:lang w:val="fr-CA"/>
        </w:rPr>
      </w:pPr>
      <w:r>
        <w:rPr>
          <w:rFonts w:ascii="Arial" w:hAnsi="Arial"/>
          <w:b/>
          <w:sz w:val="24"/>
          <w:lang w:val="fr-CA"/>
        </w:rPr>
        <w:t>Réactifs</w:t>
      </w:r>
      <w:r w:rsidRPr="00D73173">
        <w:rPr>
          <w:rFonts w:ascii="Arial" w:hAnsi="Arial"/>
          <w:b/>
          <w:sz w:val="24"/>
          <w:lang w:val="fr-CA"/>
        </w:rPr>
        <w:t> :</w:t>
      </w:r>
      <w:r w:rsidRPr="00D73173">
        <w:rPr>
          <w:rFonts w:ascii="Arial" w:hAnsi="Arial"/>
          <w:b/>
          <w:sz w:val="24"/>
          <w:lang w:val="fr-CA"/>
        </w:rPr>
        <w:tab/>
      </w:r>
      <w:r w:rsidRPr="00D73173">
        <w:rPr>
          <w:rFonts w:ascii="Arial" w:hAnsi="Arial"/>
          <w:sz w:val="24"/>
          <w:lang w:val="fr-CA"/>
        </w:rPr>
        <w:t xml:space="preserve">carte MTS anti-IgG, anti-IgG (lapin) en suspension dans le </w:t>
      </w:r>
      <w:r w:rsidR="00D73173" w:rsidRPr="00D73173">
        <w:rPr>
          <w:rFonts w:ascii="Arial" w:hAnsi="Arial"/>
          <w:sz w:val="24"/>
          <w:lang w:val="fr-CA"/>
        </w:rPr>
        <w:tab/>
      </w:r>
      <w:r w:rsidRPr="00D73173">
        <w:rPr>
          <w:rFonts w:ascii="Arial" w:hAnsi="Arial"/>
          <w:sz w:val="24"/>
          <w:lang w:val="fr-CA"/>
        </w:rPr>
        <w:t xml:space="preserve">gel </w:t>
      </w:r>
    </w:p>
    <w:p w:rsidR="009A74DE" w:rsidRPr="00D73173" w:rsidRDefault="00D73173" w:rsidP="00D73173">
      <w:pPr>
        <w:ind w:left="2430" w:hanging="1710"/>
        <w:rPr>
          <w:rFonts w:ascii="Arial" w:hAnsi="Arial"/>
          <w:sz w:val="24"/>
          <w:lang w:val="fr-CA"/>
        </w:rPr>
      </w:pPr>
      <w:r w:rsidRPr="00D73173">
        <w:rPr>
          <w:rFonts w:ascii="Arial" w:hAnsi="Arial"/>
          <w:b/>
          <w:sz w:val="24"/>
          <w:lang w:val="fr-CA"/>
        </w:rPr>
        <w:tab/>
      </w:r>
      <w:r w:rsidR="009A74DE" w:rsidRPr="00D73173">
        <w:rPr>
          <w:rFonts w:ascii="Arial" w:hAnsi="Arial"/>
          <w:sz w:val="24"/>
          <w:lang w:val="fr-CA"/>
        </w:rPr>
        <w:t>panel d</w:t>
      </w:r>
      <w:r w:rsidR="00287F2D">
        <w:rPr>
          <w:rFonts w:ascii="Arial" w:hAnsi="Arial"/>
          <w:sz w:val="24"/>
          <w:lang w:val="fr-CA"/>
        </w:rPr>
        <w:t>’</w:t>
      </w:r>
      <w:r w:rsidR="009A74DE" w:rsidRPr="00D73173">
        <w:rPr>
          <w:rFonts w:ascii="Arial" w:hAnsi="Arial"/>
          <w:sz w:val="24"/>
          <w:lang w:val="fr-CA"/>
        </w:rPr>
        <w:t>identification d</w:t>
      </w:r>
      <w:r w:rsidR="00287F2D">
        <w:rPr>
          <w:rFonts w:ascii="Arial" w:hAnsi="Arial"/>
          <w:sz w:val="24"/>
          <w:lang w:val="fr-CA"/>
        </w:rPr>
        <w:t>’</w:t>
      </w:r>
      <w:r w:rsidR="009A74DE" w:rsidRPr="00D73173">
        <w:rPr>
          <w:rFonts w:ascii="Arial" w:hAnsi="Arial"/>
          <w:sz w:val="24"/>
          <w:lang w:val="fr-CA"/>
        </w:rPr>
        <w:t>anticorps, soit</w:t>
      </w:r>
      <w:r w:rsidR="00287F2D">
        <w:rPr>
          <w:rFonts w:ascii="Arial" w:hAnsi="Arial"/>
          <w:sz w:val="24"/>
          <w:lang w:val="fr-CA"/>
        </w:rPr>
        <w:t> </w:t>
      </w:r>
      <w:r w:rsidR="009A74DE" w:rsidRPr="00D73173">
        <w:rPr>
          <w:rFonts w:ascii="Arial" w:hAnsi="Arial"/>
          <w:sz w:val="24"/>
          <w:lang w:val="fr-CA"/>
        </w:rPr>
        <w:t>:</w:t>
      </w:r>
    </w:p>
    <w:p w:rsidR="00E2077D" w:rsidRDefault="00D73173" w:rsidP="00D73173">
      <w:pPr>
        <w:ind w:left="2430" w:hanging="1710"/>
        <w:rPr>
          <w:rFonts w:ascii="Arial" w:hAnsi="Arial"/>
          <w:sz w:val="24"/>
          <w:lang w:val="fr-CA"/>
        </w:rPr>
      </w:pPr>
      <w:r w:rsidRPr="00D73173">
        <w:rPr>
          <w:rFonts w:ascii="Arial" w:hAnsi="Arial"/>
          <w:sz w:val="24"/>
          <w:lang w:val="fr-CA"/>
        </w:rPr>
        <w:tab/>
      </w:r>
      <w:r w:rsidRPr="00D73173">
        <w:rPr>
          <w:rFonts w:ascii="Arial" w:hAnsi="Arial"/>
          <w:sz w:val="24"/>
          <w:lang w:val="fr-CA"/>
        </w:rPr>
        <w:tab/>
      </w:r>
      <w:r w:rsidR="009A74DE" w:rsidRPr="00D73173">
        <w:rPr>
          <w:rFonts w:ascii="Arial" w:hAnsi="Arial"/>
          <w:sz w:val="24"/>
          <w:lang w:val="fr-CA"/>
        </w:rPr>
        <w:t>solution à 0,8 %, prête à l</w:t>
      </w:r>
      <w:r w:rsidR="00287F2D">
        <w:rPr>
          <w:rFonts w:ascii="Arial" w:hAnsi="Arial"/>
          <w:sz w:val="24"/>
          <w:lang w:val="fr-CA"/>
        </w:rPr>
        <w:t>’</w:t>
      </w:r>
      <w:r w:rsidR="009A74DE" w:rsidRPr="00D73173">
        <w:rPr>
          <w:rFonts w:ascii="Arial" w:hAnsi="Arial"/>
          <w:sz w:val="24"/>
          <w:lang w:val="fr-CA"/>
        </w:rPr>
        <w:t xml:space="preserve">utilisation pour le dépistage </w:t>
      </w:r>
      <w:r>
        <w:rPr>
          <w:rFonts w:ascii="Arial" w:hAnsi="Arial"/>
          <w:sz w:val="24"/>
          <w:lang w:val="fr-CA"/>
        </w:rPr>
        <w:tab/>
      </w:r>
      <w:r w:rsidR="009A74DE" w:rsidRPr="00D73173">
        <w:rPr>
          <w:rFonts w:ascii="Arial" w:hAnsi="Arial"/>
          <w:sz w:val="24"/>
          <w:lang w:val="fr-CA"/>
        </w:rPr>
        <w:t xml:space="preserve">en gel anti-IgG MTS ou, </w:t>
      </w:r>
    </w:p>
    <w:p w:rsidR="009A74DE" w:rsidRPr="00D73173" w:rsidRDefault="00E2077D" w:rsidP="00D73173">
      <w:pPr>
        <w:ind w:left="2430" w:hanging="1710"/>
        <w:rPr>
          <w:rFonts w:ascii="Arial" w:hAnsi="Arial"/>
          <w:sz w:val="24"/>
          <w:lang w:val="fr-CA"/>
        </w:rPr>
      </w:pPr>
      <w:r>
        <w:rPr>
          <w:rFonts w:ascii="Arial" w:hAnsi="Arial"/>
          <w:sz w:val="24"/>
          <w:lang w:val="fr-CA"/>
        </w:rPr>
        <w:tab/>
      </w:r>
      <w:r>
        <w:rPr>
          <w:rFonts w:ascii="Arial" w:hAnsi="Arial"/>
          <w:sz w:val="24"/>
          <w:lang w:val="fr-CA"/>
        </w:rPr>
        <w:tab/>
      </w:r>
      <w:r w:rsidR="009A74DE" w:rsidRPr="00D73173">
        <w:rPr>
          <w:rFonts w:ascii="Arial" w:hAnsi="Arial"/>
          <w:sz w:val="24"/>
          <w:lang w:val="fr-CA"/>
        </w:rPr>
        <w:t>solution à 3,0 % à préparer</w:t>
      </w:r>
      <w:r>
        <w:rPr>
          <w:rFonts w:ascii="Arial" w:hAnsi="Arial"/>
          <w:sz w:val="24"/>
          <w:lang w:val="fr-CA"/>
        </w:rPr>
        <w:t xml:space="preserve"> </w:t>
      </w:r>
      <w:r w:rsidR="009A74DE" w:rsidRPr="00D73173">
        <w:rPr>
          <w:rFonts w:ascii="Arial" w:hAnsi="Arial"/>
          <w:sz w:val="24"/>
          <w:lang w:val="fr-CA"/>
        </w:rPr>
        <w:t xml:space="preserve">sur place pour le </w:t>
      </w:r>
      <w:r>
        <w:rPr>
          <w:rFonts w:ascii="Arial" w:hAnsi="Arial"/>
          <w:sz w:val="24"/>
          <w:lang w:val="fr-CA"/>
        </w:rPr>
        <w:tab/>
      </w:r>
      <w:r w:rsidR="009A74DE" w:rsidRPr="00D73173">
        <w:rPr>
          <w:rFonts w:ascii="Arial" w:hAnsi="Arial"/>
          <w:sz w:val="24"/>
          <w:lang w:val="fr-CA"/>
        </w:rPr>
        <w:t>dépistage anti-IgG MTS</w:t>
      </w:r>
    </w:p>
    <w:p w:rsidR="009A74DE" w:rsidRPr="00D73173" w:rsidRDefault="00D73173" w:rsidP="00D73173">
      <w:pPr>
        <w:ind w:left="2430" w:hanging="1710"/>
        <w:rPr>
          <w:rFonts w:ascii="Arial" w:hAnsi="Arial"/>
          <w:sz w:val="24"/>
          <w:lang w:val="fr-CA"/>
        </w:rPr>
      </w:pPr>
      <w:r>
        <w:rPr>
          <w:rFonts w:ascii="Arial" w:hAnsi="Arial"/>
          <w:sz w:val="24"/>
          <w:lang w:val="fr-CA"/>
        </w:rPr>
        <w:tab/>
      </w:r>
      <w:r w:rsidRPr="00D73173">
        <w:rPr>
          <w:rFonts w:ascii="Arial" w:hAnsi="Arial"/>
          <w:sz w:val="24"/>
          <w:lang w:val="fr-CA"/>
        </w:rPr>
        <w:tab/>
      </w:r>
      <w:r w:rsidR="009A74DE" w:rsidRPr="00D73173">
        <w:rPr>
          <w:rFonts w:ascii="Arial" w:hAnsi="Arial"/>
          <w:sz w:val="24"/>
          <w:lang w:val="fr-CA"/>
        </w:rPr>
        <w:t xml:space="preserve">MTS </w:t>
      </w:r>
      <w:r w:rsidR="00D02BC6" w:rsidRPr="00D73173">
        <w:rPr>
          <w:rFonts w:ascii="Arial" w:hAnsi="Arial"/>
          <w:sz w:val="24"/>
          <w:lang w:val="fr-CA"/>
        </w:rPr>
        <w:t>D</w:t>
      </w:r>
      <w:r w:rsidR="009A74DE" w:rsidRPr="00D73173">
        <w:rPr>
          <w:rFonts w:ascii="Arial" w:hAnsi="Arial"/>
          <w:sz w:val="24"/>
          <w:lang w:val="fr-CA"/>
        </w:rPr>
        <w:t xml:space="preserve">iluent 2, solution saline hypotonique </w:t>
      </w:r>
      <w:r>
        <w:rPr>
          <w:rFonts w:ascii="Arial" w:hAnsi="Arial"/>
          <w:sz w:val="24"/>
          <w:lang w:val="fr-CA"/>
        </w:rPr>
        <w:tab/>
      </w:r>
      <w:r>
        <w:rPr>
          <w:rFonts w:ascii="Arial" w:hAnsi="Arial"/>
          <w:sz w:val="24"/>
          <w:lang w:val="fr-CA"/>
        </w:rPr>
        <w:tab/>
        <w:t>t</w:t>
      </w:r>
      <w:r w:rsidR="009A74DE" w:rsidRPr="00D73173">
        <w:rPr>
          <w:rFonts w:ascii="Arial" w:hAnsi="Arial"/>
          <w:sz w:val="24"/>
          <w:lang w:val="fr-CA"/>
        </w:rPr>
        <w:t>amponnée (pour</w:t>
      </w:r>
      <w:r>
        <w:rPr>
          <w:rFonts w:ascii="Arial" w:hAnsi="Arial"/>
          <w:sz w:val="24"/>
          <w:lang w:val="fr-CA"/>
        </w:rPr>
        <w:t xml:space="preserve"> </w:t>
      </w:r>
      <w:r w:rsidR="009A74DE" w:rsidRPr="00D73173">
        <w:rPr>
          <w:rFonts w:ascii="Arial" w:hAnsi="Arial"/>
          <w:sz w:val="24"/>
          <w:lang w:val="fr-CA"/>
        </w:rPr>
        <w:t>préparation sur place seulemen</w:t>
      </w:r>
      <w:r w:rsidR="009A74DE" w:rsidRPr="00D73173">
        <w:rPr>
          <w:rFonts w:ascii="Arial" w:hAnsi="Arial"/>
          <w:spacing w:val="-2"/>
          <w:sz w:val="24"/>
          <w:lang w:val="fr-CA"/>
        </w:rPr>
        <w:t>t)</w:t>
      </w:r>
      <w:r w:rsidR="009A74DE" w:rsidRPr="00D73173">
        <w:rPr>
          <w:rFonts w:ascii="Arial" w:hAnsi="Arial"/>
          <w:sz w:val="24"/>
          <w:lang w:val="fr-CA"/>
        </w:rPr>
        <w:t xml:space="preserve"> </w:t>
      </w:r>
    </w:p>
    <w:p w:rsidR="009A74DE" w:rsidRDefault="00D73173" w:rsidP="00D02BC6">
      <w:pPr>
        <w:tabs>
          <w:tab w:val="left" w:pos="-720"/>
          <w:tab w:val="left" w:pos="0"/>
        </w:tabs>
        <w:suppressAutoHyphens/>
        <w:ind w:left="2268" w:hanging="141"/>
        <w:rPr>
          <w:rFonts w:ascii="Arial" w:hAnsi="Arial"/>
          <w:spacing w:val="-2"/>
          <w:sz w:val="24"/>
          <w:lang w:val="fr-CA"/>
        </w:rPr>
      </w:pPr>
      <w:r>
        <w:rPr>
          <w:rFonts w:ascii="Arial" w:hAnsi="Arial"/>
          <w:sz w:val="24"/>
          <w:lang w:val="fr-CA"/>
        </w:rPr>
        <w:tab/>
      </w:r>
      <w:r w:rsidR="009A74DE">
        <w:rPr>
          <w:rFonts w:ascii="Arial" w:hAnsi="Arial"/>
          <w:sz w:val="24"/>
          <w:lang w:val="fr-CA"/>
        </w:rPr>
        <w:t>solution saline</w:t>
      </w:r>
    </w:p>
    <w:p w:rsidR="009A74DE" w:rsidRDefault="009A74DE">
      <w:pPr>
        <w:tabs>
          <w:tab w:val="left" w:pos="-720"/>
        </w:tabs>
        <w:suppressAutoHyphens/>
        <w:rPr>
          <w:rFonts w:ascii="Arial" w:hAnsi="Arial"/>
          <w:spacing w:val="-2"/>
          <w:sz w:val="24"/>
          <w:lang w:val="fr-CA"/>
        </w:rPr>
      </w:pPr>
    </w:p>
    <w:p w:rsidR="009A74DE" w:rsidRDefault="009A74DE" w:rsidP="00262957">
      <w:pPr>
        <w:tabs>
          <w:tab w:val="left" w:pos="-720"/>
          <w:tab w:val="left" w:pos="0"/>
        </w:tabs>
        <w:suppressAutoHyphens/>
        <w:ind w:left="2127" w:firstLine="33"/>
        <w:rPr>
          <w:rFonts w:ascii="Arial" w:hAnsi="Arial"/>
          <w:spacing w:val="-2"/>
          <w:sz w:val="24"/>
          <w:lang w:val="fr-CA"/>
        </w:rPr>
      </w:pPr>
      <w:r>
        <w:rPr>
          <w:rFonts w:ascii="Arial" w:hAnsi="Arial"/>
          <w:spacing w:val="-2"/>
          <w:sz w:val="24"/>
          <w:lang w:val="fr-CA"/>
        </w:rPr>
        <w:t>Ne pas utiliser après la date de péremption. Entreposer les cartes entre 2 °C et 25 °C. Entreposer les diluants et les globules rouges entre 2 °C et 8 °C. Amener les réactifs à la température ambiante (18 °C à 25 °C) avant l’utilisation.</w:t>
      </w:r>
    </w:p>
    <w:p w:rsidR="009A74DE" w:rsidRDefault="009A74DE">
      <w:pPr>
        <w:ind w:left="720"/>
        <w:rPr>
          <w:rFonts w:ascii="Arial" w:hAnsi="Arial"/>
          <w:sz w:val="24"/>
          <w:lang w:val="fr-CA"/>
        </w:rPr>
      </w:pPr>
    </w:p>
    <w:p w:rsidR="009A74DE" w:rsidRPr="00D02BC6" w:rsidRDefault="009A74DE">
      <w:pPr>
        <w:numPr>
          <w:ilvl w:val="0"/>
          <w:numId w:val="1"/>
        </w:numPr>
        <w:rPr>
          <w:rFonts w:ascii="Arial" w:hAnsi="Arial"/>
          <w:sz w:val="28"/>
          <w:lang w:val="fr-CA"/>
        </w:rPr>
      </w:pPr>
      <w:r w:rsidRPr="00D02BC6">
        <w:rPr>
          <w:rFonts w:ascii="Arial" w:hAnsi="Arial"/>
          <w:b/>
          <w:color w:val="000000"/>
          <w:sz w:val="28"/>
          <w:lang w:val="fr-CA"/>
        </w:rPr>
        <w:t>Cont</w:t>
      </w:r>
      <w:r>
        <w:rPr>
          <w:rFonts w:ascii="Arial" w:hAnsi="Arial"/>
          <w:b/>
          <w:color w:val="000000"/>
          <w:sz w:val="28"/>
          <w:lang w:val="fr-CA"/>
        </w:rPr>
        <w:t>rôle de la qualité</w:t>
      </w:r>
    </w:p>
    <w:p w:rsidR="009A74DE" w:rsidRPr="00D02BC6" w:rsidRDefault="009A74DE">
      <w:pPr>
        <w:rPr>
          <w:rFonts w:ascii="Arial" w:hAnsi="Arial"/>
          <w:sz w:val="24"/>
          <w:lang w:val="fr-CA"/>
        </w:rPr>
      </w:pPr>
      <w:r w:rsidRPr="00D02BC6">
        <w:rPr>
          <w:rFonts w:ascii="Arial" w:hAnsi="Arial"/>
          <w:sz w:val="24"/>
          <w:lang w:val="fr-CA"/>
        </w:rPr>
        <w:t xml:space="preserve"> </w:t>
      </w:r>
    </w:p>
    <w:p w:rsidR="009A74DE" w:rsidRDefault="004914E5">
      <w:pPr>
        <w:numPr>
          <w:ilvl w:val="1"/>
          <w:numId w:val="1"/>
        </w:numPr>
        <w:rPr>
          <w:rFonts w:ascii="Arial" w:hAnsi="Arial"/>
          <w:sz w:val="24"/>
          <w:lang w:val="fr-CA"/>
        </w:rPr>
      </w:pPr>
      <w:r>
        <w:rPr>
          <w:rFonts w:ascii="Arial" w:hAnsi="Arial"/>
          <w:spacing w:val="-2"/>
          <w:sz w:val="24"/>
          <w:lang w:val="fr-CA"/>
        </w:rPr>
        <w:t>Pour confirmer la spécificité et la réactivité des cartes anti-IgG MTS, on recommande de tester chaque lot à chaque jour d’utilisation avec des échantillons positifs et négatifs connus et les globules rouges appropriés. Il doit y avoir réactivité uniquement avec les échantillons positifs</w:t>
      </w:r>
      <w:r w:rsidR="009A74DE" w:rsidRPr="00D02BC6">
        <w:rPr>
          <w:rFonts w:ascii="Arial" w:hAnsi="Arial"/>
          <w:sz w:val="24"/>
          <w:lang w:val="fr-CA"/>
        </w:rPr>
        <w:t xml:space="preserve">. </w:t>
      </w:r>
    </w:p>
    <w:p w:rsidR="006062FA" w:rsidRPr="00D02BC6" w:rsidRDefault="006062FA" w:rsidP="006062FA">
      <w:pPr>
        <w:ind w:left="720"/>
        <w:rPr>
          <w:rFonts w:ascii="Arial" w:hAnsi="Arial"/>
          <w:sz w:val="24"/>
          <w:lang w:val="fr-CA"/>
        </w:rPr>
      </w:pPr>
    </w:p>
    <w:p w:rsidR="009A74DE" w:rsidRDefault="009A74DE" w:rsidP="004914E5">
      <w:pPr>
        <w:ind w:left="1418" w:hanging="709"/>
        <w:rPr>
          <w:rFonts w:ascii="Arial" w:hAnsi="Arial"/>
          <w:sz w:val="24"/>
          <w:lang w:val="fr-CA"/>
        </w:rPr>
      </w:pPr>
      <w:r w:rsidRPr="00D02BC6">
        <w:rPr>
          <w:rFonts w:ascii="Arial" w:hAnsi="Arial"/>
          <w:sz w:val="24"/>
          <w:lang w:val="fr-CA"/>
        </w:rPr>
        <w:t>5.2</w:t>
      </w:r>
      <w:r w:rsidRPr="00D02BC6">
        <w:rPr>
          <w:rFonts w:ascii="Arial" w:hAnsi="Arial"/>
          <w:sz w:val="24"/>
          <w:lang w:val="fr-CA"/>
        </w:rPr>
        <w:tab/>
      </w:r>
      <w:r>
        <w:rPr>
          <w:rFonts w:ascii="Arial" w:hAnsi="Arial"/>
          <w:sz w:val="24"/>
          <w:lang w:val="fr-CA"/>
        </w:rPr>
        <w:t xml:space="preserve">Ne pas congeler ou exposer les cartes à une chaleur excessive. </w:t>
      </w:r>
      <w:r>
        <w:rPr>
          <w:rFonts w:ascii="Arial" w:hAnsi="Arial"/>
          <w:sz w:val="24"/>
          <w:lang w:val="fr-CA"/>
        </w:rPr>
        <w:tab/>
        <w:t>Entreposer en position verticale entre 2 °C et 25 °C. Si les cartes n</w:t>
      </w:r>
      <w:r w:rsidR="00287F2D">
        <w:rPr>
          <w:rFonts w:ascii="Arial" w:hAnsi="Arial"/>
          <w:sz w:val="24"/>
          <w:lang w:val="fr-CA"/>
        </w:rPr>
        <w:t>’</w:t>
      </w:r>
      <w:r>
        <w:rPr>
          <w:rFonts w:ascii="Arial" w:hAnsi="Arial"/>
          <w:sz w:val="24"/>
          <w:lang w:val="fr-CA"/>
        </w:rPr>
        <w:t>ont pas été entreposées en position verticale, il faut les centrifuger avant l</w:t>
      </w:r>
      <w:r w:rsidR="00287F2D">
        <w:rPr>
          <w:rFonts w:ascii="Arial" w:hAnsi="Arial"/>
          <w:sz w:val="24"/>
          <w:lang w:val="fr-CA"/>
        </w:rPr>
        <w:t>’</w:t>
      </w:r>
      <w:r>
        <w:rPr>
          <w:rFonts w:ascii="Arial" w:hAnsi="Arial"/>
          <w:sz w:val="24"/>
          <w:lang w:val="fr-CA"/>
        </w:rPr>
        <w:t>utilisation.</w:t>
      </w:r>
    </w:p>
    <w:p w:rsidR="009A74DE" w:rsidRDefault="009A74DE">
      <w:pPr>
        <w:rPr>
          <w:rFonts w:ascii="Arial" w:hAnsi="Arial"/>
          <w:sz w:val="24"/>
          <w:lang w:val="fr-CA"/>
        </w:rPr>
      </w:pPr>
    </w:p>
    <w:p w:rsidR="009A74DE" w:rsidRDefault="004914E5" w:rsidP="00356DC3">
      <w:pPr>
        <w:numPr>
          <w:ilvl w:val="1"/>
          <w:numId w:val="2"/>
        </w:numPr>
        <w:tabs>
          <w:tab w:val="clear" w:pos="1080"/>
        </w:tabs>
        <w:ind w:left="1418" w:hanging="698"/>
        <w:rPr>
          <w:rFonts w:ascii="Arial" w:hAnsi="Arial"/>
          <w:sz w:val="24"/>
          <w:lang w:val="fr-CA"/>
        </w:rPr>
      </w:pPr>
      <w:r>
        <w:rPr>
          <w:rFonts w:ascii="Arial" w:hAnsi="Arial"/>
          <w:sz w:val="24"/>
          <w:lang w:val="fr-CA"/>
        </w:rPr>
        <w:tab/>
      </w:r>
      <w:r w:rsidR="009A74DE">
        <w:rPr>
          <w:rFonts w:ascii="Arial" w:hAnsi="Arial"/>
          <w:sz w:val="24"/>
          <w:lang w:val="fr-CA"/>
        </w:rPr>
        <w:t>Ne pas utiliser les cartes qui présentent des signes de dessiccation. Il</w:t>
      </w:r>
      <w:r w:rsidR="009A74DE" w:rsidRPr="00B576ED">
        <w:rPr>
          <w:lang w:val="fr-CA"/>
        </w:rPr>
        <w:t xml:space="preserve"> </w:t>
      </w:r>
      <w:r w:rsidR="009A74DE">
        <w:rPr>
          <w:rFonts w:ascii="Arial" w:hAnsi="Arial"/>
          <w:sz w:val="24"/>
          <w:lang w:val="fr-CA"/>
        </w:rPr>
        <w:t>doit y avoir une couche liquide</w:t>
      </w:r>
      <w:r w:rsidR="00D33C89">
        <w:rPr>
          <w:rFonts w:ascii="Arial" w:hAnsi="Arial"/>
          <w:sz w:val="24"/>
          <w:lang w:val="fr-CA"/>
        </w:rPr>
        <w:t xml:space="preserve"> claire</w:t>
      </w:r>
      <w:r w:rsidR="009A74DE">
        <w:rPr>
          <w:rFonts w:ascii="Arial" w:hAnsi="Arial"/>
          <w:sz w:val="24"/>
          <w:lang w:val="fr-CA"/>
        </w:rPr>
        <w:t xml:space="preserve"> par-dessus le gel dans chaque microtube.</w:t>
      </w:r>
    </w:p>
    <w:p w:rsidR="009A74DE" w:rsidRDefault="009A74DE">
      <w:pPr>
        <w:rPr>
          <w:rFonts w:ascii="Arial" w:hAnsi="Arial"/>
          <w:sz w:val="24"/>
          <w:lang w:val="fr-CA"/>
        </w:rPr>
      </w:pPr>
    </w:p>
    <w:p w:rsidR="009A74DE" w:rsidRDefault="009A74DE" w:rsidP="00356DC3">
      <w:pPr>
        <w:numPr>
          <w:ilvl w:val="1"/>
          <w:numId w:val="2"/>
        </w:numPr>
        <w:tabs>
          <w:tab w:val="clear" w:pos="1080"/>
          <w:tab w:val="num" w:pos="1418"/>
        </w:tabs>
        <w:ind w:left="1418" w:hanging="698"/>
        <w:rPr>
          <w:rFonts w:ascii="Arial" w:hAnsi="Arial"/>
          <w:sz w:val="24"/>
          <w:lang w:val="fr-CA"/>
        </w:rPr>
      </w:pPr>
      <w:r>
        <w:rPr>
          <w:rFonts w:ascii="Arial" w:hAnsi="Arial"/>
          <w:sz w:val="24"/>
          <w:lang w:val="fr-CA"/>
        </w:rPr>
        <w:tab/>
        <w:t>Ne pas utiliser les cartes en cas de décoloration ou de présence de bulles ou de cristaux dans les microtubes.</w:t>
      </w:r>
    </w:p>
    <w:p w:rsidR="009A74DE" w:rsidRDefault="009A74DE">
      <w:pPr>
        <w:rPr>
          <w:rFonts w:ascii="Arial" w:hAnsi="Arial"/>
          <w:sz w:val="24"/>
          <w:lang w:val="fr-CA"/>
        </w:rPr>
      </w:pPr>
    </w:p>
    <w:p w:rsidR="004914E5" w:rsidRDefault="009A74DE" w:rsidP="00356DC3">
      <w:pPr>
        <w:numPr>
          <w:ilvl w:val="1"/>
          <w:numId w:val="2"/>
        </w:numPr>
        <w:tabs>
          <w:tab w:val="clear" w:pos="1080"/>
          <w:tab w:val="num" w:pos="1418"/>
        </w:tabs>
        <w:ind w:left="1418" w:hanging="698"/>
        <w:rPr>
          <w:rFonts w:ascii="Arial" w:hAnsi="Arial"/>
          <w:sz w:val="24"/>
          <w:lang w:val="fr-CA"/>
        </w:rPr>
      </w:pPr>
      <w:r w:rsidRPr="004914E5">
        <w:rPr>
          <w:rFonts w:ascii="Arial" w:hAnsi="Arial"/>
          <w:sz w:val="24"/>
          <w:lang w:val="fr-CA"/>
        </w:rPr>
        <w:t>Ne pas utiliser les cartes de microtubes si l</w:t>
      </w:r>
      <w:r w:rsidR="00287F2D">
        <w:rPr>
          <w:rFonts w:ascii="Arial" w:hAnsi="Arial"/>
          <w:sz w:val="24"/>
          <w:lang w:val="fr-CA"/>
        </w:rPr>
        <w:t>’</w:t>
      </w:r>
      <w:r w:rsidRPr="004914E5">
        <w:rPr>
          <w:rFonts w:ascii="Arial" w:hAnsi="Arial"/>
          <w:sz w:val="24"/>
          <w:lang w:val="fr-CA"/>
        </w:rPr>
        <w:t>opercule du microtube semble endommagé ou ouvert.</w:t>
      </w:r>
    </w:p>
    <w:p w:rsidR="004914E5" w:rsidRDefault="004914E5" w:rsidP="004914E5">
      <w:pPr>
        <w:pStyle w:val="ListParagraph"/>
        <w:rPr>
          <w:rFonts w:ascii="Arial" w:hAnsi="Arial"/>
          <w:sz w:val="24"/>
          <w:lang w:val="fr-CA"/>
        </w:rPr>
      </w:pPr>
    </w:p>
    <w:p w:rsidR="004914E5" w:rsidRDefault="009A74DE" w:rsidP="00356DC3">
      <w:pPr>
        <w:numPr>
          <w:ilvl w:val="1"/>
          <w:numId w:val="2"/>
        </w:numPr>
        <w:tabs>
          <w:tab w:val="clear" w:pos="1080"/>
          <w:tab w:val="num" w:pos="1418"/>
        </w:tabs>
        <w:ind w:left="1440" w:hanging="731"/>
        <w:rPr>
          <w:rFonts w:ascii="Arial" w:hAnsi="Arial"/>
          <w:sz w:val="24"/>
          <w:lang w:val="fr-CA"/>
        </w:rPr>
      </w:pPr>
      <w:r w:rsidRPr="004914E5">
        <w:rPr>
          <w:rFonts w:ascii="Arial" w:hAnsi="Arial"/>
          <w:sz w:val="24"/>
          <w:lang w:val="fr-CA"/>
        </w:rPr>
        <w:t>Ne pas enlever l</w:t>
      </w:r>
      <w:r w:rsidR="00287F2D">
        <w:rPr>
          <w:rFonts w:ascii="Arial" w:hAnsi="Arial"/>
          <w:sz w:val="24"/>
          <w:lang w:val="fr-CA"/>
        </w:rPr>
        <w:t>’</w:t>
      </w:r>
      <w:r w:rsidRPr="004914E5">
        <w:rPr>
          <w:rFonts w:ascii="Arial" w:hAnsi="Arial"/>
          <w:sz w:val="24"/>
          <w:lang w:val="fr-CA"/>
        </w:rPr>
        <w:t xml:space="preserve">opercule en </w:t>
      </w:r>
      <w:r w:rsidR="004914E5">
        <w:rPr>
          <w:rFonts w:ascii="Arial" w:hAnsi="Arial"/>
          <w:sz w:val="24"/>
          <w:lang w:val="fr-CA"/>
        </w:rPr>
        <w:t xml:space="preserve">aluminium des microtubes avant </w:t>
      </w:r>
      <w:r w:rsidRPr="004914E5">
        <w:rPr>
          <w:rFonts w:ascii="Arial" w:hAnsi="Arial"/>
          <w:sz w:val="24"/>
          <w:lang w:val="fr-CA"/>
        </w:rPr>
        <w:t>l</w:t>
      </w:r>
      <w:r w:rsidR="00287F2D">
        <w:rPr>
          <w:rFonts w:ascii="Arial" w:hAnsi="Arial"/>
          <w:sz w:val="24"/>
          <w:lang w:val="fr-CA"/>
        </w:rPr>
        <w:t>’</w:t>
      </w:r>
      <w:r w:rsidRPr="004914E5">
        <w:rPr>
          <w:rFonts w:ascii="Arial" w:hAnsi="Arial"/>
          <w:sz w:val="24"/>
          <w:lang w:val="fr-CA"/>
        </w:rPr>
        <w:t>utilisation.</w:t>
      </w:r>
    </w:p>
    <w:p w:rsidR="004914E5" w:rsidRDefault="004914E5" w:rsidP="004914E5">
      <w:pPr>
        <w:pStyle w:val="ListParagraph"/>
        <w:rPr>
          <w:rFonts w:ascii="Arial" w:hAnsi="Arial"/>
          <w:sz w:val="24"/>
          <w:lang w:val="fr-CA"/>
        </w:rPr>
      </w:pPr>
    </w:p>
    <w:p w:rsidR="004914E5" w:rsidRDefault="004914E5" w:rsidP="00356DC3">
      <w:pPr>
        <w:numPr>
          <w:ilvl w:val="1"/>
          <w:numId w:val="2"/>
        </w:numPr>
        <w:tabs>
          <w:tab w:val="clear" w:pos="1080"/>
          <w:tab w:val="num" w:pos="1418"/>
        </w:tabs>
        <w:ind w:left="1440" w:hanging="731"/>
        <w:rPr>
          <w:rFonts w:ascii="Arial" w:hAnsi="Arial"/>
          <w:sz w:val="24"/>
          <w:lang w:val="fr-CA"/>
        </w:rPr>
      </w:pPr>
      <w:r>
        <w:rPr>
          <w:rFonts w:ascii="Arial" w:hAnsi="Arial"/>
          <w:sz w:val="24"/>
          <w:lang w:val="fr-CA"/>
        </w:rPr>
        <w:t>Il faut inspecter à l’œil nu le MTS Diluent 2 Plus</w:t>
      </w:r>
      <w:r>
        <w:rPr>
          <w:rFonts w:ascii="Arial" w:hAnsi="Arial"/>
          <w:sz w:val="24"/>
          <w:vertAlign w:val="superscript"/>
          <w:lang w:val="fr-CA"/>
        </w:rPr>
        <w:t xml:space="preserve">MC </w:t>
      </w:r>
      <w:r>
        <w:rPr>
          <w:rFonts w:ascii="Arial" w:hAnsi="Arial"/>
          <w:sz w:val="24"/>
          <w:lang w:val="fr-CA"/>
        </w:rPr>
        <w:t xml:space="preserve">pour s’assurer qu’il n’y a ni décoloration, turbidité ni signe de contamination bactérienne. </w:t>
      </w:r>
      <w:r w:rsidRPr="00CA6B76">
        <w:rPr>
          <w:rFonts w:ascii="Arial" w:hAnsi="Arial"/>
          <w:sz w:val="24"/>
          <w:lang w:val="fr-CA"/>
        </w:rPr>
        <w:t>Les globules rouges doivent être en suspension dans le MTS Diluent</w:t>
      </w:r>
      <w:r>
        <w:rPr>
          <w:rFonts w:ascii="Arial" w:hAnsi="Arial"/>
          <w:sz w:val="24"/>
          <w:lang w:val="fr-CA"/>
        </w:rPr>
        <w:t> </w:t>
      </w:r>
      <w:r w:rsidRPr="00CA6B76">
        <w:rPr>
          <w:rFonts w:ascii="Arial" w:hAnsi="Arial"/>
          <w:sz w:val="24"/>
          <w:lang w:val="fr-CA"/>
        </w:rPr>
        <w:t>2 Plus</w:t>
      </w:r>
      <w:r w:rsidRPr="00CA6B76">
        <w:rPr>
          <w:rFonts w:ascii="Arial" w:hAnsi="Arial"/>
          <w:sz w:val="24"/>
          <w:vertAlign w:val="superscript"/>
          <w:lang w:val="fr-CA"/>
        </w:rPr>
        <w:t>MC</w:t>
      </w:r>
      <w:r w:rsidRPr="00CA6B76">
        <w:rPr>
          <w:rFonts w:ascii="Arial" w:hAnsi="Arial"/>
          <w:sz w:val="24"/>
          <w:lang w:val="fr-CA"/>
        </w:rPr>
        <w:t>; il peut aussi s’agir de globules rouges commerciaux à 0,8 % dans une solution à faible concentration ionique dont l’usage avec le système ID-Micro Typing</w:t>
      </w:r>
      <w:r w:rsidRPr="00CA6B76">
        <w:rPr>
          <w:rFonts w:ascii="Arial" w:hAnsi="Arial"/>
          <w:sz w:val="24"/>
          <w:vertAlign w:val="superscript"/>
          <w:lang w:val="fr-CA"/>
        </w:rPr>
        <w:t>MC</w:t>
      </w:r>
      <w:r w:rsidRPr="00CA6B76">
        <w:rPr>
          <w:rFonts w:ascii="Arial" w:hAnsi="Arial"/>
          <w:sz w:val="24"/>
          <w:lang w:val="fr-CA"/>
        </w:rPr>
        <w:t xml:space="preserve"> est approu</w:t>
      </w:r>
      <w:r>
        <w:rPr>
          <w:rFonts w:ascii="Arial" w:hAnsi="Arial"/>
          <w:sz w:val="24"/>
          <w:lang w:val="fr-CA"/>
        </w:rPr>
        <w:t>vé.</w:t>
      </w:r>
    </w:p>
    <w:p w:rsidR="004914E5" w:rsidRDefault="004914E5" w:rsidP="004914E5">
      <w:pPr>
        <w:pStyle w:val="ListParagraph"/>
        <w:rPr>
          <w:rFonts w:ascii="Arial" w:hAnsi="Arial"/>
          <w:sz w:val="24"/>
          <w:lang w:val="fr-CA"/>
        </w:rPr>
      </w:pPr>
    </w:p>
    <w:p w:rsidR="004914E5" w:rsidRDefault="009A74DE" w:rsidP="00356DC3">
      <w:pPr>
        <w:numPr>
          <w:ilvl w:val="1"/>
          <w:numId w:val="2"/>
        </w:numPr>
        <w:tabs>
          <w:tab w:val="clear" w:pos="1080"/>
          <w:tab w:val="num" w:pos="1418"/>
        </w:tabs>
        <w:ind w:left="1440" w:hanging="731"/>
        <w:rPr>
          <w:rFonts w:ascii="Arial" w:hAnsi="Arial"/>
          <w:sz w:val="24"/>
          <w:lang w:val="fr-CA"/>
        </w:rPr>
      </w:pPr>
      <w:r w:rsidRPr="004914E5">
        <w:rPr>
          <w:rFonts w:ascii="Arial" w:hAnsi="Arial"/>
          <w:sz w:val="24"/>
          <w:lang w:val="fr-CA"/>
        </w:rPr>
        <w:t>Le fabricant recommande de faire la lecture des épreuves immédiatement après la centrifugation. La dessiccation du gel, l</w:t>
      </w:r>
      <w:r w:rsidR="00287F2D">
        <w:rPr>
          <w:rFonts w:ascii="Arial" w:hAnsi="Arial"/>
          <w:sz w:val="24"/>
          <w:lang w:val="fr-CA"/>
        </w:rPr>
        <w:t>’</w:t>
      </w:r>
      <w:r w:rsidRPr="004914E5">
        <w:rPr>
          <w:rFonts w:ascii="Arial" w:hAnsi="Arial"/>
          <w:sz w:val="24"/>
          <w:lang w:val="fr-CA"/>
        </w:rPr>
        <w:t>hémolyse des globules rouges et l</w:t>
      </w:r>
      <w:r w:rsidR="00287F2D">
        <w:rPr>
          <w:rFonts w:ascii="Arial" w:hAnsi="Arial"/>
          <w:sz w:val="24"/>
          <w:lang w:val="fr-CA"/>
        </w:rPr>
        <w:t>’</w:t>
      </w:r>
      <w:r w:rsidRPr="004914E5">
        <w:rPr>
          <w:rFonts w:ascii="Arial" w:hAnsi="Arial"/>
          <w:sz w:val="24"/>
          <w:lang w:val="fr-CA"/>
        </w:rPr>
        <w:t>inclinaison des motifs de réactions due à un entreposage autre qu</w:t>
      </w:r>
      <w:r w:rsidR="00287F2D">
        <w:rPr>
          <w:rFonts w:ascii="Arial" w:hAnsi="Arial"/>
          <w:sz w:val="24"/>
          <w:lang w:val="fr-CA"/>
        </w:rPr>
        <w:t>’</w:t>
      </w:r>
      <w:r w:rsidRPr="004914E5">
        <w:rPr>
          <w:rFonts w:ascii="Arial" w:hAnsi="Arial"/>
          <w:sz w:val="24"/>
          <w:lang w:val="fr-CA"/>
        </w:rPr>
        <w:t xml:space="preserve">à la verticale peuvent modifier les résultats. </w:t>
      </w:r>
    </w:p>
    <w:p w:rsidR="009A74DE" w:rsidRPr="004914E5" w:rsidRDefault="009A74DE" w:rsidP="004914E5">
      <w:pPr>
        <w:ind w:left="1440"/>
        <w:rPr>
          <w:rFonts w:ascii="Arial" w:hAnsi="Arial"/>
          <w:sz w:val="24"/>
          <w:lang w:val="fr-CA"/>
        </w:rPr>
      </w:pPr>
    </w:p>
    <w:p w:rsidR="009A74DE" w:rsidRDefault="009A74DE">
      <w:pPr>
        <w:rPr>
          <w:rFonts w:ascii="Arial" w:hAnsi="Arial"/>
          <w:sz w:val="24"/>
          <w:lang w:val="fr-CA"/>
        </w:rPr>
      </w:pPr>
    </w:p>
    <w:p w:rsidR="009A74DE" w:rsidRDefault="009A74DE">
      <w:pPr>
        <w:numPr>
          <w:ilvl w:val="0"/>
          <w:numId w:val="1"/>
        </w:numPr>
        <w:rPr>
          <w:rFonts w:ascii="Arial" w:hAnsi="Arial"/>
          <w:b/>
          <w:sz w:val="28"/>
          <w:lang w:val="fr-CA"/>
        </w:rPr>
      </w:pPr>
      <w:r>
        <w:rPr>
          <w:rFonts w:ascii="Arial" w:hAnsi="Arial"/>
          <w:b/>
          <w:sz w:val="28"/>
          <w:lang w:val="fr-CA"/>
        </w:rPr>
        <w:t>Procédures</w:t>
      </w:r>
    </w:p>
    <w:p w:rsidR="009A74DE" w:rsidRDefault="009A74DE">
      <w:pPr>
        <w:rPr>
          <w:rFonts w:ascii="Arial" w:hAnsi="Arial"/>
          <w:b/>
          <w:sz w:val="28"/>
          <w:lang w:val="fr-CA"/>
        </w:rPr>
      </w:pPr>
    </w:p>
    <w:p w:rsidR="002C5409" w:rsidRDefault="009A74DE" w:rsidP="002C5409">
      <w:pPr>
        <w:tabs>
          <w:tab w:val="left" w:pos="-720"/>
        </w:tabs>
        <w:suppressAutoHyphens/>
        <w:ind w:left="720" w:hanging="11"/>
        <w:rPr>
          <w:spacing w:val="-2"/>
          <w:lang w:val="fr-CA"/>
        </w:rPr>
      </w:pPr>
      <w:r>
        <w:rPr>
          <w:rFonts w:ascii="Arial" w:hAnsi="Arial"/>
          <w:sz w:val="24"/>
          <w:lang w:val="fr-CA"/>
        </w:rPr>
        <w:t>6.1</w:t>
      </w:r>
      <w:r>
        <w:rPr>
          <w:rFonts w:ascii="Arial" w:hAnsi="Arial"/>
          <w:sz w:val="24"/>
          <w:lang w:val="fr-CA"/>
        </w:rPr>
        <w:tab/>
        <w:t>Préparer un panel d</w:t>
      </w:r>
      <w:r w:rsidR="00287F2D">
        <w:rPr>
          <w:rFonts w:ascii="Arial" w:hAnsi="Arial"/>
          <w:sz w:val="24"/>
          <w:lang w:val="fr-CA"/>
        </w:rPr>
        <w:t>’</w:t>
      </w:r>
      <w:r>
        <w:rPr>
          <w:rFonts w:ascii="Arial" w:hAnsi="Arial"/>
          <w:sz w:val="24"/>
          <w:lang w:val="fr-CA"/>
        </w:rPr>
        <w:t>anticorps, si nécessaire.</w:t>
      </w:r>
      <w:r>
        <w:rPr>
          <w:spacing w:val="-2"/>
          <w:lang w:val="fr-CA"/>
        </w:rPr>
        <w:t xml:space="preserve"> </w:t>
      </w:r>
    </w:p>
    <w:p w:rsidR="009A74DE" w:rsidRDefault="002C5409" w:rsidP="002C5409">
      <w:pPr>
        <w:tabs>
          <w:tab w:val="left" w:pos="-720"/>
        </w:tabs>
        <w:suppressAutoHyphens/>
        <w:ind w:left="720" w:hanging="11"/>
        <w:rPr>
          <w:rFonts w:ascii="Arial" w:hAnsi="Arial"/>
          <w:spacing w:val="-2"/>
          <w:sz w:val="24"/>
          <w:lang w:val="fr-CA"/>
        </w:rPr>
      </w:pPr>
      <w:r w:rsidRPr="002C5409">
        <w:rPr>
          <w:rFonts w:ascii="Arial" w:hAnsi="Arial"/>
          <w:spacing w:val="-2"/>
          <w:sz w:val="24"/>
          <w:lang w:val="fr-CA"/>
        </w:rPr>
        <w:tab/>
      </w:r>
      <w:r w:rsidRPr="002C5409">
        <w:rPr>
          <w:rFonts w:ascii="Arial" w:hAnsi="Arial"/>
          <w:spacing w:val="-2"/>
          <w:sz w:val="24"/>
          <w:lang w:val="fr-CA"/>
        </w:rPr>
        <w:tab/>
        <w:t>6.1.1</w:t>
      </w:r>
      <w:r w:rsidRPr="002C5409">
        <w:rPr>
          <w:rFonts w:ascii="Arial" w:hAnsi="Arial"/>
          <w:spacing w:val="-2"/>
          <w:sz w:val="24"/>
          <w:lang w:val="fr-CA"/>
        </w:rPr>
        <w:tab/>
      </w:r>
      <w:r w:rsidR="009A74DE" w:rsidRPr="00262957">
        <w:rPr>
          <w:rFonts w:ascii="Arial" w:hAnsi="Arial"/>
          <w:spacing w:val="-2"/>
          <w:sz w:val="24"/>
          <w:u w:val="single"/>
          <w:lang w:val="fr-CA"/>
        </w:rPr>
        <w:t xml:space="preserve">Méthode 1 </w:t>
      </w:r>
      <w:r w:rsidR="009A74DE">
        <w:rPr>
          <w:rFonts w:ascii="Arial" w:hAnsi="Arial"/>
          <w:spacing w:val="-2"/>
          <w:sz w:val="24"/>
          <w:lang w:val="fr-CA"/>
        </w:rPr>
        <w:t xml:space="preserve">(pour deux (2) à quatre (4) épreuves, avec une </w:t>
      </w:r>
      <w:r>
        <w:rPr>
          <w:rFonts w:ascii="Arial" w:hAnsi="Arial"/>
          <w:spacing w:val="-2"/>
          <w:sz w:val="24"/>
          <w:lang w:val="fr-CA"/>
        </w:rPr>
        <w:tab/>
      </w:r>
      <w:r>
        <w:rPr>
          <w:rFonts w:ascii="Arial" w:hAnsi="Arial"/>
          <w:spacing w:val="-2"/>
          <w:sz w:val="24"/>
          <w:lang w:val="fr-CA"/>
        </w:rPr>
        <w:tab/>
      </w:r>
      <w:r>
        <w:rPr>
          <w:rFonts w:ascii="Arial" w:hAnsi="Arial"/>
          <w:spacing w:val="-2"/>
          <w:sz w:val="24"/>
          <w:lang w:val="fr-CA"/>
        </w:rPr>
        <w:tab/>
      </w:r>
      <w:r w:rsidR="009A74DE">
        <w:rPr>
          <w:rFonts w:ascii="Arial" w:hAnsi="Arial"/>
          <w:spacing w:val="-2"/>
          <w:sz w:val="24"/>
          <w:lang w:val="fr-CA"/>
        </w:rPr>
        <w:t>suspension cellulaire à 3 %)</w:t>
      </w:r>
      <w:r>
        <w:rPr>
          <w:rFonts w:ascii="Arial" w:hAnsi="Arial"/>
          <w:spacing w:val="-2"/>
          <w:sz w:val="24"/>
          <w:lang w:val="fr-CA"/>
        </w:rPr>
        <w:t>.</w:t>
      </w:r>
    </w:p>
    <w:p w:rsidR="009A74DE" w:rsidRDefault="009A74DE" w:rsidP="002C5409">
      <w:pPr>
        <w:tabs>
          <w:tab w:val="left" w:pos="-720"/>
        </w:tabs>
        <w:suppressAutoHyphens/>
        <w:rPr>
          <w:rFonts w:ascii="Arial" w:hAnsi="Arial"/>
          <w:spacing w:val="-2"/>
          <w:sz w:val="24"/>
          <w:lang w:val="fr-CA"/>
        </w:rPr>
      </w:pPr>
    </w:p>
    <w:p w:rsidR="009A74DE" w:rsidRDefault="009A74DE" w:rsidP="00356DC3">
      <w:pPr>
        <w:pStyle w:val="BodyTextIndent2"/>
        <w:numPr>
          <w:ilvl w:val="2"/>
          <w:numId w:val="10"/>
        </w:numPr>
        <w:jc w:val="left"/>
        <w:rPr>
          <w:lang w:val="fr-CA"/>
        </w:rPr>
      </w:pPr>
      <w:r>
        <w:rPr>
          <w:lang w:val="fr-CA"/>
        </w:rPr>
        <w:t>Étiqueter les tubes en fonction des cellules du panel à tester; inclure le numéro de lot, la date et l</w:t>
      </w:r>
      <w:r w:rsidR="00287F2D">
        <w:rPr>
          <w:lang w:val="fr-CA"/>
        </w:rPr>
        <w:t>’</w:t>
      </w:r>
      <w:r>
        <w:rPr>
          <w:lang w:val="fr-CA"/>
        </w:rPr>
        <w:t xml:space="preserve">heure de la préparation. </w:t>
      </w:r>
    </w:p>
    <w:p w:rsidR="009A74DE" w:rsidRDefault="009A74DE" w:rsidP="00356DC3">
      <w:pPr>
        <w:pStyle w:val="BodyTextIndent2"/>
        <w:numPr>
          <w:ilvl w:val="2"/>
          <w:numId w:val="10"/>
        </w:numPr>
        <w:jc w:val="left"/>
        <w:rPr>
          <w:lang w:val="fr-CA"/>
        </w:rPr>
      </w:pPr>
      <w:r>
        <w:rPr>
          <w:lang w:val="fr-CA"/>
        </w:rPr>
        <w:t>Avec une pipette adéquate, mettre un (1) volume (minimum suggéré, 100 </w:t>
      </w:r>
      <w:r>
        <w:rPr>
          <w:lang w:val="fr-CA"/>
        </w:rPr>
        <w:sym w:font="Symbol" w:char="F06D"/>
      </w:r>
      <w:r>
        <w:rPr>
          <w:lang w:val="fr-CA"/>
        </w:rPr>
        <w:t xml:space="preserve">L) de chaque échantillon de cellules du panel d’anticorps dans le tube étiqueté correspondant. Ajouter un petit volume de MTS </w:t>
      </w:r>
      <w:r w:rsidR="00D73173">
        <w:rPr>
          <w:lang w:val="fr-CA"/>
        </w:rPr>
        <w:t>D</w:t>
      </w:r>
      <w:r>
        <w:rPr>
          <w:lang w:val="fr-CA"/>
        </w:rPr>
        <w:t>iluent 2</w:t>
      </w:r>
      <w:r w:rsidR="004914E5">
        <w:rPr>
          <w:vertAlign w:val="superscript"/>
          <w:lang w:val="fr-CA"/>
        </w:rPr>
        <w:t xml:space="preserve">MC </w:t>
      </w:r>
      <w:r>
        <w:rPr>
          <w:lang w:val="fr-CA"/>
        </w:rPr>
        <w:t>à chaque tube pour avoir un volume suffisant</w:t>
      </w:r>
      <w:r w:rsidR="00E2077D">
        <w:rPr>
          <w:lang w:val="fr-CA"/>
        </w:rPr>
        <w:t>.</w:t>
      </w:r>
    </w:p>
    <w:p w:rsidR="009A74DE" w:rsidRDefault="009A74DE" w:rsidP="00356DC3">
      <w:pPr>
        <w:numPr>
          <w:ilvl w:val="2"/>
          <w:numId w:val="10"/>
        </w:numPr>
        <w:tabs>
          <w:tab w:val="left" w:pos="-720"/>
        </w:tabs>
        <w:suppressAutoHyphens/>
        <w:rPr>
          <w:rFonts w:ascii="Arial" w:hAnsi="Arial"/>
          <w:spacing w:val="-2"/>
          <w:sz w:val="24"/>
          <w:lang w:val="fr-CA"/>
        </w:rPr>
      </w:pPr>
      <w:r>
        <w:rPr>
          <w:rFonts w:ascii="Arial" w:hAnsi="Arial"/>
          <w:spacing w:val="-2"/>
          <w:sz w:val="24"/>
          <w:lang w:val="fr-CA"/>
        </w:rPr>
        <w:t>Centrifuger pendant une (1) minute pour concentrer les globules rouges.</w:t>
      </w:r>
    </w:p>
    <w:p w:rsidR="009A74DE" w:rsidRPr="00FE46B8" w:rsidRDefault="009A74DE" w:rsidP="00356DC3">
      <w:pPr>
        <w:pStyle w:val="BodyTextIndent"/>
        <w:numPr>
          <w:ilvl w:val="2"/>
          <w:numId w:val="10"/>
        </w:numPr>
        <w:tabs>
          <w:tab w:val="left" w:pos="-720"/>
        </w:tabs>
        <w:suppressAutoHyphens/>
        <w:rPr>
          <w:spacing w:val="-2"/>
          <w:lang w:val="fr-CA"/>
        </w:rPr>
      </w:pPr>
      <w:r w:rsidRPr="00FE46B8">
        <w:rPr>
          <w:lang w:val="fr-CA"/>
        </w:rPr>
        <w:t>Décanter le surnageant (on recommande un culot de cellules sec) et ajouter deux (2) volumes de MTS Diluent 2</w:t>
      </w:r>
      <w:r w:rsidR="004914E5" w:rsidRPr="00FE46B8">
        <w:rPr>
          <w:vertAlign w:val="superscript"/>
          <w:lang w:val="fr-CA"/>
        </w:rPr>
        <w:t xml:space="preserve">MC </w:t>
      </w:r>
      <w:r w:rsidRPr="00FE46B8">
        <w:rPr>
          <w:lang w:val="fr-CA"/>
        </w:rPr>
        <w:t>(200 </w:t>
      </w:r>
      <w:r>
        <w:rPr>
          <w:lang w:val="fr-CA"/>
        </w:rPr>
        <w:sym w:font="Symbol" w:char="F06D"/>
      </w:r>
      <w:r w:rsidRPr="00FE46B8">
        <w:rPr>
          <w:lang w:val="fr-CA"/>
        </w:rPr>
        <w:t>L si le volume initial était de 100 </w:t>
      </w:r>
      <w:r>
        <w:rPr>
          <w:lang w:val="fr-CA"/>
        </w:rPr>
        <w:sym w:font="Symbol" w:char="F06D"/>
      </w:r>
      <w:r w:rsidRPr="00FE46B8">
        <w:rPr>
          <w:lang w:val="fr-CA"/>
        </w:rPr>
        <w:t xml:space="preserve">L) à chaque tube. </w:t>
      </w:r>
      <w:r w:rsidRPr="00FE46B8">
        <w:rPr>
          <w:lang w:val="fr-CA"/>
        </w:rPr>
        <w:br/>
      </w:r>
      <w:r w:rsidRPr="00FE46B8">
        <w:rPr>
          <w:spacing w:val="-2"/>
          <w:lang w:val="fr-CA"/>
        </w:rPr>
        <w:t>Mélanger doucement. Les suspensions cellulaires finales devraient avoir une concentration d’environ 0,8 %; elles sont stables pendant 24 heures. Pour de meilleurs résultats, la concentration des suspensions devrait se situer entre 0,6 % et 1,0 %.</w:t>
      </w:r>
    </w:p>
    <w:p w:rsidR="009A74DE" w:rsidRDefault="009A74DE" w:rsidP="002C5409">
      <w:pPr>
        <w:rPr>
          <w:rFonts w:ascii="Arial" w:hAnsi="Arial"/>
          <w:sz w:val="24"/>
          <w:lang w:val="fr-CA"/>
        </w:rPr>
      </w:pPr>
    </w:p>
    <w:p w:rsidR="009A74DE" w:rsidRDefault="00FE46B8" w:rsidP="00356DC3">
      <w:pPr>
        <w:numPr>
          <w:ilvl w:val="1"/>
          <w:numId w:val="3"/>
        </w:numPr>
        <w:tabs>
          <w:tab w:val="clear" w:pos="1440"/>
          <w:tab w:val="left" w:pos="-720"/>
          <w:tab w:val="num" w:pos="720"/>
          <w:tab w:val="left" w:pos="1080"/>
        </w:tabs>
        <w:suppressAutoHyphens/>
        <w:ind w:left="720" w:hanging="11"/>
        <w:rPr>
          <w:rFonts w:ascii="Arial" w:hAnsi="Arial"/>
          <w:spacing w:val="-2"/>
          <w:sz w:val="24"/>
          <w:lang w:val="fr-CA"/>
        </w:rPr>
      </w:pPr>
      <w:r w:rsidRPr="00FE46B8">
        <w:rPr>
          <w:rFonts w:ascii="Arial" w:hAnsi="Arial"/>
          <w:spacing w:val="-2"/>
          <w:sz w:val="24"/>
          <w:lang w:val="fr-CA"/>
        </w:rPr>
        <w:tab/>
      </w:r>
      <w:r w:rsidR="009A74DE" w:rsidRPr="00262957">
        <w:rPr>
          <w:rFonts w:ascii="Arial" w:hAnsi="Arial"/>
          <w:spacing w:val="-2"/>
          <w:sz w:val="24"/>
          <w:u w:val="single"/>
          <w:lang w:val="fr-CA"/>
        </w:rPr>
        <w:t>Méthode 2</w:t>
      </w:r>
      <w:r w:rsidR="00262957">
        <w:rPr>
          <w:rFonts w:ascii="Arial" w:hAnsi="Arial"/>
          <w:spacing w:val="-2"/>
          <w:sz w:val="24"/>
          <w:lang w:val="fr-CA"/>
        </w:rPr>
        <w:t xml:space="preserve"> </w:t>
      </w:r>
      <w:r w:rsidR="009A74DE">
        <w:rPr>
          <w:rFonts w:ascii="Arial" w:hAnsi="Arial"/>
          <w:spacing w:val="-2"/>
          <w:sz w:val="24"/>
          <w:lang w:val="fr-CA"/>
        </w:rPr>
        <w:t>(pour 20 épreuves, avec des cellules concentrées)</w:t>
      </w:r>
    </w:p>
    <w:p w:rsidR="009A74DE" w:rsidRDefault="009A74DE" w:rsidP="002C5409">
      <w:pPr>
        <w:tabs>
          <w:tab w:val="left" w:pos="-720"/>
          <w:tab w:val="left" w:pos="1080"/>
        </w:tabs>
        <w:suppressAutoHyphens/>
        <w:ind w:left="720"/>
        <w:rPr>
          <w:rFonts w:ascii="Arial" w:hAnsi="Arial"/>
          <w:spacing w:val="-2"/>
          <w:sz w:val="24"/>
          <w:lang w:val="fr-CA"/>
        </w:rPr>
      </w:pPr>
    </w:p>
    <w:p w:rsidR="009A74DE" w:rsidRDefault="009A74DE" w:rsidP="00356DC3">
      <w:pPr>
        <w:numPr>
          <w:ilvl w:val="2"/>
          <w:numId w:val="11"/>
        </w:numPr>
        <w:tabs>
          <w:tab w:val="left" w:pos="-720"/>
          <w:tab w:val="left" w:pos="1080"/>
          <w:tab w:val="num" w:pos="1843"/>
        </w:tabs>
        <w:suppressAutoHyphens/>
        <w:ind w:left="1843" w:hanging="709"/>
        <w:rPr>
          <w:rFonts w:ascii="Arial" w:hAnsi="Arial"/>
          <w:spacing w:val="-2"/>
          <w:sz w:val="24"/>
          <w:lang w:val="fr-CA"/>
        </w:rPr>
      </w:pPr>
      <w:r>
        <w:rPr>
          <w:rFonts w:ascii="Arial" w:hAnsi="Arial"/>
          <w:spacing w:val="-2"/>
          <w:sz w:val="24"/>
          <w:lang w:val="fr-CA"/>
        </w:rPr>
        <w:t>Étiqueter les tubes en fonction des cellules du panel à tester; inclure le numéro de lot, la date et l’heure de la préparation. Préparer un volume de cellules suffisant pour obtenir 10 </w:t>
      </w:r>
      <w:r>
        <w:rPr>
          <w:rFonts w:ascii="Arial" w:hAnsi="Arial"/>
          <w:spacing w:val="-2"/>
          <w:sz w:val="24"/>
          <w:lang w:val="fr-CA"/>
        </w:rPr>
        <w:sym w:font="Symbol" w:char="F06D"/>
      </w:r>
      <w:r>
        <w:rPr>
          <w:rFonts w:ascii="Arial" w:hAnsi="Arial"/>
          <w:spacing w:val="-2"/>
          <w:sz w:val="24"/>
          <w:lang w:val="fr-CA"/>
        </w:rPr>
        <w:t xml:space="preserve">L de globules rouges concentrés de chaque échantillon de cellules du panel. </w:t>
      </w:r>
    </w:p>
    <w:p w:rsidR="009A74DE" w:rsidRDefault="009A74DE" w:rsidP="00356DC3">
      <w:pPr>
        <w:numPr>
          <w:ilvl w:val="2"/>
          <w:numId w:val="11"/>
        </w:numPr>
        <w:tabs>
          <w:tab w:val="left" w:pos="-720"/>
          <w:tab w:val="left" w:pos="720"/>
          <w:tab w:val="left" w:pos="1080"/>
          <w:tab w:val="num" w:pos="1843"/>
        </w:tabs>
        <w:suppressAutoHyphens/>
        <w:ind w:left="1843" w:hanging="709"/>
        <w:rPr>
          <w:rFonts w:ascii="Arial" w:hAnsi="Arial"/>
          <w:spacing w:val="-2"/>
          <w:sz w:val="24"/>
          <w:lang w:val="fr-CA"/>
        </w:rPr>
      </w:pPr>
      <w:r>
        <w:rPr>
          <w:rFonts w:ascii="Arial" w:hAnsi="Arial"/>
          <w:spacing w:val="-2"/>
          <w:sz w:val="24"/>
          <w:lang w:val="fr-CA"/>
        </w:rPr>
        <w:t xml:space="preserve">Dans </w:t>
      </w:r>
      <w:r w:rsidR="00451F84">
        <w:rPr>
          <w:rFonts w:ascii="Arial" w:hAnsi="Arial"/>
          <w:spacing w:val="-2"/>
          <w:sz w:val="24"/>
          <w:lang w:val="fr-CA"/>
        </w:rPr>
        <w:t xml:space="preserve">des </w:t>
      </w:r>
      <w:r>
        <w:rPr>
          <w:rFonts w:ascii="Arial" w:hAnsi="Arial"/>
          <w:spacing w:val="-2"/>
          <w:sz w:val="24"/>
          <w:lang w:val="fr-CA"/>
        </w:rPr>
        <w:t>tubes étiquetés</w:t>
      </w:r>
      <w:r w:rsidR="00451F84">
        <w:rPr>
          <w:rFonts w:ascii="Arial" w:hAnsi="Arial"/>
          <w:spacing w:val="-2"/>
          <w:sz w:val="24"/>
          <w:lang w:val="fr-CA"/>
        </w:rPr>
        <w:t xml:space="preserve"> séparément</w:t>
      </w:r>
      <w:r>
        <w:rPr>
          <w:rFonts w:ascii="Arial" w:hAnsi="Arial"/>
          <w:spacing w:val="-2"/>
          <w:sz w:val="24"/>
          <w:lang w:val="fr-CA"/>
        </w:rPr>
        <w:t xml:space="preserve">, mettre 1,0 ml de MTS </w:t>
      </w:r>
      <w:r w:rsidR="00262957">
        <w:rPr>
          <w:rFonts w:ascii="Arial" w:hAnsi="Arial"/>
          <w:spacing w:val="-2"/>
          <w:sz w:val="24"/>
          <w:lang w:val="fr-CA"/>
        </w:rPr>
        <w:t>D</w:t>
      </w:r>
      <w:r>
        <w:rPr>
          <w:rFonts w:ascii="Arial" w:hAnsi="Arial"/>
          <w:spacing w:val="-2"/>
          <w:sz w:val="24"/>
          <w:lang w:val="fr-CA"/>
        </w:rPr>
        <w:t>iluent 2</w:t>
      </w:r>
      <w:r>
        <w:rPr>
          <w:rFonts w:ascii="Arial" w:hAnsi="Arial"/>
          <w:spacing w:val="-2"/>
          <w:sz w:val="24"/>
          <w:vertAlign w:val="superscript"/>
          <w:lang w:val="fr-CA"/>
        </w:rPr>
        <w:t>MD</w:t>
      </w:r>
      <w:r>
        <w:rPr>
          <w:rFonts w:ascii="Arial" w:hAnsi="Arial"/>
          <w:spacing w:val="-2"/>
          <w:sz w:val="24"/>
          <w:lang w:val="fr-CA"/>
        </w:rPr>
        <w:t>. Ajouter 10 </w:t>
      </w:r>
      <w:r>
        <w:rPr>
          <w:rFonts w:ascii="Arial" w:hAnsi="Arial"/>
          <w:spacing w:val="-2"/>
          <w:sz w:val="24"/>
          <w:lang w:val="fr-CA"/>
        </w:rPr>
        <w:sym w:font="Symbol" w:char="F06D"/>
      </w:r>
      <w:r>
        <w:rPr>
          <w:rFonts w:ascii="Arial" w:hAnsi="Arial"/>
          <w:spacing w:val="-2"/>
          <w:sz w:val="24"/>
          <w:lang w:val="fr-CA"/>
        </w:rPr>
        <w:t>L de chacun des globules rouges concentrés du panel au tube étiqueté correspondant.</w:t>
      </w:r>
      <w:r w:rsidRPr="00D02BC6">
        <w:rPr>
          <w:rFonts w:ascii="Arial" w:hAnsi="Arial"/>
          <w:spacing w:val="-2"/>
          <w:sz w:val="24"/>
          <w:lang w:val="fr-CA"/>
        </w:rPr>
        <w:t xml:space="preserve"> </w:t>
      </w:r>
    </w:p>
    <w:p w:rsidR="009A74DE" w:rsidRDefault="009A74DE" w:rsidP="00356DC3">
      <w:pPr>
        <w:numPr>
          <w:ilvl w:val="2"/>
          <w:numId w:val="11"/>
        </w:numPr>
        <w:tabs>
          <w:tab w:val="left" w:pos="-720"/>
          <w:tab w:val="left" w:pos="0"/>
          <w:tab w:val="left" w:pos="720"/>
          <w:tab w:val="num" w:pos="1843"/>
        </w:tabs>
        <w:suppressAutoHyphens/>
        <w:ind w:left="1843" w:hanging="709"/>
        <w:rPr>
          <w:rFonts w:ascii="Arial" w:hAnsi="Arial"/>
          <w:spacing w:val="-2"/>
          <w:sz w:val="24"/>
          <w:lang w:val="fr-CA"/>
        </w:rPr>
      </w:pPr>
      <w:r>
        <w:rPr>
          <w:rFonts w:ascii="Arial" w:hAnsi="Arial"/>
          <w:spacing w:val="-2"/>
          <w:sz w:val="24"/>
          <w:lang w:val="fr-CA"/>
        </w:rPr>
        <w:t>Mélanger doucement. Les suspensions cellulaires finales devraient avoir une concentration d</w:t>
      </w:r>
      <w:r w:rsidR="00287F2D">
        <w:rPr>
          <w:rFonts w:ascii="Arial" w:hAnsi="Arial"/>
          <w:spacing w:val="-2"/>
          <w:sz w:val="24"/>
          <w:lang w:val="fr-CA"/>
        </w:rPr>
        <w:t>’</w:t>
      </w:r>
      <w:r>
        <w:rPr>
          <w:rFonts w:ascii="Arial" w:hAnsi="Arial"/>
          <w:spacing w:val="-2"/>
          <w:sz w:val="24"/>
          <w:lang w:val="fr-CA"/>
        </w:rPr>
        <w:t xml:space="preserve">environ 0,8 %; elles sont stables pendant 24 heures. Pour de meilleurs résultats, la concentration des suspensions </w:t>
      </w:r>
      <w:r w:rsidR="00E2077D">
        <w:rPr>
          <w:rFonts w:ascii="Arial" w:hAnsi="Arial"/>
          <w:spacing w:val="-2"/>
          <w:sz w:val="24"/>
          <w:lang w:val="fr-CA"/>
        </w:rPr>
        <w:t>doit</w:t>
      </w:r>
      <w:r>
        <w:rPr>
          <w:rFonts w:ascii="Arial" w:hAnsi="Arial"/>
          <w:spacing w:val="-2"/>
          <w:sz w:val="24"/>
          <w:lang w:val="fr-CA"/>
        </w:rPr>
        <w:t xml:space="preserve"> se situer entre 0,6 % et 1,0 %.</w:t>
      </w:r>
    </w:p>
    <w:p w:rsidR="009A74DE" w:rsidRPr="00FE46B8" w:rsidRDefault="009A74DE" w:rsidP="00FE46B8">
      <w:pPr>
        <w:rPr>
          <w:rFonts w:ascii="Arial" w:hAnsi="Arial"/>
          <w:sz w:val="24"/>
          <w:lang w:val="fr-CA"/>
        </w:rPr>
      </w:pPr>
    </w:p>
    <w:p w:rsidR="009A74DE" w:rsidRDefault="009A74DE" w:rsidP="00356DC3">
      <w:pPr>
        <w:numPr>
          <w:ilvl w:val="1"/>
          <w:numId w:val="4"/>
        </w:numPr>
        <w:tabs>
          <w:tab w:val="clear" w:pos="1440"/>
          <w:tab w:val="left" w:pos="-720"/>
          <w:tab w:val="num" w:pos="1134"/>
        </w:tabs>
        <w:suppressAutoHyphens/>
        <w:ind w:left="1134" w:hanging="861"/>
        <w:rPr>
          <w:rFonts w:ascii="Arial" w:hAnsi="Arial"/>
          <w:spacing w:val="-2"/>
          <w:sz w:val="24"/>
          <w:lang w:val="fr-CA"/>
        </w:rPr>
      </w:pPr>
      <w:r>
        <w:rPr>
          <w:rFonts w:ascii="Arial" w:hAnsi="Arial"/>
          <w:spacing w:val="-2"/>
          <w:sz w:val="24"/>
          <w:lang w:val="fr-CA"/>
        </w:rPr>
        <w:t>Préparation de l</w:t>
      </w:r>
      <w:r w:rsidR="00287F2D">
        <w:rPr>
          <w:rFonts w:ascii="Arial" w:hAnsi="Arial"/>
          <w:spacing w:val="-2"/>
          <w:sz w:val="24"/>
          <w:lang w:val="fr-CA"/>
        </w:rPr>
        <w:t>’</w:t>
      </w:r>
      <w:r>
        <w:rPr>
          <w:rFonts w:ascii="Arial" w:hAnsi="Arial"/>
          <w:spacing w:val="-2"/>
          <w:sz w:val="24"/>
          <w:lang w:val="fr-CA"/>
        </w:rPr>
        <w:t>auto</w:t>
      </w:r>
      <w:r w:rsidR="00E2077D">
        <w:rPr>
          <w:rFonts w:ascii="Arial" w:hAnsi="Arial"/>
          <w:spacing w:val="-2"/>
          <w:sz w:val="24"/>
          <w:lang w:val="fr-CA"/>
        </w:rPr>
        <w:t>témoin</w:t>
      </w:r>
      <w:r>
        <w:rPr>
          <w:rFonts w:ascii="Arial" w:hAnsi="Arial"/>
          <w:spacing w:val="-2"/>
          <w:sz w:val="24"/>
          <w:lang w:val="fr-CA"/>
        </w:rPr>
        <w:t xml:space="preserve"> en suspension à 0,8 %</w:t>
      </w:r>
    </w:p>
    <w:p w:rsidR="009A74DE" w:rsidRDefault="00B170C5" w:rsidP="00B170C5">
      <w:pPr>
        <w:tabs>
          <w:tab w:val="left" w:pos="-720"/>
        </w:tabs>
        <w:suppressAutoHyphens/>
        <w:ind w:left="1843" w:hanging="709"/>
        <w:rPr>
          <w:rFonts w:ascii="Arial" w:hAnsi="Arial"/>
          <w:spacing w:val="-2"/>
          <w:sz w:val="24"/>
          <w:lang w:val="fr-CA"/>
        </w:rPr>
      </w:pPr>
      <w:r>
        <w:rPr>
          <w:rFonts w:ascii="Arial" w:hAnsi="Arial"/>
          <w:spacing w:val="-2"/>
          <w:sz w:val="24"/>
          <w:lang w:val="fr-CA"/>
        </w:rPr>
        <w:t>6.3.1</w:t>
      </w:r>
      <w:r>
        <w:rPr>
          <w:rFonts w:ascii="Arial" w:hAnsi="Arial"/>
          <w:spacing w:val="-2"/>
          <w:sz w:val="24"/>
          <w:lang w:val="fr-CA"/>
        </w:rPr>
        <w:tab/>
      </w:r>
      <w:r w:rsidR="00306CE4">
        <w:rPr>
          <w:rFonts w:ascii="Arial" w:hAnsi="Arial"/>
          <w:spacing w:val="-2"/>
          <w:sz w:val="24"/>
          <w:lang w:val="fr-CA"/>
        </w:rPr>
        <w:t>Mettre 1,0 ml de MTS D</w:t>
      </w:r>
      <w:r w:rsidR="009A74DE">
        <w:rPr>
          <w:rFonts w:ascii="Arial" w:hAnsi="Arial"/>
          <w:spacing w:val="-2"/>
          <w:sz w:val="24"/>
          <w:lang w:val="fr-CA"/>
        </w:rPr>
        <w:t>iluent 2 dans un tube portant l</w:t>
      </w:r>
      <w:r w:rsidR="00287F2D">
        <w:rPr>
          <w:rFonts w:ascii="Arial" w:hAnsi="Arial"/>
          <w:spacing w:val="-2"/>
          <w:sz w:val="24"/>
          <w:lang w:val="fr-CA"/>
        </w:rPr>
        <w:t>’</w:t>
      </w:r>
      <w:r w:rsidR="009A74DE">
        <w:rPr>
          <w:rFonts w:ascii="Arial" w:hAnsi="Arial"/>
          <w:spacing w:val="-2"/>
          <w:sz w:val="24"/>
          <w:lang w:val="fr-CA"/>
        </w:rPr>
        <w:t>identification de l</w:t>
      </w:r>
      <w:r w:rsidR="00287F2D">
        <w:rPr>
          <w:rFonts w:ascii="Arial" w:hAnsi="Arial"/>
          <w:spacing w:val="-2"/>
          <w:sz w:val="24"/>
          <w:lang w:val="fr-CA"/>
        </w:rPr>
        <w:t>’</w:t>
      </w:r>
      <w:r w:rsidR="009A74DE">
        <w:rPr>
          <w:rFonts w:ascii="Arial" w:hAnsi="Arial"/>
          <w:spacing w:val="-2"/>
          <w:sz w:val="24"/>
          <w:lang w:val="fr-CA"/>
        </w:rPr>
        <w:t>échantillon à tester.</w:t>
      </w:r>
    </w:p>
    <w:p w:rsidR="009A74DE" w:rsidRDefault="00B170C5" w:rsidP="00B170C5">
      <w:pPr>
        <w:tabs>
          <w:tab w:val="left" w:pos="-720"/>
        </w:tabs>
        <w:suppressAutoHyphens/>
        <w:ind w:left="1843" w:hanging="709"/>
        <w:rPr>
          <w:rFonts w:ascii="Arial" w:hAnsi="Arial"/>
          <w:spacing w:val="-2"/>
          <w:sz w:val="24"/>
          <w:lang w:val="fr-CA"/>
        </w:rPr>
      </w:pPr>
      <w:r>
        <w:rPr>
          <w:rFonts w:ascii="Arial" w:hAnsi="Arial"/>
          <w:spacing w:val="-2"/>
          <w:sz w:val="24"/>
          <w:lang w:val="fr-CA"/>
        </w:rPr>
        <w:t>6.3.2</w:t>
      </w:r>
      <w:r>
        <w:rPr>
          <w:rFonts w:ascii="Arial" w:hAnsi="Arial"/>
          <w:spacing w:val="-2"/>
          <w:sz w:val="24"/>
          <w:lang w:val="fr-CA"/>
        </w:rPr>
        <w:tab/>
      </w:r>
      <w:r w:rsidR="009A74DE">
        <w:rPr>
          <w:rFonts w:ascii="Arial" w:hAnsi="Arial"/>
          <w:spacing w:val="-2"/>
          <w:sz w:val="24"/>
          <w:lang w:val="fr-CA"/>
        </w:rPr>
        <w:t>Ajouter 10 </w:t>
      </w:r>
      <w:r w:rsidR="009A74DE">
        <w:rPr>
          <w:rFonts w:ascii="Arial" w:hAnsi="Arial"/>
          <w:spacing w:val="-2"/>
          <w:sz w:val="24"/>
          <w:lang w:val="fr-CA"/>
        </w:rPr>
        <w:sym w:font="Symbol" w:char="F06D"/>
      </w:r>
      <w:r w:rsidR="009A74DE">
        <w:rPr>
          <w:rFonts w:ascii="Arial" w:hAnsi="Arial"/>
          <w:spacing w:val="-2"/>
          <w:sz w:val="24"/>
          <w:lang w:val="fr-CA"/>
        </w:rPr>
        <w:t>L de globules rouges concentrés provenant de l</w:t>
      </w:r>
      <w:r w:rsidR="00287F2D">
        <w:rPr>
          <w:rFonts w:ascii="Arial" w:hAnsi="Arial"/>
          <w:spacing w:val="-2"/>
          <w:sz w:val="24"/>
          <w:lang w:val="fr-CA"/>
        </w:rPr>
        <w:t>’</w:t>
      </w:r>
      <w:r w:rsidR="009A74DE">
        <w:rPr>
          <w:rFonts w:ascii="Arial" w:hAnsi="Arial"/>
          <w:spacing w:val="-2"/>
          <w:sz w:val="24"/>
          <w:lang w:val="fr-CA"/>
        </w:rPr>
        <w:t>échantillon à tester.</w:t>
      </w:r>
    </w:p>
    <w:p w:rsidR="009A74DE" w:rsidRDefault="00B170C5" w:rsidP="00B170C5">
      <w:pPr>
        <w:tabs>
          <w:tab w:val="left" w:pos="-720"/>
          <w:tab w:val="num" w:pos="1843"/>
        </w:tabs>
        <w:suppressAutoHyphens/>
        <w:ind w:left="1843" w:hanging="709"/>
        <w:rPr>
          <w:rFonts w:ascii="Arial" w:hAnsi="Arial"/>
          <w:spacing w:val="-2"/>
          <w:sz w:val="24"/>
          <w:lang w:val="fr-CA"/>
        </w:rPr>
      </w:pPr>
      <w:r>
        <w:rPr>
          <w:rFonts w:ascii="Arial" w:hAnsi="Arial"/>
          <w:spacing w:val="-2"/>
          <w:sz w:val="24"/>
          <w:lang w:val="fr-CA"/>
        </w:rPr>
        <w:t>6.3.3</w:t>
      </w:r>
      <w:r>
        <w:rPr>
          <w:rFonts w:ascii="Arial" w:hAnsi="Arial"/>
          <w:spacing w:val="-2"/>
          <w:sz w:val="24"/>
          <w:lang w:val="fr-CA"/>
        </w:rPr>
        <w:tab/>
      </w:r>
      <w:r w:rsidR="009A74DE">
        <w:rPr>
          <w:rFonts w:ascii="Arial" w:hAnsi="Arial"/>
          <w:spacing w:val="-2"/>
          <w:sz w:val="24"/>
          <w:lang w:val="fr-CA"/>
        </w:rPr>
        <w:t>Mélanger doucement. Les suspensions cellulaires finales devraient avoir une concentration d</w:t>
      </w:r>
      <w:r w:rsidR="00287F2D">
        <w:rPr>
          <w:rFonts w:ascii="Arial" w:hAnsi="Arial"/>
          <w:spacing w:val="-2"/>
          <w:sz w:val="24"/>
          <w:lang w:val="fr-CA"/>
        </w:rPr>
        <w:t>’</w:t>
      </w:r>
      <w:r w:rsidR="009A74DE">
        <w:rPr>
          <w:rFonts w:ascii="Arial" w:hAnsi="Arial"/>
          <w:spacing w:val="-2"/>
          <w:sz w:val="24"/>
          <w:lang w:val="fr-CA"/>
        </w:rPr>
        <w:t xml:space="preserve">environ 0,8 %; elles sont stables pendant 24 heures. Pour de meilleurs résultats, la concentration des suspensions </w:t>
      </w:r>
      <w:r w:rsidR="00E2077D">
        <w:rPr>
          <w:rFonts w:ascii="Arial" w:hAnsi="Arial"/>
          <w:spacing w:val="-2"/>
          <w:sz w:val="24"/>
          <w:lang w:val="fr-CA"/>
        </w:rPr>
        <w:t>doit</w:t>
      </w:r>
      <w:r w:rsidR="009A74DE">
        <w:rPr>
          <w:rFonts w:ascii="Arial" w:hAnsi="Arial"/>
          <w:spacing w:val="-2"/>
          <w:sz w:val="24"/>
          <w:lang w:val="fr-CA"/>
        </w:rPr>
        <w:t xml:space="preserve"> se situer entre 0,6 % et 1,0 %.</w:t>
      </w:r>
    </w:p>
    <w:p w:rsidR="00FE46B8" w:rsidRDefault="009A74DE" w:rsidP="00356DC3">
      <w:pPr>
        <w:numPr>
          <w:ilvl w:val="1"/>
          <w:numId w:val="4"/>
        </w:numPr>
        <w:tabs>
          <w:tab w:val="clear" w:pos="1440"/>
          <w:tab w:val="left" w:pos="-720"/>
          <w:tab w:val="num" w:pos="1134"/>
        </w:tabs>
        <w:suppressAutoHyphens/>
        <w:ind w:hanging="1156"/>
        <w:rPr>
          <w:rFonts w:ascii="Arial" w:hAnsi="Arial"/>
          <w:spacing w:val="-2"/>
          <w:sz w:val="24"/>
          <w:lang w:val="fr-CA"/>
        </w:rPr>
      </w:pPr>
      <w:r w:rsidRPr="00FE46B8">
        <w:rPr>
          <w:rFonts w:ascii="Arial" w:hAnsi="Arial"/>
          <w:spacing w:val="-2"/>
          <w:sz w:val="24"/>
          <w:lang w:val="fr-CA"/>
        </w:rPr>
        <w:t>Procédure d</w:t>
      </w:r>
      <w:r w:rsidR="00287F2D">
        <w:rPr>
          <w:rFonts w:ascii="Arial" w:hAnsi="Arial"/>
          <w:spacing w:val="-2"/>
          <w:sz w:val="24"/>
          <w:lang w:val="fr-CA"/>
        </w:rPr>
        <w:t>’</w:t>
      </w:r>
      <w:r w:rsidRPr="00FE46B8">
        <w:rPr>
          <w:rFonts w:ascii="Arial" w:hAnsi="Arial"/>
          <w:spacing w:val="-2"/>
          <w:sz w:val="24"/>
          <w:lang w:val="fr-CA"/>
        </w:rPr>
        <w:t>identification d</w:t>
      </w:r>
      <w:r w:rsidR="00287F2D">
        <w:rPr>
          <w:rFonts w:ascii="Arial" w:hAnsi="Arial"/>
          <w:spacing w:val="-2"/>
          <w:sz w:val="24"/>
          <w:lang w:val="fr-CA"/>
        </w:rPr>
        <w:t>’</w:t>
      </w:r>
      <w:r w:rsidRPr="00FE46B8">
        <w:rPr>
          <w:rFonts w:ascii="Arial" w:hAnsi="Arial"/>
          <w:spacing w:val="-2"/>
          <w:sz w:val="24"/>
          <w:lang w:val="fr-CA"/>
        </w:rPr>
        <w:t>anticorps</w:t>
      </w:r>
    </w:p>
    <w:p w:rsidR="009A74DE" w:rsidRPr="00FE46B8" w:rsidRDefault="009A74DE" w:rsidP="00356DC3">
      <w:pPr>
        <w:numPr>
          <w:ilvl w:val="1"/>
          <w:numId w:val="12"/>
        </w:numPr>
        <w:tabs>
          <w:tab w:val="left" w:pos="-720"/>
          <w:tab w:val="left" w:pos="720"/>
        </w:tabs>
        <w:suppressAutoHyphens/>
        <w:ind w:left="1843" w:hanging="709"/>
        <w:rPr>
          <w:rFonts w:ascii="Arial" w:hAnsi="Arial"/>
          <w:spacing w:val="-2"/>
          <w:sz w:val="24"/>
          <w:lang w:val="fr-CA"/>
        </w:rPr>
      </w:pPr>
      <w:r w:rsidRPr="00FE46B8">
        <w:rPr>
          <w:rFonts w:ascii="Arial" w:hAnsi="Arial"/>
          <w:spacing w:val="-2"/>
          <w:sz w:val="24"/>
          <w:lang w:val="fr-CA"/>
        </w:rPr>
        <w:t>Étiqueter les cartes anti-IgG MTS</w:t>
      </w:r>
      <w:r w:rsidR="00E2077D" w:rsidRPr="0038636F">
        <w:rPr>
          <w:rFonts w:ascii="Arial" w:hAnsi="Arial"/>
          <w:spacing w:val="-2"/>
          <w:sz w:val="24"/>
          <w:lang w:val="fr-CA"/>
        </w:rPr>
        <w:t>M</w:t>
      </w:r>
      <w:r w:rsidR="004914E5" w:rsidRPr="0038636F">
        <w:rPr>
          <w:rFonts w:ascii="Arial" w:hAnsi="Arial"/>
          <w:spacing w:val="-2"/>
          <w:sz w:val="24"/>
          <w:lang w:val="fr-CA"/>
        </w:rPr>
        <w:t>C</w:t>
      </w:r>
      <w:r w:rsidRPr="00FE46B8">
        <w:rPr>
          <w:rFonts w:ascii="Arial" w:hAnsi="Arial"/>
          <w:spacing w:val="-2"/>
          <w:sz w:val="24"/>
          <w:lang w:val="fr-CA"/>
        </w:rPr>
        <w:t xml:space="preserve"> avec les renseignements appropriés concernant l</w:t>
      </w:r>
      <w:r w:rsidR="00287F2D">
        <w:rPr>
          <w:rFonts w:ascii="Arial" w:hAnsi="Arial"/>
          <w:spacing w:val="-2"/>
          <w:sz w:val="24"/>
          <w:lang w:val="fr-CA"/>
        </w:rPr>
        <w:t>’</w:t>
      </w:r>
      <w:r w:rsidRPr="00FE46B8">
        <w:rPr>
          <w:rFonts w:ascii="Arial" w:hAnsi="Arial"/>
          <w:spacing w:val="-2"/>
          <w:sz w:val="24"/>
          <w:lang w:val="fr-CA"/>
        </w:rPr>
        <w:t>identification du patient et l</w:t>
      </w:r>
      <w:r w:rsidR="00287F2D">
        <w:rPr>
          <w:rFonts w:ascii="Arial" w:hAnsi="Arial"/>
          <w:spacing w:val="-2"/>
          <w:sz w:val="24"/>
          <w:lang w:val="fr-CA"/>
        </w:rPr>
        <w:t>’</w:t>
      </w:r>
      <w:r w:rsidRPr="00FE46B8">
        <w:rPr>
          <w:rFonts w:ascii="Arial" w:hAnsi="Arial"/>
          <w:spacing w:val="-2"/>
          <w:sz w:val="24"/>
          <w:lang w:val="fr-CA"/>
        </w:rPr>
        <w:t>épreuve.</w:t>
      </w:r>
    </w:p>
    <w:p w:rsidR="009A74DE" w:rsidRDefault="009A74DE" w:rsidP="00356DC3">
      <w:pPr>
        <w:numPr>
          <w:ilvl w:val="1"/>
          <w:numId w:val="12"/>
        </w:numPr>
        <w:tabs>
          <w:tab w:val="left" w:pos="-720"/>
          <w:tab w:val="left" w:pos="720"/>
        </w:tabs>
        <w:suppressAutoHyphens/>
        <w:ind w:left="1843" w:hanging="709"/>
        <w:rPr>
          <w:rFonts w:ascii="Arial" w:hAnsi="Arial"/>
          <w:spacing w:val="-2"/>
          <w:sz w:val="24"/>
          <w:lang w:val="fr-CA"/>
        </w:rPr>
      </w:pPr>
      <w:r>
        <w:rPr>
          <w:rFonts w:ascii="Arial" w:hAnsi="Arial"/>
          <w:spacing w:val="-2"/>
          <w:sz w:val="24"/>
          <w:lang w:val="fr-CA"/>
        </w:rPr>
        <w:t>Enlever l</w:t>
      </w:r>
      <w:r w:rsidR="00287F2D">
        <w:rPr>
          <w:rFonts w:ascii="Arial" w:hAnsi="Arial"/>
          <w:spacing w:val="-2"/>
          <w:sz w:val="24"/>
          <w:lang w:val="fr-CA"/>
        </w:rPr>
        <w:t>’</w:t>
      </w:r>
      <w:r>
        <w:rPr>
          <w:rFonts w:ascii="Arial" w:hAnsi="Arial"/>
          <w:spacing w:val="-2"/>
          <w:sz w:val="24"/>
          <w:lang w:val="fr-CA"/>
        </w:rPr>
        <w:t>opercule en aluminium des microtubes à utiliser.</w:t>
      </w:r>
    </w:p>
    <w:p w:rsidR="0038636F" w:rsidRDefault="0038636F" w:rsidP="0038636F">
      <w:pPr>
        <w:tabs>
          <w:tab w:val="left" w:pos="-720"/>
        </w:tabs>
        <w:suppressAutoHyphens/>
        <w:ind w:left="1843" w:hanging="709"/>
        <w:rPr>
          <w:rFonts w:ascii="Arial" w:hAnsi="Arial"/>
          <w:spacing w:val="-2"/>
          <w:sz w:val="24"/>
          <w:lang w:val="fr-CA"/>
        </w:rPr>
      </w:pPr>
      <w:r>
        <w:rPr>
          <w:rFonts w:ascii="Arial" w:hAnsi="Arial"/>
          <w:spacing w:val="-2"/>
          <w:sz w:val="24"/>
          <w:lang w:val="fr-CA"/>
        </w:rPr>
        <w:tab/>
      </w:r>
      <w:r w:rsidR="002C5409" w:rsidRPr="0038636F">
        <w:rPr>
          <w:rFonts w:ascii="Arial" w:hAnsi="Arial"/>
          <w:spacing w:val="-2"/>
          <w:sz w:val="24"/>
          <w:lang w:val="fr-CA"/>
        </w:rPr>
        <w:t xml:space="preserve">Remarque : </w:t>
      </w:r>
      <w:r w:rsidR="002C5409" w:rsidRPr="0055014C">
        <w:rPr>
          <w:rFonts w:ascii="Arial" w:hAnsi="Arial"/>
          <w:spacing w:val="-2"/>
          <w:sz w:val="24"/>
          <w:lang w:val="fr-CA"/>
        </w:rPr>
        <w:t>l’opercule doit être retiré juste avant le test ou dans l’heure qui le précède. Une fois l’aluminium retiré, le gel peut commencer à sécher, ce qui affecterait les résultats. On doit s’assurer qu’il ne reste aucun morceau d’aluminium obstruant l’ouverture d’un microtube</w:t>
      </w:r>
      <w:r w:rsidR="002C5409">
        <w:rPr>
          <w:rFonts w:ascii="Arial" w:hAnsi="Arial"/>
          <w:spacing w:val="-2"/>
          <w:sz w:val="24"/>
          <w:lang w:val="fr-CA"/>
        </w:rPr>
        <w:t>.</w:t>
      </w:r>
    </w:p>
    <w:p w:rsidR="006E2E22" w:rsidRDefault="009A74DE" w:rsidP="00356DC3">
      <w:pPr>
        <w:numPr>
          <w:ilvl w:val="2"/>
          <w:numId w:val="13"/>
        </w:numPr>
        <w:tabs>
          <w:tab w:val="left" w:pos="-720"/>
          <w:tab w:val="left" w:pos="720"/>
        </w:tabs>
        <w:suppressAutoHyphens/>
        <w:ind w:left="1843" w:hanging="709"/>
        <w:rPr>
          <w:rFonts w:ascii="Arial" w:hAnsi="Arial"/>
          <w:spacing w:val="-2"/>
          <w:sz w:val="24"/>
          <w:lang w:val="fr-CA"/>
        </w:rPr>
      </w:pPr>
      <w:r w:rsidRPr="006E2E22">
        <w:rPr>
          <w:rFonts w:ascii="Arial" w:hAnsi="Arial"/>
          <w:spacing w:val="-2"/>
          <w:sz w:val="24"/>
          <w:lang w:val="fr-CA"/>
        </w:rPr>
        <w:t>Mettre une petite aliquote de cellules de dépistage/panel dans un tube dans l’incubateur MTS pendant 5 à 10 minutes.</w:t>
      </w:r>
    </w:p>
    <w:p w:rsidR="00E9650B" w:rsidRPr="006E2E22" w:rsidRDefault="009A74DE" w:rsidP="00356DC3">
      <w:pPr>
        <w:numPr>
          <w:ilvl w:val="2"/>
          <w:numId w:val="13"/>
        </w:numPr>
        <w:tabs>
          <w:tab w:val="left" w:pos="-720"/>
          <w:tab w:val="left" w:pos="720"/>
        </w:tabs>
        <w:suppressAutoHyphens/>
        <w:ind w:left="1843" w:hanging="709"/>
        <w:rPr>
          <w:rFonts w:ascii="Arial" w:hAnsi="Arial"/>
          <w:spacing w:val="-2"/>
          <w:sz w:val="24"/>
          <w:lang w:val="fr-CA"/>
        </w:rPr>
      </w:pPr>
      <w:r w:rsidRPr="006E2E22">
        <w:rPr>
          <w:rFonts w:ascii="Arial" w:hAnsi="Arial"/>
          <w:spacing w:val="-2"/>
          <w:sz w:val="24"/>
          <w:lang w:val="fr-CA"/>
        </w:rPr>
        <w:t>Mettre la carte et une aliquote du plasma à tester dans l’incubateur MTS pendant 5 à 10 minutes.</w:t>
      </w:r>
    </w:p>
    <w:p w:rsidR="00E9650B" w:rsidRDefault="009A74DE" w:rsidP="00356DC3">
      <w:pPr>
        <w:numPr>
          <w:ilvl w:val="2"/>
          <w:numId w:val="13"/>
        </w:numPr>
        <w:tabs>
          <w:tab w:val="left" w:pos="-720"/>
          <w:tab w:val="left" w:pos="720"/>
        </w:tabs>
        <w:suppressAutoHyphens/>
        <w:ind w:left="1843" w:hanging="709"/>
        <w:rPr>
          <w:rFonts w:ascii="Arial" w:hAnsi="Arial"/>
          <w:spacing w:val="-2"/>
          <w:sz w:val="24"/>
          <w:lang w:val="fr-CA"/>
        </w:rPr>
      </w:pPr>
      <w:r w:rsidRPr="00E9650B">
        <w:rPr>
          <w:rFonts w:ascii="Arial" w:hAnsi="Arial"/>
          <w:spacing w:val="-2"/>
          <w:sz w:val="24"/>
          <w:lang w:val="fr-CA"/>
        </w:rPr>
        <w:t>Avec une pipette adéquate, ajouter 50 </w:t>
      </w:r>
      <w:r>
        <w:rPr>
          <w:rFonts w:ascii="Arial" w:hAnsi="Arial"/>
          <w:spacing w:val="-2"/>
          <w:sz w:val="24"/>
          <w:lang w:val="fr-CA"/>
        </w:rPr>
        <w:sym w:font="Symbol" w:char="F06D"/>
      </w:r>
      <w:r w:rsidRPr="00E9650B">
        <w:rPr>
          <w:rFonts w:ascii="Arial" w:hAnsi="Arial"/>
          <w:spacing w:val="-2"/>
          <w:sz w:val="24"/>
          <w:lang w:val="fr-CA"/>
        </w:rPr>
        <w:t>L de la suspension cellules de dépistage d’anticorps/panel à 0,8 % au microtube correspondant. La pipette ne doit pas toucher la carte de gel.</w:t>
      </w:r>
    </w:p>
    <w:p w:rsidR="006E2E22" w:rsidRDefault="009A74DE" w:rsidP="00356DC3">
      <w:pPr>
        <w:numPr>
          <w:ilvl w:val="2"/>
          <w:numId w:val="13"/>
        </w:numPr>
        <w:tabs>
          <w:tab w:val="left" w:pos="-720"/>
          <w:tab w:val="left" w:pos="720"/>
        </w:tabs>
        <w:suppressAutoHyphens/>
        <w:ind w:left="1843" w:hanging="709"/>
        <w:rPr>
          <w:rFonts w:ascii="Arial" w:hAnsi="Arial"/>
          <w:spacing w:val="-2"/>
          <w:sz w:val="24"/>
          <w:lang w:val="fr-CA"/>
        </w:rPr>
      </w:pPr>
      <w:r w:rsidRPr="006E2E22">
        <w:rPr>
          <w:rFonts w:ascii="Arial" w:hAnsi="Arial"/>
          <w:spacing w:val="-2"/>
          <w:sz w:val="24"/>
          <w:lang w:val="fr-CA"/>
        </w:rPr>
        <w:t>En laissant la carte dans l’incubateur, ajouter 25 </w:t>
      </w:r>
      <w:r w:rsidR="00C82E94">
        <w:rPr>
          <w:rFonts w:ascii="Arial" w:hAnsi="Arial"/>
          <w:spacing w:val="-2"/>
          <w:sz w:val="24"/>
          <w:lang w:val="fr-CA"/>
        </w:rPr>
        <w:sym w:font="Symbol" w:char="F06D"/>
      </w:r>
      <w:r w:rsidR="00C82E94" w:rsidRPr="006E2E22">
        <w:rPr>
          <w:rFonts w:ascii="Arial" w:hAnsi="Arial"/>
          <w:spacing w:val="-2"/>
          <w:sz w:val="24"/>
          <w:lang w:val="fr-CA"/>
        </w:rPr>
        <w:t>L</w:t>
      </w:r>
      <w:r w:rsidRPr="006E2E22">
        <w:rPr>
          <w:rFonts w:ascii="Arial" w:hAnsi="Arial"/>
          <w:spacing w:val="-2"/>
          <w:sz w:val="24"/>
          <w:lang w:val="fr-CA"/>
        </w:rPr>
        <w:t xml:space="preserve"> de plasma préréchauffé aux microtubes étiquetés</w:t>
      </w:r>
      <w:r w:rsidR="007B3FFC" w:rsidRPr="006E2E22">
        <w:rPr>
          <w:rFonts w:ascii="Arial" w:hAnsi="Arial"/>
          <w:spacing w:val="-2"/>
          <w:sz w:val="24"/>
          <w:lang w:val="fr-CA"/>
        </w:rPr>
        <w:t>.</w:t>
      </w:r>
    </w:p>
    <w:p w:rsidR="006E2E22" w:rsidRDefault="009A74DE" w:rsidP="00356DC3">
      <w:pPr>
        <w:numPr>
          <w:ilvl w:val="2"/>
          <w:numId w:val="13"/>
        </w:numPr>
        <w:tabs>
          <w:tab w:val="left" w:pos="-720"/>
          <w:tab w:val="left" w:pos="720"/>
          <w:tab w:val="left" w:pos="1134"/>
        </w:tabs>
        <w:suppressAutoHyphens/>
        <w:ind w:left="1843" w:hanging="709"/>
        <w:rPr>
          <w:rFonts w:ascii="Arial" w:hAnsi="Arial"/>
          <w:spacing w:val="-2"/>
          <w:sz w:val="24"/>
          <w:lang w:val="fr-CA"/>
        </w:rPr>
      </w:pPr>
      <w:r w:rsidRPr="006E2E22">
        <w:rPr>
          <w:rFonts w:ascii="Arial" w:hAnsi="Arial"/>
          <w:spacing w:val="-2"/>
          <w:sz w:val="24"/>
          <w:lang w:val="fr-CA"/>
        </w:rPr>
        <w:t>Incuber à 37±2 </w:t>
      </w:r>
      <w:r w:rsidRPr="006E2E22">
        <w:rPr>
          <w:rFonts w:ascii="Arial" w:hAnsi="Arial"/>
          <w:spacing w:val="-2"/>
          <w:sz w:val="24"/>
          <w:vertAlign w:val="superscript"/>
          <w:lang w:val="fr-CA"/>
        </w:rPr>
        <w:t>o</w:t>
      </w:r>
      <w:r w:rsidRPr="006E2E22">
        <w:rPr>
          <w:rFonts w:ascii="Arial" w:hAnsi="Arial"/>
          <w:spacing w:val="-2"/>
          <w:sz w:val="24"/>
          <w:lang w:val="fr-CA"/>
        </w:rPr>
        <w:t>C pendant 15 minutes. Consulter le dépliant pour des détails sur la prolongation du temps d</w:t>
      </w:r>
      <w:r w:rsidR="00287F2D">
        <w:rPr>
          <w:rFonts w:ascii="Arial" w:hAnsi="Arial"/>
          <w:spacing w:val="-2"/>
          <w:sz w:val="24"/>
          <w:lang w:val="fr-CA"/>
        </w:rPr>
        <w:t>’</w:t>
      </w:r>
      <w:r w:rsidRPr="006E2E22">
        <w:rPr>
          <w:rFonts w:ascii="Arial" w:hAnsi="Arial"/>
          <w:spacing w:val="-2"/>
          <w:sz w:val="24"/>
          <w:lang w:val="fr-CA"/>
        </w:rPr>
        <w:t>incubation et la remarque 8.</w:t>
      </w:r>
      <w:r w:rsidR="002C5409" w:rsidRPr="006E2E22">
        <w:rPr>
          <w:rFonts w:ascii="Arial" w:hAnsi="Arial"/>
          <w:spacing w:val="-2"/>
          <w:sz w:val="24"/>
          <w:lang w:val="fr-CA"/>
        </w:rPr>
        <w:t>15</w:t>
      </w:r>
      <w:r w:rsidRPr="006E2E22">
        <w:rPr>
          <w:rFonts w:ascii="Arial" w:hAnsi="Arial"/>
          <w:spacing w:val="-2"/>
          <w:sz w:val="24"/>
          <w:lang w:val="fr-CA"/>
        </w:rPr>
        <w:t>.</w:t>
      </w:r>
    </w:p>
    <w:p w:rsidR="006E2E22" w:rsidRDefault="009A74DE" w:rsidP="00356DC3">
      <w:pPr>
        <w:numPr>
          <w:ilvl w:val="2"/>
          <w:numId w:val="13"/>
        </w:numPr>
        <w:tabs>
          <w:tab w:val="left" w:pos="-720"/>
          <w:tab w:val="left" w:pos="720"/>
          <w:tab w:val="left" w:pos="1134"/>
        </w:tabs>
        <w:suppressAutoHyphens/>
        <w:ind w:left="1843" w:hanging="709"/>
        <w:rPr>
          <w:rFonts w:ascii="Arial" w:hAnsi="Arial"/>
          <w:spacing w:val="-2"/>
          <w:sz w:val="24"/>
          <w:lang w:val="fr-CA"/>
        </w:rPr>
      </w:pPr>
      <w:r w:rsidRPr="006E2E22">
        <w:rPr>
          <w:rFonts w:ascii="Arial" w:hAnsi="Arial"/>
          <w:spacing w:val="-2"/>
          <w:sz w:val="24"/>
          <w:lang w:val="fr-CA"/>
        </w:rPr>
        <w:t>Centrifuger les cartes de gel à la valeur prédéfinie de 895±25 rpm pendant 10 minutes.</w:t>
      </w:r>
    </w:p>
    <w:p w:rsidR="002C5409" w:rsidRPr="006E2E22" w:rsidRDefault="002C5409" w:rsidP="00356DC3">
      <w:pPr>
        <w:numPr>
          <w:ilvl w:val="2"/>
          <w:numId w:val="13"/>
        </w:numPr>
        <w:tabs>
          <w:tab w:val="left" w:pos="-720"/>
          <w:tab w:val="left" w:pos="720"/>
          <w:tab w:val="left" w:pos="1134"/>
        </w:tabs>
        <w:suppressAutoHyphens/>
        <w:ind w:left="1843" w:hanging="709"/>
        <w:rPr>
          <w:rFonts w:ascii="Arial" w:hAnsi="Arial"/>
          <w:spacing w:val="-2"/>
          <w:sz w:val="24"/>
          <w:lang w:val="fr-CA"/>
        </w:rPr>
      </w:pPr>
      <w:r w:rsidRPr="006E2E22">
        <w:rPr>
          <w:rFonts w:ascii="Arial" w:hAnsi="Arial"/>
          <w:spacing w:val="-2"/>
          <w:sz w:val="24"/>
          <w:lang w:val="fr-CA"/>
        </w:rPr>
        <w:t xml:space="preserve">Après la centrifugation, retirer la ou les cartes de la centrifugeuse et faire une lecture de chaque carte à la recherche des signes suivants : </w:t>
      </w:r>
    </w:p>
    <w:p w:rsidR="002C5409" w:rsidRPr="00D9091B" w:rsidRDefault="006E2E22" w:rsidP="00356DC3">
      <w:pPr>
        <w:numPr>
          <w:ilvl w:val="0"/>
          <w:numId w:val="8"/>
        </w:numPr>
        <w:tabs>
          <w:tab w:val="left" w:pos="-720"/>
          <w:tab w:val="left" w:pos="0"/>
        </w:tabs>
        <w:suppressAutoHyphens/>
        <w:ind w:left="2268" w:hanging="425"/>
        <w:rPr>
          <w:rFonts w:ascii="Arial" w:hAnsi="Arial"/>
          <w:spacing w:val="-2"/>
          <w:sz w:val="24"/>
          <w:lang w:val="fr-CA"/>
        </w:rPr>
      </w:pPr>
      <w:r>
        <w:rPr>
          <w:rFonts w:ascii="Arial" w:hAnsi="Arial"/>
          <w:spacing w:val="-2"/>
          <w:sz w:val="24"/>
          <w:lang w:val="fr-CA"/>
        </w:rPr>
        <w:tab/>
      </w:r>
      <w:r w:rsidR="002C5409">
        <w:rPr>
          <w:rFonts w:ascii="Arial" w:hAnsi="Arial"/>
          <w:spacing w:val="-2"/>
          <w:sz w:val="24"/>
          <w:lang w:val="fr-CA"/>
        </w:rPr>
        <w:t xml:space="preserve">La présence </w:t>
      </w:r>
      <w:r w:rsidR="002C5409" w:rsidRPr="0055014C">
        <w:rPr>
          <w:rFonts w:ascii="Arial" w:hAnsi="Arial"/>
          <w:sz w:val="24"/>
          <w:lang w:val="fr-CA"/>
        </w:rPr>
        <w:t>de globules rouges non agglutinés dans le gel est habituellement due à une interruption du cycle de centrifugation. Ces globules rouges sont rose foncé et flo</w:t>
      </w:r>
      <w:r w:rsidR="002C5409">
        <w:rPr>
          <w:rFonts w:ascii="Arial" w:hAnsi="Arial"/>
          <w:sz w:val="24"/>
          <w:lang w:val="fr-CA"/>
        </w:rPr>
        <w:t xml:space="preserve">us. </w:t>
      </w:r>
    </w:p>
    <w:p w:rsidR="002C5409" w:rsidRPr="00D9091B" w:rsidRDefault="006E2E22" w:rsidP="00356DC3">
      <w:pPr>
        <w:numPr>
          <w:ilvl w:val="0"/>
          <w:numId w:val="8"/>
        </w:numPr>
        <w:tabs>
          <w:tab w:val="left" w:pos="-720"/>
          <w:tab w:val="left" w:pos="0"/>
        </w:tabs>
        <w:suppressAutoHyphens/>
        <w:ind w:left="2268" w:hanging="425"/>
        <w:rPr>
          <w:rFonts w:ascii="Arial" w:hAnsi="Arial"/>
          <w:spacing w:val="-2"/>
          <w:sz w:val="24"/>
          <w:lang w:val="fr-CA"/>
        </w:rPr>
      </w:pPr>
      <w:r>
        <w:rPr>
          <w:rFonts w:ascii="Arial" w:hAnsi="Arial"/>
          <w:spacing w:val="-2"/>
          <w:sz w:val="24"/>
          <w:lang w:val="fr-CA"/>
        </w:rPr>
        <w:tab/>
      </w:r>
      <w:r w:rsidR="002C5409">
        <w:rPr>
          <w:rFonts w:ascii="Arial" w:hAnsi="Arial"/>
          <w:spacing w:val="-2"/>
          <w:sz w:val="24"/>
          <w:lang w:val="fr-CA"/>
        </w:rPr>
        <w:t xml:space="preserve">La </w:t>
      </w:r>
      <w:r w:rsidR="002C5409" w:rsidRPr="00D9091B">
        <w:rPr>
          <w:rFonts w:ascii="Arial" w:hAnsi="Arial"/>
          <w:spacing w:val="-2"/>
          <w:sz w:val="24"/>
          <w:lang w:val="fr-CA"/>
        </w:rPr>
        <w:t>présence d’une traînée de globules rouges qui forme une sorte de « J » le long d’une paroi est due à une mauvaise disposition des cartes dans le support à cartes.</w:t>
      </w:r>
    </w:p>
    <w:p w:rsidR="002C5409" w:rsidRDefault="006E2E22" w:rsidP="00356DC3">
      <w:pPr>
        <w:numPr>
          <w:ilvl w:val="0"/>
          <w:numId w:val="8"/>
        </w:numPr>
        <w:tabs>
          <w:tab w:val="left" w:pos="-720"/>
          <w:tab w:val="left" w:pos="0"/>
        </w:tabs>
        <w:suppressAutoHyphens/>
        <w:ind w:left="2268" w:hanging="425"/>
        <w:rPr>
          <w:rFonts w:ascii="Arial" w:hAnsi="Arial"/>
          <w:spacing w:val="-2"/>
          <w:sz w:val="24"/>
          <w:lang w:val="fr-CA"/>
        </w:rPr>
      </w:pPr>
      <w:r>
        <w:rPr>
          <w:rFonts w:ascii="Arial" w:hAnsi="Arial"/>
          <w:spacing w:val="-2"/>
          <w:sz w:val="24"/>
          <w:lang w:val="fr-CA"/>
        </w:rPr>
        <w:tab/>
      </w:r>
      <w:r w:rsidR="002C5409" w:rsidRPr="00D9091B">
        <w:rPr>
          <w:rFonts w:ascii="Arial" w:hAnsi="Arial"/>
          <w:spacing w:val="-2"/>
          <w:sz w:val="24"/>
          <w:lang w:val="fr-CA"/>
        </w:rPr>
        <w:t>Si la ou les cartes semblent mal centrifugées, répéter le test. Ne jamais centrifuger une autre fois la</w:t>
      </w:r>
      <w:r w:rsidR="002C5409">
        <w:rPr>
          <w:rFonts w:ascii="Arial" w:hAnsi="Arial"/>
          <w:spacing w:val="-2"/>
          <w:sz w:val="24"/>
          <w:lang w:val="fr-CA"/>
        </w:rPr>
        <w:t xml:space="preserve"> ou les cartes.</w:t>
      </w:r>
    </w:p>
    <w:p w:rsidR="006E2E22" w:rsidRDefault="009A74DE" w:rsidP="00356DC3">
      <w:pPr>
        <w:numPr>
          <w:ilvl w:val="2"/>
          <w:numId w:val="13"/>
        </w:numPr>
        <w:tabs>
          <w:tab w:val="left" w:pos="-720"/>
          <w:tab w:val="left" w:pos="1843"/>
        </w:tabs>
        <w:suppressAutoHyphens/>
        <w:rPr>
          <w:rFonts w:ascii="Arial" w:hAnsi="Arial"/>
          <w:spacing w:val="-2"/>
          <w:sz w:val="24"/>
          <w:lang w:val="fr-CA"/>
        </w:rPr>
      </w:pPr>
      <w:r>
        <w:rPr>
          <w:rFonts w:ascii="Arial" w:hAnsi="Arial"/>
          <w:spacing w:val="-2"/>
          <w:sz w:val="24"/>
          <w:lang w:val="fr-CA"/>
        </w:rPr>
        <w:t>Lire l</w:t>
      </w:r>
      <w:r w:rsidR="00287F2D">
        <w:rPr>
          <w:rFonts w:ascii="Arial" w:hAnsi="Arial"/>
          <w:spacing w:val="-2"/>
          <w:sz w:val="24"/>
          <w:lang w:val="fr-CA"/>
        </w:rPr>
        <w:t>’</w:t>
      </w:r>
      <w:r>
        <w:rPr>
          <w:rFonts w:ascii="Arial" w:hAnsi="Arial"/>
          <w:spacing w:val="-2"/>
          <w:sz w:val="24"/>
          <w:lang w:val="fr-CA"/>
        </w:rPr>
        <w:t>avant et l</w:t>
      </w:r>
      <w:r w:rsidR="00287F2D">
        <w:rPr>
          <w:rFonts w:ascii="Arial" w:hAnsi="Arial"/>
          <w:spacing w:val="-2"/>
          <w:sz w:val="24"/>
          <w:lang w:val="fr-CA"/>
        </w:rPr>
        <w:t>’</w:t>
      </w:r>
      <w:r>
        <w:rPr>
          <w:rFonts w:ascii="Arial" w:hAnsi="Arial"/>
          <w:spacing w:val="-2"/>
          <w:sz w:val="24"/>
          <w:lang w:val="fr-CA"/>
        </w:rPr>
        <w:t>arrière de chaque microtube</w:t>
      </w:r>
      <w:r w:rsidR="006E2E22">
        <w:rPr>
          <w:rFonts w:ascii="Arial" w:hAnsi="Arial"/>
          <w:spacing w:val="-2"/>
          <w:sz w:val="24"/>
          <w:lang w:val="fr-CA"/>
        </w:rPr>
        <w:t>.</w:t>
      </w:r>
    </w:p>
    <w:p w:rsidR="006E2E22" w:rsidRPr="0055014C" w:rsidRDefault="006E2E22" w:rsidP="006E2E22">
      <w:pPr>
        <w:pStyle w:val="ListParagraph"/>
        <w:jc w:val="center"/>
        <w:rPr>
          <w:rFonts w:ascii="Arial" w:hAnsi="Arial"/>
          <w:color w:val="000000"/>
          <w:sz w:val="24"/>
          <w:lang w:val="fr-CA"/>
        </w:rPr>
      </w:pPr>
    </w:p>
    <w:tbl>
      <w:tblPr>
        <w:tblW w:w="5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4360"/>
      </w:tblGrid>
      <w:tr w:rsidR="006E2E22" w:rsidRPr="0055014C" w:rsidTr="006E2E22">
        <w:tblPrEx>
          <w:tblCellMar>
            <w:top w:w="0" w:type="dxa"/>
            <w:bottom w:w="0" w:type="dxa"/>
          </w:tblCellMar>
        </w:tblPrEx>
        <w:trPr>
          <w:trHeight w:val="218"/>
          <w:jc w:val="center"/>
        </w:trPr>
        <w:tc>
          <w:tcPr>
            <w:tcW w:w="1306" w:type="dxa"/>
          </w:tcPr>
          <w:p w:rsidR="006E2E22" w:rsidRPr="0055014C" w:rsidRDefault="006E2E22" w:rsidP="00356DC3">
            <w:pPr>
              <w:keepNext/>
              <w:jc w:val="center"/>
              <w:rPr>
                <w:rFonts w:ascii="Arial" w:hAnsi="Arial"/>
                <w:b/>
                <w:lang w:val="fr-CA"/>
              </w:rPr>
            </w:pPr>
            <w:r w:rsidRPr="0055014C">
              <w:rPr>
                <w:rFonts w:ascii="Arial" w:hAnsi="Arial"/>
                <w:b/>
                <w:lang w:val="fr-CA"/>
              </w:rPr>
              <w:t>Code</w:t>
            </w:r>
          </w:p>
        </w:tc>
        <w:tc>
          <w:tcPr>
            <w:tcW w:w="4360" w:type="dxa"/>
          </w:tcPr>
          <w:p w:rsidR="006E2E22" w:rsidRPr="0055014C" w:rsidRDefault="006E2E22" w:rsidP="00356DC3">
            <w:pPr>
              <w:keepNext/>
              <w:jc w:val="center"/>
              <w:rPr>
                <w:rFonts w:ascii="Arial" w:hAnsi="Arial"/>
                <w:b/>
                <w:lang w:val="fr-CA"/>
              </w:rPr>
            </w:pPr>
            <w:r w:rsidRPr="0055014C">
              <w:rPr>
                <w:rFonts w:ascii="Arial" w:hAnsi="Arial"/>
                <w:b/>
                <w:lang w:val="fr-CA"/>
              </w:rPr>
              <w:t>Description de la réaction*</w:t>
            </w:r>
          </w:p>
        </w:tc>
      </w:tr>
      <w:tr w:rsidR="006E2E22" w:rsidRPr="0055014C" w:rsidTr="006E2E22">
        <w:tblPrEx>
          <w:tblCellMar>
            <w:top w:w="0" w:type="dxa"/>
            <w:bottom w:w="0" w:type="dxa"/>
          </w:tblCellMar>
        </w:tblPrEx>
        <w:trPr>
          <w:trHeight w:val="1088"/>
          <w:jc w:val="center"/>
        </w:trPr>
        <w:tc>
          <w:tcPr>
            <w:tcW w:w="1306" w:type="dxa"/>
          </w:tcPr>
          <w:p w:rsidR="006E2E22" w:rsidRPr="0055014C" w:rsidRDefault="006E2E22" w:rsidP="00356DC3">
            <w:pPr>
              <w:keepNext/>
              <w:jc w:val="center"/>
              <w:rPr>
                <w:rFonts w:ascii="Arial" w:hAnsi="Arial"/>
                <w:lang w:val="fr-CA"/>
              </w:rPr>
            </w:pPr>
            <w:r w:rsidRPr="0055014C">
              <w:rPr>
                <w:rFonts w:ascii="Arial" w:hAnsi="Arial"/>
                <w:lang w:val="fr-CA"/>
              </w:rPr>
              <w:t>Nég</w:t>
            </w:r>
          </w:p>
        </w:tc>
        <w:tc>
          <w:tcPr>
            <w:tcW w:w="4360" w:type="dxa"/>
          </w:tcPr>
          <w:p w:rsidR="006E2E22" w:rsidRPr="0055014C" w:rsidRDefault="006E2E22" w:rsidP="00356DC3">
            <w:pPr>
              <w:keepNext/>
              <w:rPr>
                <w:rFonts w:ascii="Arial" w:hAnsi="Arial"/>
                <w:lang w:val="fr-CA"/>
              </w:rPr>
            </w:pPr>
            <w:r w:rsidRPr="0055014C">
              <w:rPr>
                <w:rFonts w:ascii="Arial" w:hAnsi="Arial"/>
                <w:lang w:val="fr-CA"/>
              </w:rPr>
              <w:t>Pas d’agglutination ni d’hémolyse; des globules rouges non agglutinés forment un culot bien défini au fond du microtube. Voir Remarque 8.1 si quelques cellules non agglutinées sont piégées à la surface ou sur les côtés du gel.</w:t>
            </w:r>
          </w:p>
        </w:tc>
      </w:tr>
      <w:tr w:rsidR="006E2E22" w:rsidRPr="0055014C" w:rsidTr="006E2E22">
        <w:tblPrEx>
          <w:tblCellMar>
            <w:top w:w="0" w:type="dxa"/>
            <w:bottom w:w="0" w:type="dxa"/>
          </w:tblCellMar>
        </w:tblPrEx>
        <w:trPr>
          <w:trHeight w:val="662"/>
          <w:jc w:val="center"/>
        </w:trPr>
        <w:tc>
          <w:tcPr>
            <w:tcW w:w="1306" w:type="dxa"/>
          </w:tcPr>
          <w:p w:rsidR="006E2E22" w:rsidRPr="0055014C" w:rsidRDefault="006E2E22" w:rsidP="00356DC3">
            <w:pPr>
              <w:keepNext/>
              <w:jc w:val="center"/>
              <w:rPr>
                <w:rFonts w:ascii="Arial" w:hAnsi="Arial"/>
                <w:lang w:val="fr-CA"/>
              </w:rPr>
            </w:pPr>
            <w:r w:rsidRPr="0055014C">
              <w:rPr>
                <w:rFonts w:ascii="Arial" w:hAnsi="Arial"/>
                <w:lang w:val="fr-CA"/>
              </w:rPr>
              <w:t xml:space="preserve">1 </w:t>
            </w:r>
          </w:p>
        </w:tc>
        <w:tc>
          <w:tcPr>
            <w:tcW w:w="4360" w:type="dxa"/>
          </w:tcPr>
          <w:p w:rsidR="006E2E22" w:rsidRPr="0055014C" w:rsidRDefault="006E2E22" w:rsidP="00356DC3">
            <w:pPr>
              <w:keepNext/>
              <w:rPr>
                <w:rFonts w:ascii="Arial" w:hAnsi="Arial"/>
                <w:lang w:val="fr-CA"/>
              </w:rPr>
            </w:pPr>
            <w:r w:rsidRPr="0055014C">
              <w:rPr>
                <w:rFonts w:ascii="Arial" w:hAnsi="Arial"/>
                <w:lang w:val="fr-CA"/>
              </w:rPr>
              <w:t>Agglutination surtout observée dans la moitié inférieure du microtube. Les globules rouges non agglutinés forment un culot au fond du microtube.</w:t>
            </w:r>
          </w:p>
        </w:tc>
      </w:tr>
      <w:tr w:rsidR="006E2E22" w:rsidRPr="0055014C" w:rsidTr="006E2E22">
        <w:tblPrEx>
          <w:tblCellMar>
            <w:top w:w="0" w:type="dxa"/>
            <w:bottom w:w="0" w:type="dxa"/>
          </w:tblCellMar>
        </w:tblPrEx>
        <w:trPr>
          <w:trHeight w:val="653"/>
          <w:jc w:val="center"/>
        </w:trPr>
        <w:tc>
          <w:tcPr>
            <w:tcW w:w="1306" w:type="dxa"/>
          </w:tcPr>
          <w:p w:rsidR="006E2E22" w:rsidRPr="0055014C" w:rsidRDefault="006E2E22" w:rsidP="00356DC3">
            <w:pPr>
              <w:keepNext/>
              <w:jc w:val="center"/>
              <w:rPr>
                <w:rFonts w:ascii="Arial" w:hAnsi="Arial"/>
                <w:lang w:val="fr-CA"/>
              </w:rPr>
            </w:pPr>
            <w:r w:rsidRPr="0055014C">
              <w:rPr>
                <w:rFonts w:ascii="Arial" w:hAnsi="Arial"/>
                <w:lang w:val="fr-CA"/>
              </w:rPr>
              <w:t xml:space="preserve">2 </w:t>
            </w:r>
          </w:p>
        </w:tc>
        <w:tc>
          <w:tcPr>
            <w:tcW w:w="4360" w:type="dxa"/>
          </w:tcPr>
          <w:p w:rsidR="006E2E22" w:rsidRPr="0055014C" w:rsidRDefault="006E2E22" w:rsidP="00356DC3">
            <w:pPr>
              <w:keepNext/>
              <w:rPr>
                <w:rFonts w:ascii="Arial" w:hAnsi="Arial"/>
                <w:lang w:val="fr-CA"/>
              </w:rPr>
            </w:pPr>
            <w:r w:rsidRPr="0055014C">
              <w:rPr>
                <w:rFonts w:ascii="Arial" w:hAnsi="Arial"/>
                <w:lang w:val="fr-CA"/>
              </w:rPr>
              <w:t xml:space="preserve">Agglutinats dispersés tout le long de la colonne de gel. Quelques agglutinats peuvent être présents au fond du microtube. </w:t>
            </w:r>
          </w:p>
        </w:tc>
      </w:tr>
      <w:tr w:rsidR="006E2E22" w:rsidRPr="0055014C" w:rsidTr="006E2E22">
        <w:tblPrEx>
          <w:tblCellMar>
            <w:top w:w="0" w:type="dxa"/>
            <w:bottom w:w="0" w:type="dxa"/>
          </w:tblCellMar>
        </w:tblPrEx>
        <w:trPr>
          <w:trHeight w:val="653"/>
          <w:jc w:val="center"/>
        </w:trPr>
        <w:tc>
          <w:tcPr>
            <w:tcW w:w="1306" w:type="dxa"/>
          </w:tcPr>
          <w:p w:rsidR="006E2E22" w:rsidRPr="0055014C" w:rsidRDefault="006E2E22" w:rsidP="00356DC3">
            <w:pPr>
              <w:keepNext/>
              <w:jc w:val="center"/>
              <w:rPr>
                <w:rFonts w:ascii="Arial" w:hAnsi="Arial"/>
                <w:lang w:val="fr-CA"/>
              </w:rPr>
            </w:pPr>
            <w:r w:rsidRPr="0055014C">
              <w:rPr>
                <w:rFonts w:ascii="Arial" w:hAnsi="Arial"/>
                <w:lang w:val="fr-CA"/>
              </w:rPr>
              <w:t xml:space="preserve">3 </w:t>
            </w:r>
          </w:p>
        </w:tc>
        <w:tc>
          <w:tcPr>
            <w:tcW w:w="4360" w:type="dxa"/>
          </w:tcPr>
          <w:p w:rsidR="006E2E22" w:rsidRPr="0055014C" w:rsidRDefault="006E2E22" w:rsidP="00356DC3">
            <w:pPr>
              <w:keepNext/>
              <w:rPr>
                <w:rFonts w:ascii="Arial" w:hAnsi="Arial"/>
                <w:lang w:val="fr-CA"/>
              </w:rPr>
            </w:pPr>
            <w:r w:rsidRPr="0055014C">
              <w:rPr>
                <w:rFonts w:ascii="Arial" w:hAnsi="Arial"/>
                <w:lang w:val="fr-CA"/>
              </w:rPr>
              <w:t>La plupart des agglutinats sont piégés dans la moitié supérieure du microtube. Voir Remarque 8.3.</w:t>
            </w:r>
          </w:p>
        </w:tc>
      </w:tr>
      <w:tr w:rsidR="006E2E22" w:rsidRPr="0055014C" w:rsidTr="006E2E22">
        <w:tblPrEx>
          <w:tblCellMar>
            <w:top w:w="0" w:type="dxa"/>
            <w:bottom w:w="0" w:type="dxa"/>
          </w:tblCellMar>
        </w:tblPrEx>
        <w:trPr>
          <w:trHeight w:val="870"/>
          <w:jc w:val="center"/>
        </w:trPr>
        <w:tc>
          <w:tcPr>
            <w:tcW w:w="1306" w:type="dxa"/>
          </w:tcPr>
          <w:p w:rsidR="006E2E22" w:rsidRPr="0055014C" w:rsidRDefault="006E2E22" w:rsidP="00356DC3">
            <w:pPr>
              <w:keepNext/>
              <w:jc w:val="center"/>
              <w:rPr>
                <w:rFonts w:ascii="Arial" w:hAnsi="Arial"/>
                <w:lang w:val="fr-CA"/>
              </w:rPr>
            </w:pPr>
            <w:r w:rsidRPr="0055014C">
              <w:rPr>
                <w:rFonts w:ascii="Arial" w:hAnsi="Arial"/>
                <w:lang w:val="fr-CA"/>
              </w:rPr>
              <w:t xml:space="preserve">4 </w:t>
            </w:r>
          </w:p>
        </w:tc>
        <w:tc>
          <w:tcPr>
            <w:tcW w:w="4360" w:type="dxa"/>
          </w:tcPr>
          <w:p w:rsidR="006E2E22" w:rsidRPr="0055014C" w:rsidRDefault="006E2E22" w:rsidP="00356DC3">
            <w:pPr>
              <w:keepNext/>
              <w:rPr>
                <w:rFonts w:ascii="Arial" w:hAnsi="Arial"/>
                <w:lang w:val="fr-CA"/>
              </w:rPr>
            </w:pPr>
            <w:r w:rsidRPr="0055014C">
              <w:rPr>
                <w:rFonts w:ascii="Arial" w:hAnsi="Arial"/>
                <w:lang w:val="fr-CA"/>
              </w:rPr>
              <w:t xml:space="preserve">Bande solide de globules rouges agglutinés à la surface du gel. Quelques agglutinats peuvent descendre dans le gel, mais restent à proximité de la bande principale. </w:t>
            </w:r>
          </w:p>
        </w:tc>
      </w:tr>
      <w:tr w:rsidR="006E2E22" w:rsidRPr="0055014C" w:rsidTr="006E2E22">
        <w:tblPrEx>
          <w:tblCellMar>
            <w:top w:w="0" w:type="dxa"/>
            <w:bottom w:w="0" w:type="dxa"/>
          </w:tblCellMar>
        </w:tblPrEx>
        <w:trPr>
          <w:trHeight w:val="870"/>
          <w:jc w:val="center"/>
        </w:trPr>
        <w:tc>
          <w:tcPr>
            <w:tcW w:w="1306" w:type="dxa"/>
          </w:tcPr>
          <w:p w:rsidR="006E2E22" w:rsidRPr="0055014C" w:rsidRDefault="006E2E22" w:rsidP="00356DC3">
            <w:pPr>
              <w:keepNext/>
              <w:jc w:val="center"/>
              <w:rPr>
                <w:rFonts w:ascii="Arial" w:hAnsi="Arial"/>
                <w:lang w:val="fr-CA"/>
              </w:rPr>
            </w:pPr>
            <w:r w:rsidRPr="0055014C">
              <w:rPr>
                <w:rFonts w:ascii="Arial" w:hAnsi="Arial"/>
                <w:lang w:val="fr-CA"/>
              </w:rPr>
              <w:t>H</w:t>
            </w:r>
          </w:p>
        </w:tc>
        <w:tc>
          <w:tcPr>
            <w:tcW w:w="4360" w:type="dxa"/>
          </w:tcPr>
          <w:p w:rsidR="006E2E22" w:rsidRPr="0055014C" w:rsidRDefault="006E2E22" w:rsidP="00356DC3">
            <w:pPr>
              <w:keepNext/>
              <w:rPr>
                <w:rFonts w:ascii="Arial" w:hAnsi="Arial"/>
                <w:lang w:val="fr-CA"/>
              </w:rPr>
            </w:pPr>
            <w:r w:rsidRPr="0055014C">
              <w:rPr>
                <w:rFonts w:ascii="Arial" w:hAnsi="Arial"/>
                <w:lang w:val="fr-CA"/>
              </w:rPr>
              <w:t xml:space="preserve">Hémolyse et absence ou presque de globules rouges dans le gel. Inscrivez la présence d’hémolyse dans le microtube, mais non dans l’échantillon. </w:t>
            </w:r>
          </w:p>
        </w:tc>
      </w:tr>
      <w:tr w:rsidR="006E2E22" w:rsidRPr="0055014C" w:rsidTr="006E2E22">
        <w:tblPrEx>
          <w:tblCellMar>
            <w:top w:w="0" w:type="dxa"/>
            <w:bottom w:w="0" w:type="dxa"/>
          </w:tblCellMar>
        </w:tblPrEx>
        <w:trPr>
          <w:trHeight w:val="653"/>
          <w:jc w:val="center"/>
        </w:trPr>
        <w:tc>
          <w:tcPr>
            <w:tcW w:w="1306" w:type="dxa"/>
          </w:tcPr>
          <w:p w:rsidR="006E2E22" w:rsidRPr="0055014C" w:rsidRDefault="006E2E22" w:rsidP="00356DC3">
            <w:pPr>
              <w:keepNext/>
              <w:jc w:val="center"/>
              <w:rPr>
                <w:rFonts w:ascii="Arial" w:hAnsi="Arial"/>
                <w:lang w:val="fr-CA"/>
              </w:rPr>
            </w:pPr>
            <w:r w:rsidRPr="0055014C">
              <w:rPr>
                <w:rFonts w:ascii="Arial" w:hAnsi="Arial"/>
                <w:lang w:val="fr-CA"/>
              </w:rPr>
              <w:t>cm</w:t>
            </w:r>
          </w:p>
        </w:tc>
        <w:tc>
          <w:tcPr>
            <w:tcW w:w="4360" w:type="dxa"/>
          </w:tcPr>
          <w:p w:rsidR="006E2E22" w:rsidRPr="0055014C" w:rsidRDefault="006E2E22" w:rsidP="00356DC3">
            <w:pPr>
              <w:keepNext/>
              <w:rPr>
                <w:rFonts w:ascii="Arial" w:hAnsi="Arial"/>
                <w:lang w:val="fr-CA"/>
              </w:rPr>
            </w:pPr>
            <w:r w:rsidRPr="0055014C">
              <w:rPr>
                <w:rFonts w:ascii="Arial" w:hAnsi="Arial"/>
                <w:lang w:val="fr-CA"/>
              </w:rPr>
              <w:t xml:space="preserve">Bande de globules rouges agglutinés à la surface du gel et culot de globules rouges non agglutinés au fond du microtube. </w:t>
            </w:r>
          </w:p>
        </w:tc>
      </w:tr>
      <w:tr w:rsidR="006E2E22" w:rsidRPr="0055014C" w:rsidTr="006E2E22">
        <w:tblPrEx>
          <w:tblCellMar>
            <w:top w:w="0" w:type="dxa"/>
            <w:bottom w:w="0" w:type="dxa"/>
          </w:tblCellMar>
        </w:tblPrEx>
        <w:trPr>
          <w:trHeight w:val="218"/>
          <w:jc w:val="center"/>
        </w:trPr>
        <w:tc>
          <w:tcPr>
            <w:tcW w:w="1306" w:type="dxa"/>
          </w:tcPr>
          <w:p w:rsidR="006E2E22" w:rsidRPr="0055014C" w:rsidRDefault="006E2E22" w:rsidP="00356DC3">
            <w:pPr>
              <w:keepNext/>
              <w:jc w:val="center"/>
              <w:rPr>
                <w:rFonts w:ascii="Arial" w:hAnsi="Arial"/>
                <w:lang w:val="fr-CA"/>
              </w:rPr>
            </w:pPr>
            <w:r w:rsidRPr="0055014C">
              <w:rPr>
                <w:rFonts w:ascii="Arial" w:hAnsi="Arial"/>
                <w:lang w:val="fr-CA"/>
              </w:rPr>
              <w:t>NT ou NF</w:t>
            </w:r>
          </w:p>
        </w:tc>
        <w:tc>
          <w:tcPr>
            <w:tcW w:w="4360" w:type="dxa"/>
          </w:tcPr>
          <w:p w:rsidR="006E2E22" w:rsidRPr="0055014C" w:rsidRDefault="006E2E22" w:rsidP="00356DC3">
            <w:pPr>
              <w:keepNext/>
              <w:rPr>
                <w:rFonts w:ascii="Arial" w:hAnsi="Arial"/>
                <w:lang w:val="fr-CA"/>
              </w:rPr>
            </w:pPr>
            <w:r w:rsidRPr="0055014C">
              <w:rPr>
                <w:rFonts w:ascii="Arial" w:hAnsi="Arial"/>
                <w:lang w:val="fr-CA"/>
              </w:rPr>
              <w:t>Non testé ou non fait</w:t>
            </w:r>
          </w:p>
        </w:tc>
      </w:tr>
      <w:tr w:rsidR="006E2E22" w:rsidRPr="0055014C" w:rsidTr="006E2E22">
        <w:tblPrEx>
          <w:tblCellMar>
            <w:top w:w="0" w:type="dxa"/>
            <w:bottom w:w="0" w:type="dxa"/>
          </w:tblCellMar>
        </w:tblPrEx>
        <w:trPr>
          <w:trHeight w:val="445"/>
          <w:jc w:val="center"/>
        </w:trPr>
        <w:tc>
          <w:tcPr>
            <w:tcW w:w="5665" w:type="dxa"/>
            <w:gridSpan w:val="2"/>
          </w:tcPr>
          <w:p w:rsidR="006E2E22" w:rsidRPr="0055014C" w:rsidRDefault="006E2E22" w:rsidP="00356DC3">
            <w:pPr>
              <w:rPr>
                <w:rFonts w:ascii="Arial" w:hAnsi="Arial"/>
                <w:lang w:val="fr-CA"/>
              </w:rPr>
            </w:pPr>
            <w:r w:rsidRPr="00B576ED">
              <w:rPr>
                <w:rFonts w:ascii="Arial" w:hAnsi="Arial"/>
                <w:lang w:val="fr-CA"/>
              </w:rPr>
              <w:t>*</w:t>
            </w:r>
            <w:r w:rsidRPr="0055014C">
              <w:rPr>
                <w:rFonts w:ascii="Arial" w:hAnsi="Arial"/>
                <w:lang w:val="fr-CA"/>
              </w:rPr>
              <w:t xml:space="preserve"> Ne pas utiliser de demi-niveau, d’exposant ou de signes « plus ». </w:t>
            </w:r>
          </w:p>
          <w:p w:rsidR="006E2E22" w:rsidRPr="0055014C" w:rsidRDefault="006E2E22" w:rsidP="00356DC3">
            <w:pPr>
              <w:rPr>
                <w:rFonts w:ascii="Arial" w:hAnsi="Arial"/>
                <w:lang w:val="fr-CA"/>
              </w:rPr>
            </w:pPr>
          </w:p>
        </w:tc>
      </w:tr>
    </w:tbl>
    <w:p w:rsidR="006E2E22" w:rsidRDefault="006E2E22" w:rsidP="006E2E22">
      <w:pPr>
        <w:ind w:left="2160"/>
        <w:rPr>
          <w:rFonts w:ascii="Arial" w:hAnsi="Arial"/>
          <w:color w:val="000000"/>
          <w:spacing w:val="-2"/>
          <w:sz w:val="24"/>
          <w:lang w:val="fr-CA"/>
        </w:rPr>
      </w:pPr>
      <w:r w:rsidRPr="00D9091B">
        <w:rPr>
          <w:rFonts w:ascii="Arial" w:hAnsi="Arial"/>
          <w:color w:val="000000"/>
          <w:spacing w:val="-2"/>
          <w:sz w:val="24"/>
          <w:lang w:val="fr-CA"/>
        </w:rPr>
        <w:t>Voir la section de discussion sur chaque niveau dans le guide d’interprétation MTS pour plus d’information</w:t>
      </w:r>
      <w:r>
        <w:rPr>
          <w:rFonts w:ascii="Arial" w:hAnsi="Arial"/>
          <w:color w:val="000000"/>
          <w:spacing w:val="-2"/>
          <w:sz w:val="24"/>
          <w:lang w:val="fr-CA"/>
        </w:rPr>
        <w:t>.</w:t>
      </w:r>
    </w:p>
    <w:p w:rsidR="006E2E22" w:rsidRDefault="006E2E22" w:rsidP="006E2E22">
      <w:pPr>
        <w:ind w:left="2160"/>
        <w:rPr>
          <w:rFonts w:ascii="Arial" w:hAnsi="Arial"/>
          <w:sz w:val="24"/>
          <w:lang w:val="fr-CA"/>
        </w:rPr>
      </w:pPr>
      <w:r>
        <w:rPr>
          <w:rFonts w:ascii="Arial" w:hAnsi="Arial"/>
          <w:color w:val="000000"/>
          <w:spacing w:val="-2"/>
          <w:sz w:val="24"/>
          <w:lang w:val="fr-CA"/>
        </w:rPr>
        <w:br w:type="page"/>
      </w:r>
    </w:p>
    <w:p w:rsidR="009A74DE" w:rsidRDefault="009A74DE">
      <w:pPr>
        <w:numPr>
          <w:ilvl w:val="0"/>
          <w:numId w:val="1"/>
        </w:numPr>
        <w:rPr>
          <w:rFonts w:ascii="Arial" w:hAnsi="Arial"/>
          <w:b/>
          <w:sz w:val="28"/>
          <w:lang w:val="fr-CA"/>
        </w:rPr>
      </w:pPr>
      <w:r>
        <w:rPr>
          <w:rFonts w:ascii="Arial" w:hAnsi="Arial"/>
          <w:b/>
          <w:sz w:val="28"/>
          <w:lang w:val="fr-CA"/>
        </w:rPr>
        <w:t>Documentation</w:t>
      </w:r>
    </w:p>
    <w:p w:rsidR="009A74DE" w:rsidRDefault="009A74DE">
      <w:pPr>
        <w:rPr>
          <w:rFonts w:ascii="Arial" w:hAnsi="Arial"/>
          <w:sz w:val="24"/>
          <w:lang w:val="fr-CA"/>
        </w:rPr>
      </w:pPr>
    </w:p>
    <w:p w:rsidR="009A74DE" w:rsidRDefault="009A74DE" w:rsidP="00356DC3">
      <w:pPr>
        <w:numPr>
          <w:ilvl w:val="1"/>
          <w:numId w:val="5"/>
        </w:numPr>
        <w:rPr>
          <w:rFonts w:ascii="Arial" w:hAnsi="Arial"/>
          <w:sz w:val="24"/>
          <w:lang w:val="fr-CA"/>
        </w:rPr>
      </w:pPr>
      <w:r>
        <w:rPr>
          <w:rFonts w:ascii="Arial" w:hAnsi="Arial"/>
          <w:sz w:val="24"/>
          <w:lang w:val="fr-CA"/>
        </w:rPr>
        <w:t>L</w:t>
      </w:r>
      <w:r w:rsidR="00287F2D">
        <w:rPr>
          <w:rFonts w:ascii="Arial" w:hAnsi="Arial"/>
          <w:sz w:val="24"/>
          <w:lang w:val="fr-CA"/>
        </w:rPr>
        <w:t>’</w:t>
      </w:r>
      <w:r>
        <w:rPr>
          <w:rFonts w:ascii="Arial" w:hAnsi="Arial"/>
          <w:sz w:val="24"/>
          <w:lang w:val="fr-CA"/>
        </w:rPr>
        <w:t>absence d</w:t>
      </w:r>
      <w:r w:rsidR="00287F2D">
        <w:rPr>
          <w:rFonts w:ascii="Arial" w:hAnsi="Arial"/>
          <w:sz w:val="24"/>
          <w:lang w:val="fr-CA"/>
        </w:rPr>
        <w:t>’</w:t>
      </w:r>
      <w:r>
        <w:rPr>
          <w:rFonts w:ascii="Arial" w:hAnsi="Arial"/>
          <w:sz w:val="24"/>
          <w:lang w:val="fr-CA"/>
        </w:rPr>
        <w:t>agglutination ou d</w:t>
      </w:r>
      <w:r w:rsidR="00287F2D">
        <w:rPr>
          <w:rFonts w:ascii="Arial" w:hAnsi="Arial"/>
          <w:sz w:val="24"/>
          <w:lang w:val="fr-CA"/>
        </w:rPr>
        <w:t>’</w:t>
      </w:r>
      <w:r>
        <w:rPr>
          <w:rFonts w:ascii="Arial" w:hAnsi="Arial"/>
          <w:sz w:val="24"/>
          <w:lang w:val="fr-CA"/>
        </w:rPr>
        <w:t>hémolyse des globules rouges, après l</w:t>
      </w:r>
      <w:r w:rsidR="00287F2D">
        <w:rPr>
          <w:rFonts w:ascii="Arial" w:hAnsi="Arial"/>
          <w:sz w:val="24"/>
          <w:lang w:val="fr-CA"/>
        </w:rPr>
        <w:t>’</w:t>
      </w:r>
      <w:r>
        <w:rPr>
          <w:rFonts w:ascii="Arial" w:hAnsi="Arial"/>
          <w:sz w:val="24"/>
          <w:lang w:val="fr-CA"/>
        </w:rPr>
        <w:t>utilisation de la technique de préréchauffement indique habituellement qu</w:t>
      </w:r>
      <w:r w:rsidR="00287F2D">
        <w:rPr>
          <w:rFonts w:ascii="Arial" w:hAnsi="Arial"/>
          <w:sz w:val="24"/>
          <w:lang w:val="fr-CA"/>
        </w:rPr>
        <w:t>’</w:t>
      </w:r>
      <w:r>
        <w:rPr>
          <w:rFonts w:ascii="Arial" w:hAnsi="Arial"/>
          <w:sz w:val="24"/>
          <w:lang w:val="fr-CA"/>
        </w:rPr>
        <w:t>il n</w:t>
      </w:r>
      <w:r w:rsidR="00287F2D">
        <w:rPr>
          <w:rFonts w:ascii="Arial" w:hAnsi="Arial"/>
          <w:sz w:val="24"/>
          <w:lang w:val="fr-CA"/>
        </w:rPr>
        <w:t>’</w:t>
      </w:r>
      <w:r>
        <w:rPr>
          <w:rFonts w:ascii="Arial" w:hAnsi="Arial"/>
          <w:sz w:val="24"/>
          <w:lang w:val="fr-CA"/>
        </w:rPr>
        <w:t>y avait pas d</w:t>
      </w:r>
      <w:r w:rsidR="00287F2D">
        <w:rPr>
          <w:rFonts w:ascii="Arial" w:hAnsi="Arial"/>
          <w:sz w:val="24"/>
          <w:lang w:val="fr-CA"/>
        </w:rPr>
        <w:t>’</w:t>
      </w:r>
      <w:r>
        <w:rPr>
          <w:rFonts w:ascii="Arial" w:hAnsi="Arial"/>
          <w:sz w:val="24"/>
          <w:lang w:val="fr-CA"/>
        </w:rPr>
        <w:t>anticorps irréguliers cliniquement significatifs ou qu</w:t>
      </w:r>
      <w:r w:rsidR="00287F2D">
        <w:rPr>
          <w:rFonts w:ascii="Arial" w:hAnsi="Arial"/>
          <w:sz w:val="24"/>
          <w:lang w:val="fr-CA"/>
        </w:rPr>
        <w:t>’</w:t>
      </w:r>
      <w:r>
        <w:rPr>
          <w:rFonts w:ascii="Arial" w:hAnsi="Arial"/>
          <w:sz w:val="24"/>
          <w:lang w:val="fr-CA"/>
        </w:rPr>
        <w:t>ils étaient indécelables.</w:t>
      </w:r>
    </w:p>
    <w:p w:rsidR="009A74DE" w:rsidRDefault="009A74DE">
      <w:pPr>
        <w:ind w:left="720"/>
        <w:rPr>
          <w:rFonts w:ascii="Arial" w:hAnsi="Arial"/>
          <w:sz w:val="24"/>
          <w:lang w:val="fr-CA"/>
        </w:rPr>
      </w:pPr>
    </w:p>
    <w:p w:rsidR="009A74DE" w:rsidRDefault="009A74DE" w:rsidP="00356DC3">
      <w:pPr>
        <w:numPr>
          <w:ilvl w:val="1"/>
          <w:numId w:val="5"/>
        </w:numPr>
        <w:rPr>
          <w:rFonts w:ascii="Arial" w:hAnsi="Arial"/>
          <w:sz w:val="24"/>
          <w:lang w:val="fr-CA"/>
        </w:rPr>
      </w:pPr>
      <w:r>
        <w:rPr>
          <w:rFonts w:ascii="Arial" w:hAnsi="Arial"/>
          <w:sz w:val="24"/>
          <w:lang w:val="fr-CA"/>
        </w:rPr>
        <w:t>La présence d</w:t>
      </w:r>
      <w:r w:rsidR="00287F2D">
        <w:rPr>
          <w:rFonts w:ascii="Arial" w:hAnsi="Arial"/>
          <w:sz w:val="24"/>
          <w:lang w:val="fr-CA"/>
        </w:rPr>
        <w:t>’</w:t>
      </w:r>
      <w:r>
        <w:rPr>
          <w:rFonts w:ascii="Arial" w:hAnsi="Arial"/>
          <w:sz w:val="24"/>
          <w:lang w:val="fr-CA"/>
        </w:rPr>
        <w:t>agglutination ou d</w:t>
      </w:r>
      <w:r w:rsidR="00287F2D">
        <w:rPr>
          <w:rFonts w:ascii="Arial" w:hAnsi="Arial"/>
          <w:sz w:val="24"/>
          <w:lang w:val="fr-CA"/>
        </w:rPr>
        <w:t>’</w:t>
      </w:r>
      <w:r>
        <w:rPr>
          <w:rFonts w:ascii="Arial" w:hAnsi="Arial"/>
          <w:sz w:val="24"/>
          <w:lang w:val="fr-CA"/>
        </w:rPr>
        <w:t>hémolyse des globules rouges, après l</w:t>
      </w:r>
      <w:r w:rsidR="00287F2D">
        <w:rPr>
          <w:rFonts w:ascii="Arial" w:hAnsi="Arial"/>
          <w:sz w:val="24"/>
          <w:lang w:val="fr-CA"/>
        </w:rPr>
        <w:t>’</w:t>
      </w:r>
      <w:r>
        <w:rPr>
          <w:rFonts w:ascii="Arial" w:hAnsi="Arial"/>
          <w:sz w:val="24"/>
          <w:lang w:val="fr-CA"/>
        </w:rPr>
        <w:t>utilisation de la technique de préréchauffement indique la présence d</w:t>
      </w:r>
      <w:r w:rsidR="00287F2D">
        <w:rPr>
          <w:rFonts w:ascii="Arial" w:hAnsi="Arial"/>
          <w:sz w:val="24"/>
          <w:lang w:val="fr-CA"/>
        </w:rPr>
        <w:t>’</w:t>
      </w:r>
      <w:r>
        <w:rPr>
          <w:rFonts w:ascii="Arial" w:hAnsi="Arial"/>
          <w:sz w:val="24"/>
          <w:lang w:val="fr-CA"/>
        </w:rPr>
        <w:t>anticorps irréguliers cliniquement significatifs.</w:t>
      </w:r>
    </w:p>
    <w:p w:rsidR="009A74DE" w:rsidRDefault="009A74DE">
      <w:pPr>
        <w:ind w:left="720"/>
        <w:rPr>
          <w:rFonts w:ascii="Arial" w:hAnsi="Arial"/>
          <w:sz w:val="24"/>
          <w:lang w:val="fr-CA"/>
        </w:rPr>
      </w:pPr>
    </w:p>
    <w:p w:rsidR="0063745C" w:rsidRPr="0063745C" w:rsidRDefault="0063745C" w:rsidP="00356DC3">
      <w:pPr>
        <w:numPr>
          <w:ilvl w:val="1"/>
          <w:numId w:val="5"/>
        </w:numPr>
        <w:tabs>
          <w:tab w:val="left" w:pos="-720"/>
          <w:tab w:val="left" w:pos="0"/>
        </w:tabs>
        <w:suppressAutoHyphens/>
        <w:rPr>
          <w:rFonts w:ascii="Arial" w:hAnsi="Arial"/>
          <w:spacing w:val="-2"/>
          <w:sz w:val="24"/>
          <w:lang w:val="fr-CA"/>
        </w:rPr>
      </w:pPr>
      <w:r>
        <w:rPr>
          <w:rFonts w:ascii="Arial" w:hAnsi="Arial"/>
          <w:sz w:val="24"/>
          <w:lang w:val="fr-CA"/>
        </w:rPr>
        <w:t>L’hémolyse en l’absence d’un échantillon hémolysé ou l’agglutination de tout globule rouge dans la carte de gel signale la présence d’un anticorps contre l’antigène correspondant présent sur cet échantillon de cellules commerciales</w:t>
      </w:r>
    </w:p>
    <w:p w:rsidR="0063745C" w:rsidRDefault="0063745C" w:rsidP="0063745C">
      <w:pPr>
        <w:pStyle w:val="ListParagraph"/>
        <w:rPr>
          <w:rFonts w:ascii="Arial" w:hAnsi="Arial"/>
          <w:spacing w:val="-2"/>
          <w:sz w:val="24"/>
          <w:lang w:val="fr-CA"/>
        </w:rPr>
      </w:pPr>
    </w:p>
    <w:p w:rsidR="009A74DE" w:rsidRDefault="009A74DE" w:rsidP="00356DC3">
      <w:pPr>
        <w:numPr>
          <w:ilvl w:val="1"/>
          <w:numId w:val="5"/>
        </w:numPr>
        <w:tabs>
          <w:tab w:val="left" w:pos="-720"/>
          <w:tab w:val="left" w:pos="0"/>
        </w:tabs>
        <w:suppressAutoHyphens/>
        <w:rPr>
          <w:rFonts w:ascii="Arial" w:hAnsi="Arial"/>
          <w:spacing w:val="-2"/>
          <w:sz w:val="24"/>
          <w:lang w:val="fr-CA"/>
        </w:rPr>
      </w:pPr>
      <w:r>
        <w:rPr>
          <w:rFonts w:ascii="Arial" w:hAnsi="Arial"/>
          <w:spacing w:val="-2"/>
          <w:sz w:val="24"/>
          <w:lang w:val="fr-CA"/>
        </w:rPr>
        <w:t>La réactivité du plasma avec les globules rouges autologues témoins peut signaler la présence d</w:t>
      </w:r>
      <w:r w:rsidR="00287F2D">
        <w:rPr>
          <w:rFonts w:ascii="Arial" w:hAnsi="Arial"/>
          <w:spacing w:val="-2"/>
          <w:sz w:val="24"/>
          <w:lang w:val="fr-CA"/>
        </w:rPr>
        <w:t>’</w:t>
      </w:r>
      <w:r>
        <w:rPr>
          <w:rFonts w:ascii="Arial" w:hAnsi="Arial"/>
          <w:spacing w:val="-2"/>
          <w:sz w:val="24"/>
          <w:lang w:val="fr-CA"/>
        </w:rPr>
        <w:t>un autoanticorps. Il pourrait être utile de consulter les antécédents cliniques de transfusion récente de globules rouges.</w:t>
      </w:r>
    </w:p>
    <w:p w:rsidR="009A74DE" w:rsidRDefault="009A74DE">
      <w:pPr>
        <w:tabs>
          <w:tab w:val="left" w:pos="-720"/>
          <w:tab w:val="left" w:pos="0"/>
        </w:tabs>
        <w:suppressAutoHyphens/>
        <w:rPr>
          <w:rFonts w:ascii="Arial" w:hAnsi="Arial"/>
          <w:spacing w:val="-2"/>
          <w:sz w:val="24"/>
          <w:lang w:val="fr-CA"/>
        </w:rPr>
      </w:pPr>
    </w:p>
    <w:p w:rsidR="009A74DE" w:rsidRDefault="009A74DE" w:rsidP="00356DC3">
      <w:pPr>
        <w:numPr>
          <w:ilvl w:val="1"/>
          <w:numId w:val="5"/>
        </w:numPr>
        <w:tabs>
          <w:tab w:val="left" w:pos="-720"/>
          <w:tab w:val="left" w:pos="0"/>
        </w:tabs>
        <w:suppressAutoHyphens/>
        <w:rPr>
          <w:rFonts w:ascii="Arial" w:hAnsi="Arial"/>
          <w:spacing w:val="-2"/>
          <w:sz w:val="24"/>
          <w:lang w:val="fr-CA"/>
        </w:rPr>
      </w:pPr>
      <w:r>
        <w:rPr>
          <w:rFonts w:ascii="Arial" w:hAnsi="Arial"/>
          <w:spacing w:val="-2"/>
          <w:sz w:val="24"/>
          <w:lang w:val="fr-CA"/>
        </w:rPr>
        <w:t>On peut identifier l</w:t>
      </w:r>
      <w:r w:rsidR="00287F2D">
        <w:rPr>
          <w:rFonts w:ascii="Arial" w:hAnsi="Arial"/>
          <w:spacing w:val="-2"/>
          <w:sz w:val="24"/>
          <w:lang w:val="fr-CA"/>
        </w:rPr>
        <w:t>’</w:t>
      </w:r>
      <w:r>
        <w:rPr>
          <w:rFonts w:ascii="Arial" w:hAnsi="Arial"/>
          <w:spacing w:val="-2"/>
          <w:sz w:val="24"/>
          <w:lang w:val="fr-CA"/>
        </w:rPr>
        <w:t>anticorps présent dans le plasma par l</w:t>
      </w:r>
      <w:r w:rsidR="00287F2D">
        <w:rPr>
          <w:rFonts w:ascii="Arial" w:hAnsi="Arial"/>
          <w:spacing w:val="-2"/>
          <w:sz w:val="24"/>
          <w:lang w:val="fr-CA"/>
        </w:rPr>
        <w:t>’</w:t>
      </w:r>
      <w:r>
        <w:rPr>
          <w:rFonts w:ascii="Arial" w:hAnsi="Arial"/>
          <w:spacing w:val="-2"/>
          <w:sz w:val="24"/>
          <w:lang w:val="fr-CA"/>
        </w:rPr>
        <w:t>appariement des réactions obtenues avec les profils d</w:t>
      </w:r>
      <w:r w:rsidR="00287F2D">
        <w:rPr>
          <w:rFonts w:ascii="Arial" w:hAnsi="Arial"/>
          <w:spacing w:val="-2"/>
          <w:sz w:val="24"/>
          <w:lang w:val="fr-CA"/>
        </w:rPr>
        <w:t>’</w:t>
      </w:r>
      <w:r>
        <w:rPr>
          <w:rFonts w:ascii="Arial" w:hAnsi="Arial"/>
          <w:spacing w:val="-2"/>
          <w:sz w:val="24"/>
          <w:lang w:val="fr-CA"/>
        </w:rPr>
        <w:t>antigènes des globules rouges sur le formulaire du panel. Des cellules supplémentaires pourraient être nécessaires pour l’identification d’anticorps multiples. Voir EC.008 - Exclusion d’anticorps.</w:t>
      </w:r>
    </w:p>
    <w:p w:rsidR="0063745C" w:rsidRDefault="0063745C" w:rsidP="0063745C">
      <w:pPr>
        <w:pStyle w:val="ListParagraph"/>
        <w:rPr>
          <w:rFonts w:ascii="Arial" w:hAnsi="Arial"/>
          <w:spacing w:val="-2"/>
          <w:sz w:val="24"/>
          <w:lang w:val="fr-CA"/>
        </w:rPr>
      </w:pPr>
    </w:p>
    <w:p w:rsidR="0063745C" w:rsidRDefault="0063745C" w:rsidP="00356DC3">
      <w:pPr>
        <w:numPr>
          <w:ilvl w:val="1"/>
          <w:numId w:val="5"/>
        </w:numPr>
        <w:tabs>
          <w:tab w:val="left" w:pos="-720"/>
          <w:tab w:val="left" w:pos="0"/>
        </w:tabs>
        <w:suppressAutoHyphens/>
        <w:rPr>
          <w:rFonts w:ascii="Arial" w:hAnsi="Arial"/>
          <w:spacing w:val="-2"/>
          <w:sz w:val="24"/>
          <w:lang w:val="fr-CA"/>
        </w:rPr>
      </w:pPr>
      <w:r>
        <w:rPr>
          <w:rFonts w:ascii="Arial" w:hAnsi="Arial"/>
          <w:spacing w:val="-2"/>
          <w:sz w:val="24"/>
          <w:lang w:val="fr-CA"/>
        </w:rPr>
        <w:t>Signaler la présence de tout anticorps.</w:t>
      </w:r>
    </w:p>
    <w:p w:rsidR="009A74DE" w:rsidRDefault="009A74DE">
      <w:pPr>
        <w:tabs>
          <w:tab w:val="left" w:pos="-720"/>
          <w:tab w:val="left" w:pos="0"/>
        </w:tabs>
        <w:suppressAutoHyphens/>
        <w:rPr>
          <w:rFonts w:ascii="Arial" w:hAnsi="Arial"/>
          <w:spacing w:val="-2"/>
          <w:sz w:val="24"/>
          <w:lang w:val="fr-CA"/>
        </w:rPr>
      </w:pPr>
    </w:p>
    <w:p w:rsidR="009A74DE" w:rsidRDefault="009A74DE">
      <w:pPr>
        <w:rPr>
          <w:rFonts w:ascii="Arial" w:hAnsi="Arial"/>
          <w:sz w:val="24"/>
          <w:lang w:val="fr-CA"/>
        </w:rPr>
      </w:pPr>
    </w:p>
    <w:p w:rsidR="009A74DE" w:rsidRDefault="009A74DE">
      <w:pPr>
        <w:numPr>
          <w:ilvl w:val="0"/>
          <w:numId w:val="1"/>
        </w:numPr>
        <w:rPr>
          <w:rFonts w:ascii="Arial" w:hAnsi="Arial"/>
          <w:b/>
          <w:sz w:val="28"/>
          <w:lang w:val="fr-CA"/>
        </w:rPr>
      </w:pPr>
      <w:r>
        <w:rPr>
          <w:rFonts w:ascii="Arial" w:hAnsi="Arial"/>
          <w:b/>
          <w:sz w:val="28"/>
          <w:lang w:val="fr-CA"/>
        </w:rPr>
        <w:t>Remarques</w:t>
      </w:r>
    </w:p>
    <w:p w:rsidR="009A74DE" w:rsidRDefault="009A74DE">
      <w:pPr>
        <w:ind w:left="1440"/>
        <w:rPr>
          <w:rFonts w:ascii="Arial" w:hAnsi="Arial"/>
          <w:sz w:val="24"/>
          <w:lang w:val="fr-CA"/>
        </w:rPr>
      </w:pPr>
    </w:p>
    <w:p w:rsidR="0063745C" w:rsidRDefault="0063745C" w:rsidP="00356DC3">
      <w:pPr>
        <w:numPr>
          <w:ilvl w:val="1"/>
          <w:numId w:val="6"/>
        </w:numPr>
        <w:rPr>
          <w:rFonts w:ascii="Arial" w:hAnsi="Arial"/>
          <w:spacing w:val="-2"/>
          <w:sz w:val="24"/>
          <w:lang w:val="fr-CA"/>
        </w:rPr>
      </w:pPr>
      <w:r>
        <w:rPr>
          <w:rFonts w:ascii="Arial" w:hAnsi="Arial"/>
          <w:spacing w:val="-2"/>
          <w:sz w:val="24"/>
          <w:lang w:val="fr-CA"/>
        </w:rPr>
        <w:t>Même si on effectue la centrifugation à température ambiante, le préréchauffement des réactifs précédant le mélange peut éliminer la réactivité causée par les anticorps froids.</w:t>
      </w:r>
    </w:p>
    <w:p w:rsidR="0063745C" w:rsidRDefault="0063745C" w:rsidP="0063745C">
      <w:pPr>
        <w:ind w:left="1425"/>
        <w:rPr>
          <w:rFonts w:ascii="Arial" w:hAnsi="Arial"/>
          <w:spacing w:val="-2"/>
          <w:sz w:val="24"/>
          <w:lang w:val="fr-CA"/>
        </w:rPr>
      </w:pPr>
    </w:p>
    <w:p w:rsidR="0063745C" w:rsidRDefault="0063745C" w:rsidP="00356DC3">
      <w:pPr>
        <w:numPr>
          <w:ilvl w:val="1"/>
          <w:numId w:val="6"/>
        </w:numPr>
        <w:rPr>
          <w:rFonts w:ascii="Arial" w:hAnsi="Arial"/>
          <w:spacing w:val="-2"/>
          <w:sz w:val="24"/>
          <w:lang w:val="fr-CA"/>
        </w:rPr>
      </w:pPr>
      <w:r w:rsidRPr="00D02BC6">
        <w:rPr>
          <w:rFonts w:ascii="Arial" w:hAnsi="Arial"/>
          <w:spacing w:val="-2"/>
          <w:sz w:val="24"/>
          <w:lang w:val="fr-CA"/>
        </w:rPr>
        <w:t>Comme c’est le cas pour la mise en œuvre de toute nouvelle procédure, on doit vérifier le rendement de cette technique de préréchauffement avant sa mise en œuvre dans le cadre des procédures normales de fonctionnement de l’établissement</w:t>
      </w:r>
    </w:p>
    <w:p w:rsidR="0063745C" w:rsidRDefault="0063745C" w:rsidP="0063745C">
      <w:pPr>
        <w:pStyle w:val="ListParagraph"/>
        <w:rPr>
          <w:rFonts w:ascii="Arial" w:hAnsi="Arial"/>
          <w:color w:val="000000"/>
          <w:spacing w:val="-2"/>
          <w:sz w:val="24"/>
          <w:lang w:val="fr-CA"/>
        </w:rPr>
      </w:pPr>
    </w:p>
    <w:p w:rsidR="0063745C" w:rsidRPr="0063745C" w:rsidRDefault="0063745C" w:rsidP="00356DC3">
      <w:pPr>
        <w:numPr>
          <w:ilvl w:val="1"/>
          <w:numId w:val="6"/>
        </w:numPr>
        <w:rPr>
          <w:rFonts w:ascii="Arial" w:hAnsi="Arial"/>
          <w:spacing w:val="-2"/>
          <w:sz w:val="24"/>
          <w:lang w:val="fr-CA"/>
        </w:rPr>
      </w:pPr>
      <w:r>
        <w:rPr>
          <w:rFonts w:ascii="Arial" w:hAnsi="Arial"/>
          <w:spacing w:val="-2"/>
          <w:sz w:val="24"/>
          <w:lang w:val="fr-CA"/>
        </w:rPr>
        <w:t>La technique de préréchauffement peut éliminer certains anticorps cliniquement significatifs</w:t>
      </w:r>
      <w:r>
        <w:rPr>
          <w:rFonts w:ascii="Arial" w:hAnsi="Arial"/>
          <w:color w:val="000000"/>
          <w:spacing w:val="-2"/>
          <w:sz w:val="24"/>
          <w:lang w:val="fr-CA"/>
        </w:rPr>
        <w:t>.</w:t>
      </w:r>
    </w:p>
    <w:p w:rsidR="0063745C" w:rsidRDefault="0063745C" w:rsidP="0063745C">
      <w:pPr>
        <w:pStyle w:val="ListParagraph"/>
        <w:rPr>
          <w:rFonts w:ascii="Arial" w:hAnsi="Arial"/>
          <w:spacing w:val="-2"/>
          <w:sz w:val="24"/>
          <w:lang w:val="fr-CA"/>
        </w:rPr>
      </w:pPr>
    </w:p>
    <w:p w:rsidR="0063745C" w:rsidRDefault="0063745C" w:rsidP="00356DC3">
      <w:pPr>
        <w:numPr>
          <w:ilvl w:val="1"/>
          <w:numId w:val="6"/>
        </w:numPr>
        <w:rPr>
          <w:rFonts w:ascii="Arial" w:hAnsi="Arial"/>
          <w:spacing w:val="-2"/>
          <w:sz w:val="24"/>
          <w:lang w:val="fr-CA"/>
        </w:rPr>
      </w:pPr>
      <w:r>
        <w:rPr>
          <w:rFonts w:ascii="Arial" w:hAnsi="Arial"/>
          <w:spacing w:val="-2"/>
          <w:sz w:val="24"/>
          <w:lang w:val="fr-CA"/>
        </w:rPr>
        <w:t>Il est possible que cette épreuve ne permette pas la détection d</w:t>
      </w:r>
      <w:r w:rsidR="00287F2D">
        <w:rPr>
          <w:rFonts w:ascii="Arial" w:hAnsi="Arial"/>
          <w:spacing w:val="-2"/>
          <w:sz w:val="24"/>
          <w:lang w:val="fr-CA"/>
        </w:rPr>
        <w:t>’</w:t>
      </w:r>
      <w:r>
        <w:rPr>
          <w:rFonts w:ascii="Arial" w:hAnsi="Arial"/>
          <w:spacing w:val="-2"/>
          <w:sz w:val="24"/>
          <w:lang w:val="fr-CA"/>
        </w:rPr>
        <w:t>anticorps en deçà du niveau seuil.</w:t>
      </w:r>
    </w:p>
    <w:p w:rsidR="0063745C" w:rsidRDefault="0063745C" w:rsidP="0063745C">
      <w:pPr>
        <w:pStyle w:val="ListParagraph"/>
        <w:rPr>
          <w:rFonts w:ascii="Arial" w:hAnsi="Arial"/>
          <w:spacing w:val="-2"/>
          <w:sz w:val="24"/>
          <w:lang w:val="fr-CA"/>
        </w:rPr>
      </w:pPr>
    </w:p>
    <w:p w:rsidR="0063745C" w:rsidRPr="0063745C" w:rsidRDefault="0063745C" w:rsidP="00356DC3">
      <w:pPr>
        <w:numPr>
          <w:ilvl w:val="1"/>
          <w:numId w:val="6"/>
        </w:numPr>
        <w:rPr>
          <w:rFonts w:ascii="Arial" w:hAnsi="Arial"/>
          <w:spacing w:val="-2"/>
          <w:sz w:val="24"/>
          <w:lang w:val="fr-CA"/>
        </w:rPr>
      </w:pPr>
      <w:r>
        <w:rPr>
          <w:rFonts w:ascii="Arial" w:hAnsi="Arial"/>
          <w:spacing w:val="-2"/>
          <w:sz w:val="24"/>
          <w:lang w:val="fr-CA"/>
        </w:rPr>
        <w:t>Cette épreuve ne permet pas la détection d</w:t>
      </w:r>
      <w:r w:rsidR="00287F2D">
        <w:rPr>
          <w:rFonts w:ascii="Arial" w:hAnsi="Arial"/>
          <w:spacing w:val="-2"/>
          <w:sz w:val="24"/>
          <w:lang w:val="fr-CA"/>
        </w:rPr>
        <w:t>’</w:t>
      </w:r>
      <w:r>
        <w:rPr>
          <w:rFonts w:ascii="Arial" w:hAnsi="Arial"/>
          <w:spacing w:val="-2"/>
          <w:sz w:val="24"/>
          <w:lang w:val="fr-CA"/>
        </w:rPr>
        <w:t>anticorps contre des antigènes à faible incidence non représentés sur les cellules de l</w:t>
      </w:r>
      <w:r w:rsidR="00287F2D">
        <w:rPr>
          <w:rFonts w:ascii="Arial" w:hAnsi="Arial"/>
          <w:spacing w:val="-2"/>
          <w:sz w:val="24"/>
          <w:lang w:val="fr-CA"/>
        </w:rPr>
        <w:t>’</w:t>
      </w:r>
      <w:r>
        <w:rPr>
          <w:rFonts w:ascii="Arial" w:hAnsi="Arial"/>
          <w:spacing w:val="-2"/>
          <w:sz w:val="24"/>
          <w:lang w:val="fr-CA"/>
        </w:rPr>
        <w:t>épreuve</w:t>
      </w:r>
      <w:r w:rsidRPr="00B576ED">
        <w:rPr>
          <w:lang w:val="fr-CA"/>
        </w:rPr>
        <w:t>.</w:t>
      </w:r>
    </w:p>
    <w:p w:rsidR="0063745C" w:rsidRDefault="0063745C" w:rsidP="0063745C">
      <w:pPr>
        <w:pStyle w:val="ListParagraph"/>
        <w:rPr>
          <w:rFonts w:ascii="Arial" w:hAnsi="Arial"/>
          <w:spacing w:val="-2"/>
          <w:sz w:val="24"/>
          <w:lang w:val="fr-CA"/>
        </w:rPr>
      </w:pPr>
    </w:p>
    <w:p w:rsidR="0063745C" w:rsidRPr="0063745C" w:rsidRDefault="0063745C" w:rsidP="00356DC3">
      <w:pPr>
        <w:numPr>
          <w:ilvl w:val="1"/>
          <w:numId w:val="6"/>
        </w:numPr>
        <w:rPr>
          <w:rFonts w:ascii="Arial" w:hAnsi="Arial"/>
          <w:spacing w:val="-2"/>
          <w:sz w:val="24"/>
          <w:lang w:val="fr-CA"/>
        </w:rPr>
      </w:pPr>
      <w:r>
        <w:rPr>
          <w:rFonts w:ascii="Arial" w:hAnsi="Arial"/>
          <w:spacing w:val="-2"/>
          <w:sz w:val="24"/>
          <w:lang w:val="fr-CA"/>
        </w:rPr>
        <w:t>La présence dans le sérum d</w:t>
      </w:r>
      <w:r w:rsidR="00287F2D">
        <w:rPr>
          <w:rFonts w:ascii="Arial" w:hAnsi="Arial"/>
          <w:spacing w:val="-2"/>
          <w:sz w:val="24"/>
          <w:lang w:val="fr-CA"/>
        </w:rPr>
        <w:t>’</w:t>
      </w:r>
      <w:r>
        <w:rPr>
          <w:rFonts w:ascii="Arial" w:hAnsi="Arial"/>
          <w:spacing w:val="-2"/>
          <w:sz w:val="24"/>
          <w:lang w:val="fr-CA"/>
        </w:rPr>
        <w:t>anticorps réagissant à des composants de la solution de conservation pourrait entraîner de faux résultats positifs.</w:t>
      </w:r>
    </w:p>
    <w:p w:rsidR="0063745C" w:rsidRDefault="0063745C" w:rsidP="0063745C">
      <w:pPr>
        <w:pStyle w:val="ListParagraph"/>
        <w:rPr>
          <w:rFonts w:ascii="Arial" w:hAnsi="Arial"/>
          <w:color w:val="000000"/>
          <w:spacing w:val="-2"/>
          <w:sz w:val="24"/>
          <w:lang w:val="fr-CA"/>
        </w:rPr>
      </w:pPr>
    </w:p>
    <w:p w:rsidR="009A74DE" w:rsidRDefault="009A74DE" w:rsidP="00356DC3">
      <w:pPr>
        <w:numPr>
          <w:ilvl w:val="1"/>
          <w:numId w:val="6"/>
        </w:numPr>
        <w:rPr>
          <w:rFonts w:ascii="Arial" w:hAnsi="Arial"/>
          <w:spacing w:val="-2"/>
          <w:sz w:val="24"/>
          <w:lang w:val="fr-CA"/>
        </w:rPr>
      </w:pPr>
      <w:r>
        <w:rPr>
          <w:rFonts w:ascii="Arial" w:hAnsi="Arial"/>
          <w:color w:val="000000"/>
          <w:spacing w:val="-2"/>
          <w:sz w:val="24"/>
          <w:lang w:val="fr-CA"/>
        </w:rPr>
        <w:t>O</w:t>
      </w:r>
      <w:r>
        <w:rPr>
          <w:rFonts w:ascii="Arial" w:hAnsi="Arial"/>
          <w:spacing w:val="-2"/>
          <w:sz w:val="24"/>
          <w:lang w:val="fr-CA"/>
        </w:rPr>
        <w:t>n doit procéder avec soin à l</w:t>
      </w:r>
      <w:r w:rsidR="00287F2D">
        <w:rPr>
          <w:rFonts w:ascii="Arial" w:hAnsi="Arial"/>
          <w:spacing w:val="-2"/>
          <w:sz w:val="24"/>
          <w:lang w:val="fr-CA"/>
        </w:rPr>
        <w:t>’</w:t>
      </w:r>
      <w:r>
        <w:rPr>
          <w:rFonts w:ascii="Arial" w:hAnsi="Arial"/>
          <w:spacing w:val="-2"/>
          <w:sz w:val="24"/>
          <w:lang w:val="fr-CA"/>
        </w:rPr>
        <w:t>interprétation des réactions de type champ mixte. La présence de fibrine, de caillots ou de particules peut entraîner la formation d</w:t>
      </w:r>
      <w:r w:rsidR="00287F2D">
        <w:rPr>
          <w:rFonts w:ascii="Arial" w:hAnsi="Arial"/>
          <w:spacing w:val="-2"/>
          <w:sz w:val="24"/>
          <w:lang w:val="fr-CA"/>
        </w:rPr>
        <w:t>’</w:t>
      </w:r>
      <w:r>
        <w:rPr>
          <w:rFonts w:ascii="Arial" w:hAnsi="Arial"/>
          <w:spacing w:val="-2"/>
          <w:sz w:val="24"/>
          <w:lang w:val="fr-CA"/>
        </w:rPr>
        <w:t>une couche de cellules par-dessus le gel. Habituellement, on observe des réactions de type champ mixte uniquement dans les épreuves qui contiennent deux populations de globules rouges, comme chez les transfusés et les receveurs de moelle osseuse ou quand on utilise un échantillon de cellules mises en pool. Toutefois, on ne peut pas détecter toutes les situations où il y a présence de cellules mixtes, car la population mineure est parfois trop petite.</w:t>
      </w:r>
    </w:p>
    <w:p w:rsidR="009A74DE" w:rsidRDefault="009A74DE">
      <w:pPr>
        <w:ind w:left="720"/>
        <w:rPr>
          <w:rFonts w:ascii="Arial" w:hAnsi="Arial"/>
          <w:spacing w:val="-2"/>
          <w:sz w:val="24"/>
          <w:lang w:val="fr-CA"/>
        </w:rPr>
      </w:pPr>
    </w:p>
    <w:p w:rsidR="0063745C" w:rsidRDefault="0063745C" w:rsidP="00356DC3">
      <w:pPr>
        <w:numPr>
          <w:ilvl w:val="1"/>
          <w:numId w:val="14"/>
        </w:numPr>
        <w:spacing w:line="228" w:lineRule="auto"/>
        <w:rPr>
          <w:rFonts w:ascii="Arial" w:hAnsi="Arial"/>
          <w:sz w:val="24"/>
          <w:lang w:val="fr-CA"/>
        </w:rPr>
      </w:pPr>
      <w:r w:rsidRPr="0055014C">
        <w:rPr>
          <w:rFonts w:ascii="Arial" w:hAnsi="Arial"/>
          <w:spacing w:val="-2"/>
          <w:sz w:val="24"/>
          <w:lang w:val="fr-CA"/>
        </w:rPr>
        <w:t xml:space="preserve">La présence de trop ou de trop peu de cellules </w:t>
      </w:r>
      <w:r w:rsidRPr="0055014C">
        <w:rPr>
          <w:rFonts w:ascii="Arial" w:hAnsi="Arial"/>
          <w:sz w:val="24"/>
          <w:lang w:val="fr-CA"/>
        </w:rPr>
        <w:t>dans le microtube peut susciter des réactions faussement positives ou faussement négatives. Cette situation peut être due à l’une ou aux deux erreurs suivantes</w:t>
      </w:r>
      <w:r>
        <w:rPr>
          <w:rFonts w:ascii="Arial" w:hAnsi="Arial"/>
          <w:sz w:val="24"/>
          <w:lang w:val="fr-CA"/>
        </w:rPr>
        <w:t> :</w:t>
      </w:r>
    </w:p>
    <w:p w:rsidR="0063745C" w:rsidRPr="0055014C" w:rsidRDefault="0063745C" w:rsidP="00356DC3">
      <w:pPr>
        <w:numPr>
          <w:ilvl w:val="2"/>
          <w:numId w:val="9"/>
        </w:numPr>
        <w:ind w:hanging="579"/>
        <w:rPr>
          <w:rFonts w:ascii="Arial" w:hAnsi="Arial"/>
          <w:sz w:val="24"/>
          <w:lang w:val="fr-CA"/>
        </w:rPr>
      </w:pPr>
      <w:r w:rsidRPr="0055014C">
        <w:rPr>
          <w:rFonts w:ascii="Arial" w:hAnsi="Arial"/>
          <w:sz w:val="24"/>
          <w:lang w:val="fr-CA"/>
        </w:rPr>
        <w:t xml:space="preserve">suspension de cellules mal préparée </w:t>
      </w:r>
    </w:p>
    <w:p w:rsidR="0063745C" w:rsidRPr="0055014C" w:rsidRDefault="0063745C" w:rsidP="00356DC3">
      <w:pPr>
        <w:numPr>
          <w:ilvl w:val="2"/>
          <w:numId w:val="9"/>
        </w:numPr>
        <w:ind w:hanging="579"/>
        <w:rPr>
          <w:rFonts w:ascii="Arial" w:hAnsi="Arial"/>
          <w:sz w:val="24"/>
          <w:lang w:val="fr-CA"/>
        </w:rPr>
      </w:pPr>
      <w:r w:rsidRPr="0055014C">
        <w:rPr>
          <w:rFonts w:ascii="Arial" w:hAnsi="Arial"/>
          <w:sz w:val="24"/>
          <w:lang w:val="fr-CA"/>
        </w:rPr>
        <w:t>ajout d’une mauvaise quantité de cellules dans</w:t>
      </w:r>
      <w:r>
        <w:rPr>
          <w:rFonts w:ascii="Arial" w:hAnsi="Arial"/>
          <w:sz w:val="24"/>
          <w:lang w:val="fr-CA"/>
        </w:rPr>
        <w:t xml:space="preserve"> </w:t>
      </w:r>
      <w:r w:rsidRPr="0055014C">
        <w:rPr>
          <w:rFonts w:ascii="Arial" w:hAnsi="Arial"/>
          <w:sz w:val="24"/>
          <w:lang w:val="fr-CA"/>
        </w:rPr>
        <w:t>la partie supérieure du microtube</w:t>
      </w:r>
    </w:p>
    <w:p w:rsidR="0063745C" w:rsidRPr="0055014C" w:rsidRDefault="0063745C" w:rsidP="0063745C">
      <w:pPr>
        <w:spacing w:line="228" w:lineRule="auto"/>
        <w:ind w:left="1440"/>
        <w:rPr>
          <w:rFonts w:ascii="Arial" w:hAnsi="Arial"/>
          <w:sz w:val="24"/>
          <w:lang w:val="fr-CA"/>
        </w:rPr>
      </w:pPr>
      <w:r>
        <w:rPr>
          <w:rFonts w:ascii="Arial" w:hAnsi="Arial"/>
          <w:sz w:val="24"/>
          <w:lang w:val="fr-CA"/>
        </w:rPr>
        <w:tab/>
      </w:r>
      <w:r w:rsidRPr="0055014C">
        <w:rPr>
          <w:rFonts w:ascii="Arial" w:hAnsi="Arial"/>
          <w:sz w:val="24"/>
          <w:lang w:val="fr-CA"/>
        </w:rPr>
        <w:t xml:space="preserve"> </w:t>
      </w:r>
    </w:p>
    <w:p w:rsidR="0063745C" w:rsidRPr="0063745C" w:rsidRDefault="0063745C" w:rsidP="00B576ED">
      <w:pPr>
        <w:ind w:left="1425"/>
        <w:rPr>
          <w:rFonts w:ascii="Arial" w:hAnsi="Arial"/>
          <w:spacing w:val="-2"/>
          <w:sz w:val="24"/>
          <w:lang w:val="fr-CA"/>
        </w:rPr>
      </w:pPr>
      <w:r w:rsidRPr="00B576ED">
        <w:rPr>
          <w:rFonts w:ascii="Arial" w:hAnsi="Arial"/>
          <w:sz w:val="24"/>
          <w:lang w:val="fr-CA"/>
        </w:rPr>
        <w:t xml:space="preserve">Si c’est le cas, répéter le ou les tests en s’assurant que les quantités sont bonnes et à l’aide de nouvelles suspensions de </w:t>
      </w:r>
      <w:r>
        <w:rPr>
          <w:rFonts w:ascii="Arial" w:hAnsi="Arial"/>
          <w:sz w:val="24"/>
          <w:lang w:val="fr-CA"/>
        </w:rPr>
        <w:t>cellules.</w:t>
      </w:r>
    </w:p>
    <w:p w:rsidR="0063745C" w:rsidRPr="0063745C" w:rsidRDefault="0063745C" w:rsidP="0063745C">
      <w:pPr>
        <w:ind w:left="1425"/>
        <w:rPr>
          <w:rFonts w:ascii="Arial" w:hAnsi="Arial"/>
          <w:spacing w:val="-2"/>
          <w:sz w:val="24"/>
          <w:lang w:val="fr-CA"/>
        </w:rPr>
      </w:pPr>
    </w:p>
    <w:p w:rsidR="0063745C" w:rsidRPr="0005061F" w:rsidRDefault="0063745C" w:rsidP="00356DC3">
      <w:pPr>
        <w:numPr>
          <w:ilvl w:val="1"/>
          <w:numId w:val="15"/>
        </w:numPr>
        <w:rPr>
          <w:rFonts w:ascii="Arial" w:hAnsi="Arial"/>
          <w:spacing w:val="-2"/>
          <w:sz w:val="24"/>
          <w:lang w:val="fr-CA"/>
        </w:rPr>
      </w:pPr>
      <w:r w:rsidRPr="0055014C">
        <w:rPr>
          <w:rFonts w:ascii="Arial" w:hAnsi="Arial"/>
          <w:sz w:val="24"/>
          <w:lang w:val="fr-CA"/>
        </w:rPr>
        <w:t>Les rouleaux constituent une caractéristique du sérum ou plasma qui correspond à une disposition précise de l’agrégat globulaire. Ces rouleaux peuvent se former en présence d’une quantité suffisante de protéines irrégulières dans l’échantillon et peuvent – quoique rarement – compliquer l’interprétation du test en gel. Il faut confirmer la présence de rouleaux à l’aide de méthodes</w:t>
      </w:r>
      <w:r>
        <w:rPr>
          <w:rFonts w:ascii="Arial" w:hAnsi="Arial"/>
          <w:sz w:val="24"/>
          <w:lang w:val="fr-CA"/>
        </w:rPr>
        <w:t xml:space="preserve"> </w:t>
      </w:r>
      <w:r w:rsidRPr="0055014C">
        <w:rPr>
          <w:rFonts w:ascii="Arial" w:hAnsi="Arial"/>
          <w:sz w:val="24"/>
          <w:lang w:val="fr-CA"/>
        </w:rPr>
        <w:t>d’hémagglutination en tube et d’un remplacement par une solution saline, au besoin</w:t>
      </w:r>
      <w:r w:rsidR="0005061F">
        <w:rPr>
          <w:rFonts w:ascii="Arial" w:hAnsi="Arial"/>
          <w:sz w:val="24"/>
          <w:lang w:val="fr-CA"/>
        </w:rPr>
        <w:t>.</w:t>
      </w:r>
    </w:p>
    <w:p w:rsidR="0005061F" w:rsidRDefault="0005061F" w:rsidP="0005061F">
      <w:pPr>
        <w:pStyle w:val="ListParagraph"/>
        <w:rPr>
          <w:rFonts w:ascii="Arial" w:hAnsi="Arial"/>
          <w:spacing w:val="-2"/>
          <w:sz w:val="24"/>
          <w:lang w:val="fr-CA"/>
        </w:rPr>
      </w:pPr>
    </w:p>
    <w:p w:rsidR="0005061F" w:rsidRPr="0005061F" w:rsidRDefault="0005061F" w:rsidP="00356DC3">
      <w:pPr>
        <w:numPr>
          <w:ilvl w:val="1"/>
          <w:numId w:val="15"/>
        </w:numPr>
        <w:rPr>
          <w:rFonts w:ascii="Arial" w:hAnsi="Arial"/>
          <w:spacing w:val="-2"/>
          <w:sz w:val="24"/>
          <w:lang w:val="fr-CA"/>
        </w:rPr>
      </w:pPr>
      <w:r w:rsidRPr="0055014C">
        <w:rPr>
          <w:rFonts w:ascii="Arial" w:hAnsi="Arial"/>
          <w:sz w:val="24"/>
          <w:lang w:val="fr-CA"/>
        </w:rPr>
        <w:t>La présence de globules rouges dans le gel et d’une hémolyse dans la portion liquide est habituellement due au fait que l’échantillon est hémolysé. Dans ce cas, l’hémolyse ne doit pas être inscrite comme un résultat positif du test. Si l’hémolyse survient pendant la centrifugation, la partie liquide au-dessus du gel semblera rose ou rouge, mais il n’y aura pas ou presque pas de globules dans le gel</w:t>
      </w:r>
      <w:r>
        <w:rPr>
          <w:rFonts w:ascii="Arial" w:hAnsi="Arial"/>
          <w:sz w:val="24"/>
          <w:lang w:val="fr-CA"/>
        </w:rPr>
        <w:t>.</w:t>
      </w:r>
    </w:p>
    <w:p w:rsidR="0005061F" w:rsidRPr="0063745C" w:rsidRDefault="0005061F" w:rsidP="0005061F">
      <w:pPr>
        <w:ind w:left="1425"/>
        <w:rPr>
          <w:rFonts w:ascii="Arial" w:hAnsi="Arial"/>
          <w:spacing w:val="-2"/>
          <w:sz w:val="24"/>
          <w:lang w:val="fr-CA"/>
        </w:rPr>
      </w:pPr>
    </w:p>
    <w:p w:rsidR="009A74DE" w:rsidRPr="0005061F" w:rsidRDefault="009A74DE" w:rsidP="00356DC3">
      <w:pPr>
        <w:numPr>
          <w:ilvl w:val="1"/>
          <w:numId w:val="15"/>
        </w:numPr>
        <w:rPr>
          <w:rFonts w:ascii="Arial" w:hAnsi="Arial"/>
          <w:spacing w:val="-2"/>
          <w:sz w:val="24"/>
          <w:lang w:val="fr-CA"/>
        </w:rPr>
      </w:pPr>
      <w:r>
        <w:rPr>
          <w:rFonts w:ascii="Arial" w:hAnsi="Arial"/>
          <w:sz w:val="24"/>
          <w:lang w:val="fr-CA"/>
        </w:rPr>
        <w:t>De faux résultats positifs ou négatifs peuvent survenir dans les situations suivantes : contamination bactérienne du matériel de l</w:t>
      </w:r>
      <w:r w:rsidR="00287F2D">
        <w:rPr>
          <w:rFonts w:ascii="Arial" w:hAnsi="Arial"/>
          <w:sz w:val="24"/>
          <w:lang w:val="fr-CA"/>
        </w:rPr>
        <w:t>’</w:t>
      </w:r>
      <w:r>
        <w:rPr>
          <w:rFonts w:ascii="Arial" w:hAnsi="Arial"/>
          <w:sz w:val="24"/>
          <w:lang w:val="fr-CA"/>
        </w:rPr>
        <w:t>épreuve, température ou durée d</w:t>
      </w:r>
      <w:r w:rsidR="00287F2D">
        <w:rPr>
          <w:rFonts w:ascii="Arial" w:hAnsi="Arial"/>
          <w:sz w:val="24"/>
          <w:lang w:val="fr-CA"/>
        </w:rPr>
        <w:t>’</w:t>
      </w:r>
      <w:r>
        <w:rPr>
          <w:rFonts w:ascii="Arial" w:hAnsi="Arial"/>
          <w:sz w:val="24"/>
          <w:lang w:val="fr-CA"/>
        </w:rPr>
        <w:t>incubation inadéquates, mauvaise centrifugation, mauvais entreposage du matériel ou omission d</w:t>
      </w:r>
      <w:r w:rsidR="00287F2D">
        <w:rPr>
          <w:rFonts w:ascii="Arial" w:hAnsi="Arial"/>
          <w:sz w:val="24"/>
          <w:lang w:val="fr-CA"/>
        </w:rPr>
        <w:t>’</w:t>
      </w:r>
      <w:r>
        <w:rPr>
          <w:rFonts w:ascii="Arial" w:hAnsi="Arial"/>
          <w:sz w:val="24"/>
          <w:lang w:val="fr-CA"/>
        </w:rPr>
        <w:t>échantillons d</w:t>
      </w:r>
      <w:r w:rsidR="00287F2D">
        <w:rPr>
          <w:rFonts w:ascii="Arial" w:hAnsi="Arial"/>
          <w:sz w:val="24"/>
          <w:lang w:val="fr-CA"/>
        </w:rPr>
        <w:t>’</w:t>
      </w:r>
      <w:r>
        <w:rPr>
          <w:rFonts w:ascii="Arial" w:hAnsi="Arial"/>
          <w:sz w:val="24"/>
          <w:lang w:val="fr-CA"/>
        </w:rPr>
        <w:t>épreuves</w:t>
      </w:r>
      <w:r w:rsidR="00E2077D">
        <w:rPr>
          <w:rFonts w:ascii="Arial" w:hAnsi="Arial"/>
          <w:sz w:val="24"/>
          <w:lang w:val="fr-CA"/>
        </w:rPr>
        <w:t>.</w:t>
      </w:r>
    </w:p>
    <w:p w:rsidR="0005061F" w:rsidRDefault="0005061F" w:rsidP="0005061F">
      <w:pPr>
        <w:pStyle w:val="ListParagraph"/>
        <w:rPr>
          <w:rFonts w:ascii="Arial" w:hAnsi="Arial"/>
          <w:spacing w:val="-2"/>
          <w:sz w:val="24"/>
          <w:lang w:val="fr-CA"/>
        </w:rPr>
      </w:pPr>
    </w:p>
    <w:p w:rsidR="0005061F" w:rsidRDefault="0005061F" w:rsidP="00356DC3">
      <w:pPr>
        <w:numPr>
          <w:ilvl w:val="1"/>
          <w:numId w:val="15"/>
        </w:numPr>
        <w:rPr>
          <w:rFonts w:ascii="Arial" w:hAnsi="Arial"/>
          <w:spacing w:val="-2"/>
          <w:sz w:val="24"/>
          <w:lang w:val="fr-CA"/>
        </w:rPr>
      </w:pPr>
      <w:r w:rsidRPr="0055014C">
        <w:rPr>
          <w:rFonts w:ascii="Arial" w:hAnsi="Arial"/>
          <w:spacing w:val="-2"/>
          <w:sz w:val="24"/>
          <w:lang w:val="fr-CA"/>
        </w:rPr>
        <w:t>De faux résultats positifs peuvent survenir dans le cas de cartes de gel qui présentent des signes de dessiccation</w:t>
      </w:r>
      <w:r>
        <w:rPr>
          <w:rFonts w:ascii="Arial" w:hAnsi="Arial"/>
          <w:spacing w:val="-2"/>
          <w:sz w:val="24"/>
          <w:lang w:val="fr-CA"/>
        </w:rPr>
        <w:t>.</w:t>
      </w:r>
    </w:p>
    <w:p w:rsidR="009A74DE" w:rsidRDefault="009A74DE">
      <w:pPr>
        <w:rPr>
          <w:rFonts w:ascii="Arial" w:hAnsi="Arial"/>
          <w:spacing w:val="-2"/>
          <w:sz w:val="24"/>
          <w:lang w:val="fr-CA"/>
        </w:rPr>
      </w:pPr>
    </w:p>
    <w:p w:rsidR="0005061F" w:rsidRDefault="0005061F" w:rsidP="00356DC3">
      <w:pPr>
        <w:numPr>
          <w:ilvl w:val="1"/>
          <w:numId w:val="15"/>
        </w:numPr>
        <w:spacing w:line="228" w:lineRule="auto"/>
        <w:rPr>
          <w:rFonts w:ascii="Arial" w:hAnsi="Arial"/>
          <w:sz w:val="24"/>
          <w:lang w:val="fr-CA"/>
        </w:rPr>
      </w:pPr>
      <w:r>
        <w:rPr>
          <w:rFonts w:ascii="Arial" w:hAnsi="Arial"/>
          <w:color w:val="000000"/>
          <w:sz w:val="24"/>
          <w:lang w:val="fr-CA"/>
        </w:rPr>
        <w:t>Le</w:t>
      </w:r>
      <w:r>
        <w:rPr>
          <w:rFonts w:ascii="Arial" w:hAnsi="Arial"/>
          <w:sz w:val="24"/>
          <w:lang w:val="fr-CA"/>
        </w:rPr>
        <w:t xml:space="preserve"> sérum frais, la présence de fibrine ou de particules dans le sérum ou le plasma, ou l</w:t>
      </w:r>
      <w:r w:rsidR="00287F2D">
        <w:rPr>
          <w:rFonts w:ascii="Arial" w:hAnsi="Arial"/>
          <w:sz w:val="24"/>
          <w:lang w:val="fr-CA"/>
        </w:rPr>
        <w:t>’</w:t>
      </w:r>
      <w:r>
        <w:rPr>
          <w:rFonts w:ascii="Arial" w:hAnsi="Arial"/>
          <w:sz w:val="24"/>
          <w:lang w:val="fr-CA"/>
        </w:rPr>
        <w:t>adhérence de globules rouges aux parois du microtube peuvent entraîner des résultats anormaux. Le recours à du</w:t>
      </w:r>
      <w:r w:rsidRPr="002250E7">
        <w:rPr>
          <w:rFonts w:ascii="Arial" w:hAnsi="Arial"/>
          <w:sz w:val="24"/>
          <w:lang w:val="fr-CA"/>
        </w:rPr>
        <w:t xml:space="preserve"> </w:t>
      </w:r>
      <w:r>
        <w:rPr>
          <w:rFonts w:ascii="Arial" w:hAnsi="Arial"/>
          <w:sz w:val="24"/>
          <w:lang w:val="fr-CA"/>
        </w:rPr>
        <w:t>plasma avec EDTA minimisera le problème.</w:t>
      </w:r>
    </w:p>
    <w:p w:rsidR="009A74DE" w:rsidRDefault="009A74DE">
      <w:pPr>
        <w:rPr>
          <w:rFonts w:ascii="Arial" w:hAnsi="Arial"/>
          <w:spacing w:val="-2"/>
          <w:sz w:val="24"/>
          <w:lang w:val="fr-CA"/>
        </w:rPr>
      </w:pPr>
    </w:p>
    <w:p w:rsidR="009A74DE" w:rsidRDefault="009A74DE" w:rsidP="00356DC3">
      <w:pPr>
        <w:numPr>
          <w:ilvl w:val="1"/>
          <w:numId w:val="15"/>
        </w:numPr>
        <w:rPr>
          <w:rFonts w:ascii="Arial" w:hAnsi="Arial"/>
          <w:spacing w:val="-2"/>
          <w:sz w:val="24"/>
          <w:lang w:val="fr-CA"/>
        </w:rPr>
      </w:pPr>
      <w:r>
        <w:rPr>
          <w:rFonts w:ascii="Arial" w:hAnsi="Arial"/>
          <w:sz w:val="24"/>
          <w:lang w:val="fr-CA"/>
        </w:rPr>
        <w:t>Ajout de cellules et de plasma</w:t>
      </w:r>
    </w:p>
    <w:p w:rsidR="009A74DE" w:rsidRDefault="009A74DE">
      <w:pPr>
        <w:ind w:left="1440"/>
        <w:rPr>
          <w:rFonts w:ascii="Arial" w:hAnsi="Arial"/>
          <w:sz w:val="24"/>
          <w:lang w:val="fr-CA"/>
        </w:rPr>
      </w:pPr>
    </w:p>
    <w:p w:rsidR="009A74DE" w:rsidRDefault="0005061F" w:rsidP="00262957">
      <w:pPr>
        <w:ind w:left="2127" w:hanging="709"/>
        <w:rPr>
          <w:rFonts w:ascii="Arial" w:hAnsi="Arial"/>
          <w:sz w:val="24"/>
          <w:lang w:val="fr-CA"/>
        </w:rPr>
      </w:pPr>
      <w:r>
        <w:rPr>
          <w:rFonts w:ascii="Arial" w:hAnsi="Arial"/>
          <w:sz w:val="24"/>
          <w:lang w:val="fr-CA"/>
        </w:rPr>
        <w:t>8.15.1</w:t>
      </w:r>
      <w:r>
        <w:rPr>
          <w:rFonts w:ascii="Arial" w:hAnsi="Arial"/>
          <w:sz w:val="24"/>
          <w:lang w:val="fr-CA"/>
        </w:rPr>
        <w:tab/>
      </w:r>
      <w:r w:rsidR="009A74DE">
        <w:rPr>
          <w:rFonts w:ascii="Arial" w:hAnsi="Arial"/>
          <w:sz w:val="24"/>
          <w:lang w:val="fr-CA"/>
        </w:rPr>
        <w:t xml:space="preserve">On doit ajouter la suspension de globules rouges avant le </w:t>
      </w:r>
      <w:r w:rsidR="006B2FE1">
        <w:rPr>
          <w:rFonts w:ascii="Arial" w:hAnsi="Arial"/>
          <w:sz w:val="24"/>
          <w:lang w:val="fr-CA"/>
        </w:rPr>
        <w:t>plasma,</w:t>
      </w:r>
      <w:r w:rsidR="009A74DE">
        <w:rPr>
          <w:rFonts w:ascii="Arial" w:hAnsi="Arial"/>
          <w:sz w:val="24"/>
          <w:lang w:val="fr-CA"/>
        </w:rPr>
        <w:t xml:space="preserve"> car le volume de la suspension de globules rouges est plus grand que le volume de plasma. Si on ajoute le plus petit volume de plasma avant la suspension de globules rouges, le mélange pourrait être inadéquat.</w:t>
      </w:r>
    </w:p>
    <w:p w:rsidR="009A74DE" w:rsidRDefault="009A74DE">
      <w:pPr>
        <w:ind w:left="1440"/>
        <w:rPr>
          <w:rFonts w:ascii="Arial" w:hAnsi="Arial"/>
          <w:sz w:val="24"/>
          <w:lang w:val="fr-CA"/>
        </w:rPr>
      </w:pPr>
    </w:p>
    <w:p w:rsidR="009A74DE" w:rsidRDefault="0005061F" w:rsidP="00262957">
      <w:pPr>
        <w:ind w:left="2127" w:hanging="687"/>
        <w:rPr>
          <w:rFonts w:ascii="Arial" w:hAnsi="Arial"/>
          <w:sz w:val="24"/>
          <w:lang w:val="fr-CA"/>
        </w:rPr>
      </w:pPr>
      <w:r>
        <w:rPr>
          <w:rFonts w:ascii="Arial" w:hAnsi="Arial"/>
          <w:sz w:val="24"/>
          <w:lang w:val="fr-CA"/>
        </w:rPr>
        <w:t>8.15.2</w:t>
      </w:r>
      <w:r>
        <w:rPr>
          <w:rFonts w:ascii="Arial" w:hAnsi="Arial"/>
          <w:sz w:val="24"/>
          <w:lang w:val="fr-CA"/>
        </w:rPr>
        <w:tab/>
      </w:r>
      <w:r w:rsidR="00262957">
        <w:rPr>
          <w:rFonts w:ascii="Arial" w:hAnsi="Arial"/>
          <w:sz w:val="24"/>
          <w:lang w:val="fr-CA"/>
        </w:rPr>
        <w:tab/>
      </w:r>
      <w:r w:rsidR="009A74DE">
        <w:rPr>
          <w:rFonts w:ascii="Arial" w:hAnsi="Arial"/>
          <w:sz w:val="24"/>
          <w:lang w:val="fr-CA"/>
        </w:rPr>
        <w:t>On doit ajouter le plasma dans les 10 à 15 minutes suivant l</w:t>
      </w:r>
      <w:r w:rsidR="00287F2D">
        <w:rPr>
          <w:rFonts w:ascii="Arial" w:hAnsi="Arial"/>
          <w:sz w:val="24"/>
          <w:lang w:val="fr-CA"/>
        </w:rPr>
        <w:t>’</w:t>
      </w:r>
      <w:r w:rsidR="009A74DE">
        <w:rPr>
          <w:rFonts w:ascii="Arial" w:hAnsi="Arial"/>
          <w:sz w:val="24"/>
          <w:lang w:val="fr-CA"/>
        </w:rPr>
        <w:t>ajout de la suspension de globules rouges aux chambres de réaction. Tout globule rouge qui entre en contact avec la colonne de gel avant la centrifugation pourrait ne pas avoir l</w:t>
      </w:r>
      <w:r w:rsidR="00287F2D">
        <w:rPr>
          <w:rFonts w:ascii="Arial" w:hAnsi="Arial"/>
          <w:sz w:val="24"/>
          <w:lang w:val="fr-CA"/>
        </w:rPr>
        <w:t>’</w:t>
      </w:r>
      <w:r w:rsidR="009A74DE">
        <w:rPr>
          <w:rFonts w:ascii="Arial" w:hAnsi="Arial"/>
          <w:sz w:val="24"/>
          <w:lang w:val="fr-CA"/>
        </w:rPr>
        <w:t>occasion d</w:t>
      </w:r>
      <w:r w:rsidR="00287F2D">
        <w:rPr>
          <w:rFonts w:ascii="Arial" w:hAnsi="Arial"/>
          <w:sz w:val="24"/>
          <w:lang w:val="fr-CA"/>
        </w:rPr>
        <w:t>’</w:t>
      </w:r>
      <w:r w:rsidR="009A74DE">
        <w:rPr>
          <w:rFonts w:ascii="Arial" w:hAnsi="Arial"/>
          <w:sz w:val="24"/>
          <w:lang w:val="fr-CA"/>
        </w:rPr>
        <w:t xml:space="preserve">entrer en contact avec le plasma et ainsi commencer à migrer dans le gel et possiblement entraîner une réaction plus faible après la centrifugation. </w:t>
      </w:r>
    </w:p>
    <w:p w:rsidR="009A74DE" w:rsidRDefault="009A74DE" w:rsidP="00E2077D">
      <w:pPr>
        <w:ind w:left="2160"/>
        <w:rPr>
          <w:rFonts w:ascii="Arial" w:hAnsi="Arial"/>
          <w:sz w:val="24"/>
          <w:lang w:val="fr-CA"/>
        </w:rPr>
      </w:pPr>
      <w:r>
        <w:rPr>
          <w:rFonts w:ascii="Arial" w:hAnsi="Arial"/>
          <w:sz w:val="24"/>
          <w:lang w:val="fr-CA"/>
        </w:rPr>
        <w:t xml:space="preserve"> </w:t>
      </w:r>
    </w:p>
    <w:p w:rsidR="009A74DE" w:rsidRDefault="009A74DE" w:rsidP="00356DC3">
      <w:pPr>
        <w:numPr>
          <w:ilvl w:val="1"/>
          <w:numId w:val="15"/>
        </w:numPr>
        <w:rPr>
          <w:rFonts w:ascii="Arial" w:hAnsi="Arial"/>
          <w:sz w:val="24"/>
          <w:lang w:val="fr-CA"/>
        </w:rPr>
      </w:pPr>
      <w:r>
        <w:rPr>
          <w:rFonts w:ascii="Arial" w:hAnsi="Arial"/>
          <w:sz w:val="24"/>
          <w:lang w:val="fr-CA"/>
        </w:rPr>
        <w:t>Dans la documentation, on recommande une incubation d</w:t>
      </w:r>
      <w:r w:rsidR="00287F2D">
        <w:rPr>
          <w:rFonts w:ascii="Arial" w:hAnsi="Arial"/>
          <w:sz w:val="24"/>
          <w:lang w:val="fr-CA"/>
        </w:rPr>
        <w:t>’</w:t>
      </w:r>
      <w:r>
        <w:rPr>
          <w:rFonts w:ascii="Arial" w:hAnsi="Arial"/>
          <w:sz w:val="24"/>
          <w:lang w:val="fr-CA"/>
        </w:rPr>
        <w:t>une durée de 5 à 40 minutes dans des solutions à faible concentration ionique. Il n’y a pas de durée d’incubation optimale unique pour tous les anticorps. Si on change la durée d’incubation recommandée par le fabricant, il faut mener des études de validation.</w:t>
      </w:r>
    </w:p>
    <w:p w:rsidR="0005061F" w:rsidRDefault="0005061F" w:rsidP="0005061F">
      <w:pPr>
        <w:ind w:left="1425"/>
        <w:rPr>
          <w:rFonts w:ascii="Arial" w:hAnsi="Arial"/>
          <w:sz w:val="24"/>
          <w:lang w:val="fr-CA"/>
        </w:rPr>
      </w:pPr>
    </w:p>
    <w:p w:rsidR="0005061F" w:rsidRPr="0005061F" w:rsidRDefault="0005061F" w:rsidP="00356DC3">
      <w:pPr>
        <w:numPr>
          <w:ilvl w:val="1"/>
          <w:numId w:val="15"/>
        </w:numPr>
        <w:rPr>
          <w:rFonts w:ascii="Arial" w:hAnsi="Arial"/>
          <w:spacing w:val="-2"/>
          <w:sz w:val="24"/>
          <w:lang w:val="fr-CA"/>
        </w:rPr>
      </w:pPr>
      <w:r w:rsidRPr="0055014C">
        <w:rPr>
          <w:rFonts w:ascii="Arial" w:hAnsi="Arial"/>
          <w:sz w:val="24"/>
          <w:lang w:val="fr-CA"/>
        </w:rPr>
        <w:t>Il se pourrait que les anticorps IgM réagissent dans cette épreuve. Certains anticorps de type IgM pourraient réagir aux antigènes correspondants dans la partie supérieure du microtube et rester pris dans le haut du gel au moment de la centrifugation, entraînant une réaction positive</w:t>
      </w:r>
      <w:r>
        <w:rPr>
          <w:rFonts w:ascii="Arial" w:hAnsi="Arial"/>
          <w:sz w:val="24"/>
          <w:lang w:val="fr-CA"/>
        </w:rPr>
        <w:t>.</w:t>
      </w:r>
    </w:p>
    <w:p w:rsidR="0005061F" w:rsidRDefault="0005061F" w:rsidP="0005061F">
      <w:pPr>
        <w:pStyle w:val="ListParagraph"/>
        <w:rPr>
          <w:rFonts w:ascii="Arial" w:hAnsi="Arial"/>
          <w:spacing w:val="-2"/>
          <w:sz w:val="24"/>
          <w:lang w:val="fr-CA"/>
        </w:rPr>
      </w:pPr>
    </w:p>
    <w:p w:rsidR="0005061F" w:rsidRPr="00B576ED" w:rsidRDefault="0005061F" w:rsidP="00356DC3">
      <w:pPr>
        <w:numPr>
          <w:ilvl w:val="1"/>
          <w:numId w:val="15"/>
        </w:numPr>
        <w:rPr>
          <w:rFonts w:ascii="Arial" w:hAnsi="Arial"/>
          <w:spacing w:val="-2"/>
          <w:sz w:val="24"/>
          <w:lang w:val="fr-CA"/>
        </w:rPr>
      </w:pPr>
      <w:r w:rsidRPr="00B576ED">
        <w:rPr>
          <w:rFonts w:ascii="Arial" w:hAnsi="Arial"/>
          <w:spacing w:val="-2"/>
          <w:sz w:val="24"/>
          <w:lang w:val="fr-CA"/>
        </w:rPr>
        <w:t>Pour assurer le bon déroulement de l</w:t>
      </w:r>
      <w:r w:rsidR="00287F2D" w:rsidRPr="00B576ED">
        <w:rPr>
          <w:rFonts w:ascii="Arial" w:hAnsi="Arial"/>
          <w:spacing w:val="-2"/>
          <w:sz w:val="24"/>
          <w:lang w:val="fr-CA"/>
        </w:rPr>
        <w:t>’</w:t>
      </w:r>
      <w:r w:rsidRPr="00B576ED">
        <w:rPr>
          <w:rFonts w:ascii="Arial" w:hAnsi="Arial"/>
          <w:spacing w:val="-2"/>
          <w:sz w:val="24"/>
          <w:lang w:val="fr-CA"/>
        </w:rPr>
        <w:t xml:space="preserve">épreuve, il est essentiel de respecter les directives du dépliant du </w:t>
      </w:r>
      <w:r w:rsidR="001143A0" w:rsidRPr="00B576ED">
        <w:rPr>
          <w:rFonts w:ascii="Arial" w:hAnsi="Arial"/>
          <w:spacing w:val="-2"/>
          <w:sz w:val="24"/>
          <w:lang w:val="fr-CA"/>
        </w:rPr>
        <w:t>fabricant</w:t>
      </w:r>
      <w:r w:rsidRPr="00B576ED">
        <w:rPr>
          <w:rFonts w:ascii="Arial" w:hAnsi="Arial"/>
          <w:spacing w:val="-2"/>
          <w:sz w:val="24"/>
          <w:lang w:val="fr-CA"/>
        </w:rPr>
        <w:t>.</w:t>
      </w:r>
    </w:p>
    <w:p w:rsidR="0005061F" w:rsidRDefault="0005061F" w:rsidP="0005061F">
      <w:pPr>
        <w:pStyle w:val="ListParagraph"/>
        <w:rPr>
          <w:rFonts w:ascii="Arial" w:hAnsi="Arial"/>
          <w:spacing w:val="-2"/>
          <w:sz w:val="24"/>
          <w:lang w:val="fr-CA"/>
        </w:rPr>
      </w:pPr>
    </w:p>
    <w:p w:rsidR="0005061F" w:rsidRDefault="0005061F" w:rsidP="00356DC3">
      <w:pPr>
        <w:numPr>
          <w:ilvl w:val="1"/>
          <w:numId w:val="15"/>
        </w:numPr>
        <w:spacing w:line="228" w:lineRule="auto"/>
        <w:rPr>
          <w:rFonts w:ascii="Arial" w:hAnsi="Arial"/>
          <w:sz w:val="24"/>
          <w:lang w:val="fr-CA"/>
        </w:rPr>
      </w:pPr>
      <w:r w:rsidRPr="00787FDC">
        <w:rPr>
          <w:rFonts w:ascii="Arial" w:hAnsi="Arial"/>
          <w:sz w:val="24"/>
          <w:lang w:val="fr-CA"/>
        </w:rPr>
        <w:t>Il se peut que l’anti-G n’arrive pas à détecter des anticorps qui se manifestent à l’utilisation de réactifs à l’antiglobuline contenant de l’anti-C3.</w:t>
      </w:r>
    </w:p>
    <w:p w:rsidR="00B576ED" w:rsidRDefault="00B576ED">
      <w:pPr>
        <w:tabs>
          <w:tab w:val="left" w:pos="0"/>
        </w:tabs>
        <w:suppressAutoHyphens/>
        <w:ind w:left="1440"/>
        <w:rPr>
          <w:rFonts w:ascii="Arial" w:hAnsi="Arial"/>
          <w:spacing w:val="-2"/>
          <w:sz w:val="24"/>
          <w:lang w:val="fr-CA"/>
        </w:rPr>
      </w:pPr>
    </w:p>
    <w:p w:rsidR="009A74DE" w:rsidRDefault="009A74DE">
      <w:pPr>
        <w:tabs>
          <w:tab w:val="left" w:pos="0"/>
        </w:tabs>
        <w:suppressAutoHyphens/>
        <w:ind w:left="1440"/>
        <w:rPr>
          <w:rFonts w:ascii="Arial" w:hAnsi="Arial"/>
          <w:spacing w:val="-2"/>
          <w:sz w:val="24"/>
          <w:lang w:val="fr-CA"/>
        </w:rPr>
      </w:pPr>
      <w:r w:rsidRPr="00D02BC6">
        <w:rPr>
          <w:rFonts w:ascii="Arial" w:hAnsi="Arial"/>
          <w:spacing w:val="-2"/>
          <w:sz w:val="24"/>
          <w:lang w:val="fr-CA"/>
        </w:rPr>
        <w:t xml:space="preserve">  </w:t>
      </w:r>
    </w:p>
    <w:p w:rsidR="009A74DE" w:rsidRDefault="009A74DE" w:rsidP="00356DC3">
      <w:pPr>
        <w:numPr>
          <w:ilvl w:val="0"/>
          <w:numId w:val="14"/>
        </w:numPr>
        <w:rPr>
          <w:rFonts w:ascii="Arial" w:hAnsi="Arial"/>
          <w:b/>
          <w:sz w:val="28"/>
          <w:lang w:val="fr-CA"/>
        </w:rPr>
      </w:pPr>
      <w:r>
        <w:rPr>
          <w:rFonts w:ascii="Arial" w:hAnsi="Arial"/>
          <w:b/>
          <w:sz w:val="28"/>
          <w:lang w:val="fr-CA"/>
        </w:rPr>
        <w:t>Références</w:t>
      </w:r>
    </w:p>
    <w:p w:rsidR="009A74DE" w:rsidRDefault="009A74DE">
      <w:pPr>
        <w:rPr>
          <w:rFonts w:ascii="Arial" w:hAnsi="Arial"/>
          <w:b/>
          <w:sz w:val="28"/>
          <w:lang w:val="fr-CA"/>
        </w:rPr>
      </w:pPr>
    </w:p>
    <w:p w:rsidR="00245DE8" w:rsidRPr="00245DE8" w:rsidRDefault="00245DE8" w:rsidP="00356DC3">
      <w:pPr>
        <w:numPr>
          <w:ilvl w:val="1"/>
          <w:numId w:val="19"/>
        </w:numPr>
        <w:tabs>
          <w:tab w:val="left" w:pos="-720"/>
        </w:tabs>
        <w:suppressAutoHyphens/>
        <w:rPr>
          <w:rFonts w:ascii="Arial" w:hAnsi="Arial"/>
          <w:spacing w:val="-2"/>
          <w:sz w:val="22"/>
          <w:lang w:val="fr-CA"/>
        </w:rPr>
      </w:pPr>
      <w:r w:rsidRPr="00245DE8">
        <w:rPr>
          <w:rFonts w:ascii="Arial" w:hAnsi="Arial"/>
          <w:i/>
          <w:sz w:val="22"/>
          <w:lang w:val="fr-CA"/>
        </w:rPr>
        <w:t>Standards for transfusion medicine</w:t>
      </w:r>
      <w:r w:rsidRPr="00245DE8">
        <w:rPr>
          <w:rFonts w:ascii="Arial" w:hAnsi="Arial"/>
          <w:sz w:val="22"/>
          <w:lang w:val="fr-CA"/>
        </w:rPr>
        <w:t>, version 3 (Février 2011). Société canadienne de médecine transfusionnelle</w:t>
      </w:r>
      <w:r w:rsidR="00287F2D">
        <w:rPr>
          <w:rFonts w:ascii="Arial" w:hAnsi="Arial"/>
          <w:sz w:val="22"/>
          <w:lang w:val="fr-CA"/>
        </w:rPr>
        <w:t> </w:t>
      </w:r>
      <w:r w:rsidRPr="00245DE8">
        <w:rPr>
          <w:rFonts w:ascii="Arial" w:hAnsi="Arial"/>
          <w:sz w:val="22"/>
          <w:lang w:val="fr-CA"/>
        </w:rPr>
        <w:t>: 5.3.5.3.</w:t>
      </w:r>
    </w:p>
    <w:p w:rsidR="00245DE8" w:rsidRPr="00245DE8" w:rsidRDefault="00245DE8" w:rsidP="00245DE8">
      <w:pPr>
        <w:tabs>
          <w:tab w:val="left" w:pos="-720"/>
        </w:tabs>
        <w:suppressAutoHyphens/>
        <w:ind w:left="720"/>
        <w:rPr>
          <w:rFonts w:ascii="Arial" w:hAnsi="Arial"/>
          <w:spacing w:val="-2"/>
          <w:sz w:val="22"/>
          <w:lang w:val="fr-CA"/>
        </w:rPr>
      </w:pPr>
    </w:p>
    <w:p w:rsidR="009A74DE" w:rsidRPr="00B576ED" w:rsidRDefault="00245DE8" w:rsidP="00356DC3">
      <w:pPr>
        <w:numPr>
          <w:ilvl w:val="1"/>
          <w:numId w:val="18"/>
        </w:numPr>
        <w:tabs>
          <w:tab w:val="left" w:pos="0"/>
        </w:tabs>
        <w:suppressAutoHyphens/>
        <w:rPr>
          <w:rFonts w:ascii="Arial" w:hAnsi="Arial"/>
          <w:spacing w:val="-2"/>
          <w:sz w:val="22"/>
          <w:lang w:val="en-CA"/>
        </w:rPr>
      </w:pPr>
      <w:r w:rsidRPr="00245DE8">
        <w:rPr>
          <w:rFonts w:ascii="Arial" w:hAnsi="Arial"/>
          <w:spacing w:val="-2"/>
          <w:sz w:val="22"/>
        </w:rPr>
        <w:t>Implementation Guide and Procedures -Procedure 8 Antibody Identification Method with( Auto Control) Version 5 2010-05-31, ID-Micro Typing</w:t>
      </w:r>
      <w:r>
        <w:rPr>
          <w:rFonts w:ascii="Arial" w:hAnsi="Arial"/>
          <w:spacing w:val="-2"/>
          <w:sz w:val="22"/>
        </w:rPr>
        <w:t xml:space="preserve"> System.</w:t>
      </w:r>
    </w:p>
    <w:p w:rsidR="009A74DE" w:rsidRPr="00B576ED" w:rsidRDefault="009A74DE">
      <w:pPr>
        <w:tabs>
          <w:tab w:val="left" w:pos="0"/>
        </w:tabs>
        <w:suppressAutoHyphens/>
        <w:rPr>
          <w:rFonts w:ascii="Arial" w:hAnsi="Arial"/>
          <w:spacing w:val="-2"/>
          <w:sz w:val="22"/>
          <w:lang w:val="en-CA"/>
        </w:rPr>
      </w:pPr>
    </w:p>
    <w:p w:rsidR="00245DE8" w:rsidRPr="00245DE8" w:rsidRDefault="00245DE8" w:rsidP="00356DC3">
      <w:pPr>
        <w:numPr>
          <w:ilvl w:val="1"/>
          <w:numId w:val="7"/>
        </w:numPr>
        <w:rPr>
          <w:rFonts w:ascii="Arial" w:hAnsi="Arial"/>
          <w:b/>
          <w:sz w:val="24"/>
        </w:rPr>
      </w:pPr>
      <w:r w:rsidRPr="00245DE8">
        <w:rPr>
          <w:rFonts w:ascii="Arial" w:hAnsi="Arial"/>
          <w:sz w:val="22"/>
        </w:rPr>
        <w:t xml:space="preserve">Roback JD, </w:t>
      </w:r>
      <w:r>
        <w:rPr>
          <w:rFonts w:ascii="Arial" w:hAnsi="Arial"/>
          <w:sz w:val="22"/>
        </w:rPr>
        <w:t>é</w:t>
      </w:r>
      <w:r w:rsidRPr="00245DE8">
        <w:rPr>
          <w:rFonts w:ascii="Arial" w:hAnsi="Arial"/>
          <w:sz w:val="22"/>
        </w:rPr>
        <w:t>d. American Association of Blood Banks Technical Manual, 17</w:t>
      </w:r>
      <w:r>
        <w:rPr>
          <w:rFonts w:ascii="Arial" w:hAnsi="Arial"/>
          <w:sz w:val="22"/>
          <w:vertAlign w:val="superscript"/>
        </w:rPr>
        <w:t>e</w:t>
      </w:r>
      <w:r w:rsidRPr="00245DE8">
        <w:rPr>
          <w:rFonts w:ascii="Arial" w:hAnsi="Arial"/>
          <w:sz w:val="22"/>
        </w:rPr>
        <w:t xml:space="preserve"> </w:t>
      </w:r>
      <w:r>
        <w:rPr>
          <w:rFonts w:ascii="Arial" w:hAnsi="Arial"/>
          <w:sz w:val="22"/>
        </w:rPr>
        <w:t>é</w:t>
      </w:r>
      <w:r w:rsidRPr="00245DE8">
        <w:rPr>
          <w:rFonts w:ascii="Arial" w:hAnsi="Arial"/>
          <w:sz w:val="22"/>
        </w:rPr>
        <w:t>d. Bethesda, MD:  American Association of Blood Banks, 2011; 463-470,489</w:t>
      </w:r>
      <w:r w:rsidR="00682E8B">
        <w:rPr>
          <w:rFonts w:ascii="Arial" w:hAnsi="Arial"/>
          <w:sz w:val="22"/>
        </w:rPr>
        <w:t>.</w:t>
      </w:r>
    </w:p>
    <w:p w:rsidR="00245DE8" w:rsidRDefault="00245DE8" w:rsidP="00245DE8">
      <w:pPr>
        <w:pStyle w:val="ListParagraph"/>
        <w:rPr>
          <w:rFonts w:ascii="Arial" w:hAnsi="Arial"/>
          <w:spacing w:val="-2"/>
          <w:sz w:val="22"/>
          <w:lang w:val="fr-CA"/>
        </w:rPr>
      </w:pPr>
    </w:p>
    <w:p w:rsidR="009A74DE" w:rsidRPr="00245DE8" w:rsidRDefault="00D73173" w:rsidP="00356DC3">
      <w:pPr>
        <w:numPr>
          <w:ilvl w:val="1"/>
          <w:numId w:val="18"/>
        </w:numPr>
        <w:tabs>
          <w:tab w:val="left" w:pos="0"/>
        </w:tabs>
        <w:suppressAutoHyphens/>
        <w:rPr>
          <w:rFonts w:ascii="Arial" w:hAnsi="Arial"/>
          <w:spacing w:val="-2"/>
          <w:sz w:val="22"/>
          <w:lang w:val="fr-CA"/>
        </w:rPr>
      </w:pPr>
      <w:r w:rsidRPr="00B576ED">
        <w:rPr>
          <w:rFonts w:ascii="Arial" w:hAnsi="Arial"/>
          <w:spacing w:val="-2"/>
          <w:sz w:val="22"/>
          <w:lang w:val="en-CA"/>
        </w:rPr>
        <w:t xml:space="preserve">Dépliant </w:t>
      </w:r>
      <w:r w:rsidR="009A74DE" w:rsidRPr="00B576ED">
        <w:rPr>
          <w:rFonts w:ascii="Arial" w:hAnsi="Arial"/>
          <w:spacing w:val="-2"/>
          <w:sz w:val="22"/>
          <w:lang w:val="en-CA"/>
        </w:rPr>
        <w:t>courant : Reagent Red Blood Cells SELECTOGEN</w:t>
      </w:r>
      <w:r w:rsidR="009A74DE" w:rsidRPr="00245DE8">
        <w:rPr>
          <w:rFonts w:ascii="Arial" w:hAnsi="Arial"/>
          <w:spacing w:val="-2"/>
          <w:sz w:val="22"/>
          <w:vertAlign w:val="superscript"/>
          <w:lang w:val="fr-CA"/>
        </w:rPr>
        <w:sym w:font="Symbol" w:char="F0E2"/>
      </w:r>
      <w:r w:rsidR="009A74DE" w:rsidRPr="00B576ED">
        <w:rPr>
          <w:rFonts w:ascii="Arial" w:hAnsi="Arial"/>
          <w:spacing w:val="-2"/>
          <w:sz w:val="22"/>
          <w:vertAlign w:val="superscript"/>
          <w:lang w:val="en-CA"/>
        </w:rPr>
        <w:t xml:space="preserve"> </w:t>
      </w:r>
      <w:r w:rsidR="009A74DE" w:rsidRPr="00B576ED">
        <w:rPr>
          <w:rFonts w:ascii="Arial" w:hAnsi="Arial"/>
          <w:spacing w:val="-2"/>
          <w:sz w:val="22"/>
          <w:lang w:val="en-CA"/>
        </w:rPr>
        <w:t xml:space="preserve">. </w:t>
      </w:r>
      <w:r w:rsidR="009A74DE" w:rsidRPr="00245DE8">
        <w:rPr>
          <w:rFonts w:ascii="Arial" w:hAnsi="Arial"/>
          <w:spacing w:val="-2"/>
          <w:sz w:val="22"/>
          <w:lang w:val="fr-CA"/>
        </w:rPr>
        <w:t>Raritan, N.J. Ortho-Clinical Diagnostics Inc.</w:t>
      </w:r>
    </w:p>
    <w:p w:rsidR="009A74DE" w:rsidRPr="00245DE8" w:rsidRDefault="009A74DE">
      <w:pPr>
        <w:tabs>
          <w:tab w:val="left" w:pos="0"/>
        </w:tabs>
        <w:suppressAutoHyphens/>
        <w:rPr>
          <w:rFonts w:ascii="Arial" w:hAnsi="Arial"/>
          <w:spacing w:val="-2"/>
          <w:sz w:val="22"/>
          <w:lang w:val="fr-CA"/>
        </w:rPr>
      </w:pPr>
    </w:p>
    <w:p w:rsidR="009A74DE" w:rsidRPr="00B576ED" w:rsidRDefault="00245DE8" w:rsidP="00356DC3">
      <w:pPr>
        <w:numPr>
          <w:ilvl w:val="1"/>
          <w:numId w:val="18"/>
        </w:numPr>
        <w:tabs>
          <w:tab w:val="left" w:pos="0"/>
        </w:tabs>
        <w:suppressAutoHyphens/>
        <w:rPr>
          <w:rFonts w:ascii="Arial" w:hAnsi="Arial"/>
          <w:spacing w:val="-2"/>
          <w:sz w:val="22"/>
          <w:lang w:val="en-CA"/>
        </w:rPr>
      </w:pPr>
      <w:r w:rsidRPr="00B576ED">
        <w:rPr>
          <w:rFonts w:ascii="Arial" w:hAnsi="Arial"/>
          <w:spacing w:val="-2"/>
          <w:sz w:val="22"/>
          <w:lang w:val="en-CA"/>
        </w:rPr>
        <w:t>ID-Micro Typing System</w:t>
      </w:r>
      <w:r w:rsidRPr="00B576ED">
        <w:rPr>
          <w:rFonts w:ascii="Arial" w:hAnsi="Arial"/>
          <w:spacing w:val="-2"/>
          <w:sz w:val="22"/>
          <w:vertAlign w:val="superscript"/>
          <w:lang w:val="en-CA"/>
        </w:rPr>
        <w:t>MC</w:t>
      </w:r>
      <w:r w:rsidRPr="00B576ED">
        <w:rPr>
          <w:rFonts w:ascii="Arial" w:hAnsi="Arial"/>
          <w:spacing w:val="-2"/>
          <w:sz w:val="22"/>
          <w:lang w:val="en-CA"/>
        </w:rPr>
        <w:t xml:space="preserve"> Interpretation Guide, 2010-0604</w:t>
      </w:r>
      <w:r w:rsidR="009A74DE" w:rsidRPr="00B576ED">
        <w:rPr>
          <w:rFonts w:ascii="Arial" w:hAnsi="Arial"/>
          <w:spacing w:val="-2"/>
          <w:sz w:val="22"/>
          <w:lang w:val="en-CA"/>
        </w:rPr>
        <w:t xml:space="preserve">. </w:t>
      </w:r>
    </w:p>
    <w:p w:rsidR="009A74DE" w:rsidRPr="00B576ED" w:rsidRDefault="009A74DE">
      <w:pPr>
        <w:tabs>
          <w:tab w:val="left" w:pos="0"/>
        </w:tabs>
        <w:suppressAutoHyphens/>
        <w:rPr>
          <w:rFonts w:ascii="Arial" w:hAnsi="Arial"/>
          <w:spacing w:val="-2"/>
          <w:sz w:val="22"/>
          <w:lang w:val="en-CA"/>
        </w:rPr>
      </w:pPr>
    </w:p>
    <w:p w:rsidR="009A74DE" w:rsidRPr="00245DE8" w:rsidRDefault="00245DE8" w:rsidP="00356DC3">
      <w:pPr>
        <w:numPr>
          <w:ilvl w:val="1"/>
          <w:numId w:val="18"/>
        </w:numPr>
        <w:tabs>
          <w:tab w:val="left" w:pos="0"/>
        </w:tabs>
        <w:suppressAutoHyphens/>
        <w:rPr>
          <w:rFonts w:ascii="Arial" w:hAnsi="Arial"/>
          <w:spacing w:val="-2"/>
          <w:sz w:val="22"/>
          <w:lang w:val="fr-CA"/>
        </w:rPr>
      </w:pPr>
      <w:r w:rsidRPr="00B576ED">
        <w:rPr>
          <w:rFonts w:ascii="Arial" w:hAnsi="Arial"/>
          <w:spacing w:val="-2"/>
          <w:sz w:val="22"/>
          <w:lang w:val="en-CA"/>
        </w:rPr>
        <w:t>Dépliant courant : Anti-Human Globulin Anti-IgG (lapin). MTS</w:t>
      </w:r>
      <w:r w:rsidRPr="00B576ED">
        <w:rPr>
          <w:rFonts w:ascii="Arial" w:hAnsi="Arial"/>
          <w:spacing w:val="-2"/>
          <w:sz w:val="22"/>
          <w:vertAlign w:val="superscript"/>
          <w:lang w:val="en-CA"/>
        </w:rPr>
        <w:t>MC</w:t>
      </w:r>
      <w:r w:rsidRPr="00B576ED">
        <w:rPr>
          <w:rFonts w:ascii="Arial" w:hAnsi="Arial"/>
          <w:spacing w:val="-2"/>
          <w:sz w:val="22"/>
          <w:lang w:val="en-CA"/>
        </w:rPr>
        <w:t xml:space="preserve"> Anti-IgG Gel Card. </w:t>
      </w:r>
      <w:r>
        <w:rPr>
          <w:rFonts w:ascii="Arial" w:hAnsi="Arial"/>
          <w:spacing w:val="-2"/>
          <w:sz w:val="22"/>
          <w:lang w:val="fr-CA"/>
        </w:rPr>
        <w:t>Version 2.0</w:t>
      </w:r>
    </w:p>
    <w:p w:rsidR="007404AC" w:rsidRPr="00245DE8" w:rsidRDefault="007404AC" w:rsidP="007404AC">
      <w:pPr>
        <w:rPr>
          <w:rFonts w:ascii="Arial" w:hAnsi="Arial"/>
          <w:b/>
          <w:sz w:val="24"/>
        </w:rPr>
      </w:pPr>
    </w:p>
    <w:p w:rsidR="0005061F" w:rsidRDefault="0005061F" w:rsidP="0005061F">
      <w:pPr>
        <w:tabs>
          <w:tab w:val="left" w:pos="-720"/>
        </w:tabs>
        <w:suppressAutoHyphens/>
        <w:rPr>
          <w:rFonts w:ascii="Arial" w:hAnsi="Arial"/>
          <w:spacing w:val="-2"/>
          <w:sz w:val="24"/>
        </w:rPr>
      </w:pPr>
    </w:p>
    <w:p w:rsidR="0005061F" w:rsidRDefault="0005061F" w:rsidP="00356DC3">
      <w:pPr>
        <w:numPr>
          <w:ilvl w:val="0"/>
          <w:numId w:val="16"/>
        </w:numPr>
        <w:tabs>
          <w:tab w:val="left" w:pos="-720"/>
        </w:tabs>
        <w:suppressAutoHyphens/>
        <w:rPr>
          <w:rFonts w:ascii="Arial" w:hAnsi="Arial"/>
          <w:b/>
          <w:spacing w:val="-2"/>
          <w:sz w:val="28"/>
        </w:rPr>
      </w:pPr>
      <w:r>
        <w:rPr>
          <w:rFonts w:ascii="Arial" w:hAnsi="Arial"/>
          <w:b/>
          <w:spacing w:val="-2"/>
          <w:sz w:val="28"/>
        </w:rPr>
        <w:t>Suivi des révisions</w:t>
      </w:r>
    </w:p>
    <w:p w:rsidR="0005061F" w:rsidRDefault="0005061F" w:rsidP="0005061F">
      <w:pPr>
        <w:tabs>
          <w:tab w:val="left" w:pos="-720"/>
        </w:tabs>
        <w:suppressAutoHyphens/>
        <w:ind w:left="720"/>
        <w:rPr>
          <w:rFonts w:ascii="Arial" w:hAnsi="Arial"/>
          <w:b/>
          <w:spacing w:val="-2"/>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05061F" w:rsidRPr="0055014C" w:rsidTr="00356DC3">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05061F" w:rsidRPr="0055014C" w:rsidRDefault="0005061F" w:rsidP="00356DC3">
            <w:pPr>
              <w:jc w:val="center"/>
              <w:rPr>
                <w:rFonts w:ascii="Arial" w:hAnsi="Arial" w:cs="Arial"/>
                <w:b/>
                <w:sz w:val="22"/>
                <w:szCs w:val="22"/>
                <w:lang w:val="fr-CA"/>
              </w:rPr>
            </w:pPr>
            <w:r w:rsidRPr="0055014C">
              <w:rPr>
                <w:rFonts w:ascii="Arial" w:hAnsi="Arial" w:cs="Arial"/>
                <w:b/>
                <w:sz w:val="22"/>
                <w:szCs w:val="22"/>
                <w:lang w:val="fr-CA"/>
              </w:rPr>
              <w:t>Date de la révision</w:t>
            </w:r>
          </w:p>
        </w:tc>
        <w:tc>
          <w:tcPr>
            <w:tcW w:w="5771" w:type="dxa"/>
            <w:tcBorders>
              <w:top w:val="single" w:sz="4" w:space="0" w:color="auto"/>
              <w:left w:val="single" w:sz="4" w:space="0" w:color="auto"/>
              <w:bottom w:val="single" w:sz="4" w:space="0" w:color="auto"/>
              <w:right w:val="single" w:sz="4" w:space="0" w:color="auto"/>
            </w:tcBorders>
            <w:shd w:val="clear" w:color="auto" w:fill="D9D9D9"/>
            <w:hideMark/>
          </w:tcPr>
          <w:p w:rsidR="0005061F" w:rsidRPr="0055014C" w:rsidRDefault="0005061F" w:rsidP="00356DC3">
            <w:pPr>
              <w:numPr>
                <w:ilvl w:val="0"/>
                <w:numId w:val="17"/>
              </w:numPr>
              <w:jc w:val="center"/>
              <w:rPr>
                <w:rFonts w:ascii="Arial" w:hAnsi="Arial" w:cs="Arial"/>
                <w:b/>
                <w:sz w:val="22"/>
                <w:szCs w:val="22"/>
                <w:lang w:val="fr-CA"/>
              </w:rPr>
            </w:pPr>
            <w:r w:rsidRPr="0055014C">
              <w:rPr>
                <w:rFonts w:ascii="Arial" w:hAnsi="Arial" w:cs="Arial"/>
                <w:b/>
                <w:sz w:val="22"/>
                <w:szCs w:val="22"/>
                <w:lang w:val="fr-CA"/>
              </w:rPr>
              <w:t>Résumé des changements</w:t>
            </w:r>
          </w:p>
        </w:tc>
      </w:tr>
      <w:tr w:rsidR="0005061F" w:rsidRPr="0055014C" w:rsidTr="00356DC3">
        <w:tc>
          <w:tcPr>
            <w:tcW w:w="3085" w:type="dxa"/>
            <w:tcBorders>
              <w:top w:val="single" w:sz="4" w:space="0" w:color="auto"/>
              <w:left w:val="single" w:sz="4" w:space="0" w:color="auto"/>
              <w:bottom w:val="single" w:sz="4" w:space="0" w:color="auto"/>
              <w:right w:val="single" w:sz="4" w:space="0" w:color="auto"/>
            </w:tcBorders>
            <w:shd w:val="clear" w:color="auto" w:fill="auto"/>
          </w:tcPr>
          <w:p w:rsidR="0005061F" w:rsidRPr="0055014C" w:rsidRDefault="0005061F" w:rsidP="00356DC3">
            <w:pPr>
              <w:pStyle w:val="Header"/>
              <w:tabs>
                <w:tab w:val="left" w:pos="720"/>
              </w:tabs>
              <w:rPr>
                <w:rFonts w:ascii="Arial" w:hAnsi="Arial" w:cs="Arial"/>
                <w:sz w:val="22"/>
                <w:szCs w:val="22"/>
                <w:lang w:val="fr-CA"/>
              </w:rPr>
            </w:pPr>
            <w:r w:rsidRPr="0055014C">
              <w:rPr>
                <w:rFonts w:ascii="Arial" w:hAnsi="Arial" w:cs="Arial"/>
                <w:sz w:val="22"/>
                <w:szCs w:val="22"/>
                <w:lang w:val="fr-CA"/>
              </w:rPr>
              <w:t>30 avril 2014</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05061F" w:rsidRPr="0055014C" w:rsidRDefault="0005061F" w:rsidP="00356DC3">
            <w:pPr>
              <w:pStyle w:val="ListParagraph"/>
              <w:numPr>
                <w:ilvl w:val="0"/>
                <w:numId w:val="17"/>
              </w:numPr>
              <w:contextualSpacing/>
              <w:rPr>
                <w:rFonts w:ascii="Arial" w:hAnsi="Arial" w:cs="Arial"/>
                <w:sz w:val="22"/>
                <w:szCs w:val="22"/>
                <w:lang w:val="fr-CA"/>
              </w:rPr>
            </w:pPr>
            <w:r w:rsidRPr="0055014C">
              <w:rPr>
                <w:rFonts w:ascii="Arial" w:hAnsi="Arial" w:cs="Arial"/>
                <w:sz w:val="22"/>
                <w:szCs w:val="22"/>
                <w:lang w:val="fr-CA"/>
              </w:rPr>
              <w:t xml:space="preserve">Changement du nom du manuel </w:t>
            </w:r>
          </w:p>
          <w:p w:rsidR="0005061F" w:rsidRDefault="0005061F" w:rsidP="00356DC3">
            <w:pPr>
              <w:pStyle w:val="Header"/>
              <w:numPr>
                <w:ilvl w:val="0"/>
                <w:numId w:val="17"/>
              </w:numPr>
              <w:tabs>
                <w:tab w:val="left" w:pos="601"/>
              </w:tabs>
              <w:rPr>
                <w:rFonts w:ascii="Arial" w:hAnsi="Arial" w:cs="Arial"/>
                <w:sz w:val="22"/>
                <w:szCs w:val="22"/>
                <w:lang w:val="fr-CA"/>
              </w:rPr>
            </w:pPr>
            <w:r w:rsidRPr="0066509F">
              <w:rPr>
                <w:rFonts w:ascii="Arial" w:hAnsi="Arial"/>
                <w:sz w:val="22"/>
                <w:szCs w:val="22"/>
                <w:lang w:val="fr-CA"/>
              </w:rPr>
              <w:tab/>
              <w:t>Changement du numéro du document anciennement T</w:t>
            </w:r>
            <w:r w:rsidRPr="0066509F">
              <w:rPr>
                <w:rFonts w:ascii="Arial" w:hAnsi="Arial" w:cs="Arial"/>
                <w:sz w:val="22"/>
                <w:szCs w:val="22"/>
                <w:lang w:val="fr-CA"/>
              </w:rPr>
              <w:t>G.00</w:t>
            </w:r>
            <w:r w:rsidR="00245DE8">
              <w:rPr>
                <w:rFonts w:ascii="Arial" w:hAnsi="Arial" w:cs="Arial"/>
                <w:sz w:val="22"/>
                <w:szCs w:val="22"/>
                <w:lang w:val="fr-CA"/>
              </w:rPr>
              <w:t>4</w:t>
            </w:r>
            <w:r w:rsidRPr="0066509F">
              <w:rPr>
                <w:rFonts w:ascii="Arial" w:hAnsi="Arial" w:cs="Arial"/>
                <w:sz w:val="22"/>
                <w:szCs w:val="22"/>
                <w:lang w:val="fr-CA"/>
              </w:rPr>
              <w:t>, maintenant TG.00</w:t>
            </w:r>
            <w:r w:rsidR="00245DE8">
              <w:rPr>
                <w:rFonts w:ascii="Arial" w:hAnsi="Arial" w:cs="Arial"/>
                <w:sz w:val="22"/>
                <w:szCs w:val="22"/>
                <w:lang w:val="fr-CA"/>
              </w:rPr>
              <w:t>5</w:t>
            </w:r>
          </w:p>
          <w:p w:rsidR="0005061F" w:rsidRDefault="0005061F" w:rsidP="00356DC3">
            <w:pPr>
              <w:pStyle w:val="Header"/>
              <w:numPr>
                <w:ilvl w:val="0"/>
                <w:numId w:val="17"/>
              </w:numPr>
              <w:tabs>
                <w:tab w:val="left" w:pos="601"/>
              </w:tabs>
              <w:rPr>
                <w:rFonts w:ascii="Arial" w:hAnsi="Arial" w:cs="Arial"/>
                <w:sz w:val="22"/>
                <w:szCs w:val="22"/>
                <w:lang w:val="fr-CA"/>
              </w:rPr>
            </w:pPr>
            <w:r w:rsidRPr="0066509F">
              <w:rPr>
                <w:rFonts w:ascii="Arial" w:hAnsi="Arial" w:cs="Arial"/>
                <w:sz w:val="22"/>
                <w:szCs w:val="22"/>
                <w:lang w:val="fr-CA"/>
              </w:rPr>
              <w:t>Changement au libellé de la section 1.0</w:t>
            </w:r>
          </w:p>
          <w:p w:rsidR="0005061F" w:rsidRPr="00B576ED" w:rsidRDefault="00D33C89" w:rsidP="00356DC3">
            <w:pPr>
              <w:pStyle w:val="Header"/>
              <w:numPr>
                <w:ilvl w:val="0"/>
                <w:numId w:val="17"/>
              </w:numPr>
              <w:tabs>
                <w:tab w:val="left" w:pos="720"/>
              </w:tabs>
              <w:rPr>
                <w:rFonts w:ascii="Arial" w:hAnsi="Arial" w:cs="Arial"/>
                <w:sz w:val="22"/>
                <w:lang w:val="fr-CA"/>
              </w:rPr>
            </w:pPr>
            <w:r w:rsidRPr="00B576ED">
              <w:rPr>
                <w:rFonts w:ascii="Arial" w:hAnsi="Arial" w:cs="Arial"/>
                <w:sz w:val="22"/>
                <w:lang w:val="fr-CA"/>
              </w:rPr>
              <w:t>Révision et renumérotation de la section 2.0</w:t>
            </w:r>
          </w:p>
          <w:p w:rsidR="00D33C89" w:rsidRPr="00D33C89" w:rsidRDefault="0005061F" w:rsidP="00356DC3">
            <w:pPr>
              <w:pStyle w:val="Header"/>
              <w:numPr>
                <w:ilvl w:val="0"/>
                <w:numId w:val="17"/>
              </w:numPr>
              <w:tabs>
                <w:tab w:val="left" w:pos="720"/>
              </w:tabs>
              <w:rPr>
                <w:rFonts w:ascii="Arial" w:hAnsi="Arial" w:cs="Arial"/>
                <w:sz w:val="22"/>
                <w:lang w:val="fr-CA"/>
              </w:rPr>
            </w:pPr>
            <w:r>
              <w:rPr>
                <w:rFonts w:ascii="Arial" w:hAnsi="Arial" w:cs="Arial"/>
                <w:sz w:val="22"/>
                <w:lang w:val="fr-CA"/>
              </w:rPr>
              <w:t xml:space="preserve">Précision dans la section 3 au sujet de l’échantillon préféré - </w:t>
            </w:r>
            <w:r w:rsidRPr="00774501">
              <w:rPr>
                <w:rFonts w:ascii="Arial" w:hAnsi="Arial"/>
                <w:sz w:val="22"/>
                <w:lang w:val="fr-CA"/>
              </w:rPr>
              <w:t>tube EDTA, idéalement prélevé dans les quatorze (14) jours précédant l’analyse</w:t>
            </w:r>
            <w:r w:rsidR="00D33C89">
              <w:rPr>
                <w:rFonts w:ascii="Arial" w:hAnsi="Arial"/>
                <w:sz w:val="22"/>
                <w:lang w:val="fr-CA"/>
              </w:rPr>
              <w:t>.</w:t>
            </w:r>
          </w:p>
          <w:p w:rsidR="00D33C89" w:rsidRPr="00D33C89" w:rsidRDefault="00D33C89" w:rsidP="00356DC3">
            <w:pPr>
              <w:pStyle w:val="Header"/>
              <w:numPr>
                <w:ilvl w:val="0"/>
                <w:numId w:val="17"/>
              </w:numPr>
              <w:tabs>
                <w:tab w:val="left" w:pos="720"/>
              </w:tabs>
              <w:rPr>
                <w:rFonts w:ascii="Arial" w:hAnsi="Arial" w:cs="Arial"/>
                <w:sz w:val="22"/>
                <w:lang w:val="fr-CA"/>
              </w:rPr>
            </w:pPr>
            <w:r>
              <w:rPr>
                <w:rFonts w:ascii="Arial" w:hAnsi="Arial" w:cs="Arial"/>
                <w:sz w:val="22"/>
                <w:lang w:val="fr-CA"/>
              </w:rPr>
              <w:t>Ajout à la section 3.0 : « Voir la Remarque 8.10 ».</w:t>
            </w:r>
          </w:p>
          <w:p w:rsidR="0005061F" w:rsidRPr="0055014C" w:rsidRDefault="00D33C89" w:rsidP="00356DC3">
            <w:pPr>
              <w:pStyle w:val="Header"/>
              <w:numPr>
                <w:ilvl w:val="0"/>
                <w:numId w:val="17"/>
              </w:numPr>
              <w:tabs>
                <w:tab w:val="left" w:pos="720"/>
              </w:tabs>
              <w:rPr>
                <w:rFonts w:ascii="Arial" w:hAnsi="Arial" w:cs="Arial"/>
                <w:sz w:val="22"/>
                <w:lang w:val="fr-CA"/>
              </w:rPr>
            </w:pPr>
            <w:r>
              <w:rPr>
                <w:rFonts w:ascii="Arial" w:hAnsi="Arial"/>
                <w:sz w:val="22"/>
                <w:lang w:val="fr-CA"/>
              </w:rPr>
              <w:t>Révision du libellé de la section 5.3 pour préciser une « couche de liquide claire »</w:t>
            </w:r>
            <w:r w:rsidR="0005061F" w:rsidRPr="0055014C">
              <w:rPr>
                <w:rFonts w:ascii="Arial" w:hAnsi="Arial"/>
                <w:sz w:val="24"/>
                <w:lang w:val="fr-CA"/>
              </w:rPr>
              <w:t xml:space="preserve"> </w:t>
            </w:r>
          </w:p>
          <w:p w:rsidR="0005061F" w:rsidRPr="0055014C" w:rsidRDefault="0005061F" w:rsidP="00356DC3">
            <w:pPr>
              <w:pStyle w:val="Header"/>
              <w:numPr>
                <w:ilvl w:val="0"/>
                <w:numId w:val="17"/>
              </w:numPr>
              <w:tabs>
                <w:tab w:val="left" w:pos="720"/>
              </w:tabs>
              <w:rPr>
                <w:rFonts w:ascii="Arial" w:hAnsi="Arial" w:cs="Arial"/>
                <w:sz w:val="22"/>
                <w:szCs w:val="22"/>
                <w:lang w:val="fr-CA"/>
              </w:rPr>
            </w:pPr>
            <w:r w:rsidRPr="0055014C">
              <w:rPr>
                <w:rFonts w:ascii="Arial" w:hAnsi="Arial" w:cs="Arial"/>
                <w:sz w:val="22"/>
                <w:szCs w:val="22"/>
                <w:lang w:val="fr-CA"/>
              </w:rPr>
              <w:t>Révision et renumérotation de</w:t>
            </w:r>
            <w:r>
              <w:rPr>
                <w:rFonts w:ascii="Arial" w:hAnsi="Arial" w:cs="Arial"/>
                <w:sz w:val="22"/>
                <w:szCs w:val="22"/>
                <w:lang w:val="fr-CA"/>
              </w:rPr>
              <w:t>s</w:t>
            </w:r>
            <w:r w:rsidRPr="0055014C">
              <w:rPr>
                <w:rFonts w:ascii="Arial" w:hAnsi="Arial" w:cs="Arial"/>
                <w:sz w:val="22"/>
                <w:szCs w:val="22"/>
                <w:lang w:val="fr-CA"/>
              </w:rPr>
              <w:t xml:space="preserve"> section</w:t>
            </w:r>
            <w:r>
              <w:rPr>
                <w:rFonts w:ascii="Arial" w:hAnsi="Arial" w:cs="Arial"/>
                <w:sz w:val="22"/>
                <w:szCs w:val="22"/>
                <w:lang w:val="fr-CA"/>
              </w:rPr>
              <w:t xml:space="preserve">s 5.0, </w:t>
            </w:r>
            <w:r w:rsidR="00D33C89">
              <w:rPr>
                <w:rFonts w:ascii="Arial" w:hAnsi="Arial" w:cs="Arial"/>
                <w:sz w:val="22"/>
                <w:szCs w:val="22"/>
                <w:lang w:val="fr-CA"/>
              </w:rPr>
              <w:t xml:space="preserve">6.0, </w:t>
            </w:r>
            <w:r>
              <w:rPr>
                <w:rFonts w:ascii="Arial" w:hAnsi="Arial" w:cs="Arial"/>
                <w:sz w:val="22"/>
                <w:szCs w:val="22"/>
                <w:lang w:val="fr-CA"/>
              </w:rPr>
              <w:t>7.0 et 8.0</w:t>
            </w:r>
          </w:p>
          <w:p w:rsidR="0005061F" w:rsidRPr="0055014C" w:rsidRDefault="0005061F" w:rsidP="00356DC3">
            <w:pPr>
              <w:pStyle w:val="Header"/>
              <w:numPr>
                <w:ilvl w:val="0"/>
                <w:numId w:val="17"/>
              </w:numPr>
              <w:tabs>
                <w:tab w:val="left" w:pos="720"/>
              </w:tabs>
              <w:rPr>
                <w:rFonts w:ascii="Arial" w:hAnsi="Arial" w:cs="Arial"/>
                <w:sz w:val="22"/>
                <w:szCs w:val="22"/>
                <w:lang w:val="fr-CA"/>
              </w:rPr>
            </w:pPr>
            <w:r w:rsidRPr="0055014C">
              <w:rPr>
                <w:rFonts w:ascii="Arial" w:hAnsi="Arial"/>
                <w:sz w:val="22"/>
                <w:lang w:val="fr-CA"/>
              </w:rPr>
              <w:t xml:space="preserve">Mise à jour des références </w:t>
            </w:r>
          </w:p>
        </w:tc>
      </w:tr>
    </w:tbl>
    <w:p w:rsidR="007404AC" w:rsidRDefault="007404AC">
      <w:pPr>
        <w:rPr>
          <w:lang w:val="fr-CA"/>
        </w:rPr>
      </w:pPr>
    </w:p>
    <w:sectPr w:rsidR="007404AC">
      <w:headerReference w:type="even" r:id="rId8"/>
      <w:headerReference w:type="default" r:id="rId9"/>
      <w:footerReference w:type="even" r:id="rId10"/>
      <w:footerReference w:type="default" r:id="rId11"/>
      <w:headerReference w:type="first" r:id="rId12"/>
      <w:footerReference w:type="first" r:id="rId13"/>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C56" w:rsidRDefault="00936C56">
      <w:r>
        <w:separator/>
      </w:r>
    </w:p>
  </w:endnote>
  <w:endnote w:type="continuationSeparator" w:id="0">
    <w:p w:rsidR="00936C56" w:rsidRDefault="0093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6A1" w:rsidRDefault="00830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04"/>
    </w:tblGrid>
    <w:tr w:rsidR="00D73173">
      <w:tblPrEx>
        <w:tblCellMar>
          <w:top w:w="0" w:type="dxa"/>
          <w:bottom w:w="0" w:type="dxa"/>
        </w:tblCellMar>
      </w:tblPrEx>
      <w:trPr>
        <w:trHeight w:val="720"/>
      </w:trPr>
      <w:tc>
        <w:tcPr>
          <w:tcW w:w="1368" w:type="dxa"/>
        </w:tcPr>
        <w:p w:rsidR="00D73173" w:rsidRDefault="00D73173">
          <w:pPr>
            <w:pStyle w:val="Footer"/>
            <w:jc w:val="center"/>
            <w:rPr>
              <w:rFonts w:ascii="Verdana" w:hAnsi="Verdana"/>
              <w:sz w:val="8"/>
            </w:rPr>
          </w:pPr>
        </w:p>
        <w:p w:rsidR="00D73173" w:rsidRDefault="00E516CB">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D73173" w:rsidRDefault="00D73173">
          <w:pPr>
            <w:pStyle w:val="Footer"/>
            <w:jc w:val="center"/>
            <w:rPr>
              <w:rFonts w:ascii="Arial" w:hAnsi="Arial"/>
              <w:sz w:val="18"/>
            </w:rPr>
          </w:pPr>
        </w:p>
        <w:p w:rsidR="007404AC" w:rsidRDefault="007404AC" w:rsidP="007404AC">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D73173" w:rsidRPr="00B576ED" w:rsidRDefault="007404AC" w:rsidP="007404AC">
          <w:pPr>
            <w:pStyle w:val="Footer"/>
            <w:jc w:val="center"/>
            <w:rPr>
              <w:rFonts w:ascii="Arial" w:hAnsi="Arial"/>
              <w:sz w:val="18"/>
              <w:lang w:val="fr-CA"/>
            </w:rPr>
          </w:pPr>
          <w:r>
            <w:rPr>
              <w:rFonts w:ascii="Arial" w:hAnsi="Arial"/>
              <w:sz w:val="18"/>
              <w:lang w:val="fr-CA"/>
            </w:rPr>
            <w:t>Manuel de ressources techniques en transfusion de l’Ontario</w:t>
          </w:r>
        </w:p>
      </w:tc>
      <w:tc>
        <w:tcPr>
          <w:tcW w:w="1404" w:type="dxa"/>
        </w:tcPr>
        <w:p w:rsidR="00D73173" w:rsidRPr="00B576ED" w:rsidRDefault="00D73173">
          <w:pPr>
            <w:pStyle w:val="Footer"/>
            <w:jc w:val="right"/>
            <w:rPr>
              <w:rFonts w:ascii="Arial" w:hAnsi="Arial"/>
              <w:sz w:val="18"/>
              <w:lang w:val="fr-CA"/>
            </w:rPr>
          </w:pPr>
        </w:p>
        <w:p w:rsidR="00D73173" w:rsidRDefault="00D73173" w:rsidP="007404AC">
          <w:pPr>
            <w:pStyle w:val="Footer"/>
            <w:jc w:val="right"/>
            <w:rPr>
              <w:rFonts w:ascii="Arial" w:hAnsi="Arial"/>
              <w:sz w:val="18"/>
            </w:rPr>
          </w:pPr>
          <w:r>
            <w:rPr>
              <w:rFonts w:ascii="Arial" w:hAnsi="Arial"/>
              <w:sz w:val="18"/>
            </w:rPr>
            <w:t>TG.00</w:t>
          </w:r>
          <w:r w:rsidR="007404AC">
            <w:rPr>
              <w:rFonts w:ascii="Arial" w:hAnsi="Arial"/>
              <w:sz w:val="18"/>
            </w:rPr>
            <w:t>5</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A963C2">
            <w:rPr>
              <w:rFonts w:ascii="Arial" w:hAnsi="Arial"/>
              <w:noProof/>
              <w:snapToGrid w:val="0"/>
              <w:sz w:val="18"/>
            </w:rPr>
            <w:t>11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A963C2">
            <w:rPr>
              <w:rFonts w:ascii="Arial" w:hAnsi="Arial"/>
              <w:noProof/>
              <w:snapToGrid w:val="0"/>
              <w:sz w:val="18"/>
            </w:rPr>
            <w:t>11</w:t>
          </w:r>
          <w:r>
            <w:rPr>
              <w:rFonts w:ascii="Arial" w:hAnsi="Arial"/>
              <w:snapToGrid w:val="0"/>
              <w:sz w:val="18"/>
            </w:rPr>
            <w:fldChar w:fldCharType="end"/>
          </w:r>
        </w:p>
      </w:tc>
    </w:tr>
  </w:tbl>
  <w:p w:rsidR="00D73173" w:rsidRDefault="00D73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04"/>
    </w:tblGrid>
    <w:tr w:rsidR="00D73173">
      <w:tblPrEx>
        <w:tblCellMar>
          <w:top w:w="0" w:type="dxa"/>
          <w:bottom w:w="0" w:type="dxa"/>
        </w:tblCellMar>
      </w:tblPrEx>
      <w:trPr>
        <w:trHeight w:val="720"/>
      </w:trPr>
      <w:tc>
        <w:tcPr>
          <w:tcW w:w="1368" w:type="dxa"/>
        </w:tcPr>
        <w:p w:rsidR="00D73173" w:rsidRDefault="00D73173">
          <w:pPr>
            <w:pStyle w:val="Footer"/>
            <w:jc w:val="center"/>
            <w:rPr>
              <w:rFonts w:ascii="Verdana" w:hAnsi="Verdana"/>
              <w:sz w:val="8"/>
            </w:rPr>
          </w:pPr>
        </w:p>
        <w:p w:rsidR="00D73173" w:rsidRDefault="00E516CB">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p w:rsidR="00D73173" w:rsidRDefault="00D73173">
          <w:pPr>
            <w:pStyle w:val="Footer"/>
            <w:jc w:val="center"/>
            <w:rPr>
              <w:rFonts w:ascii="Verdana" w:hAnsi="Verdana"/>
              <w:sz w:val="8"/>
            </w:rPr>
          </w:pPr>
        </w:p>
      </w:tc>
      <w:tc>
        <w:tcPr>
          <w:tcW w:w="5976" w:type="dxa"/>
        </w:tcPr>
        <w:p w:rsidR="00D73173" w:rsidRDefault="00D73173">
          <w:pPr>
            <w:pStyle w:val="Footer"/>
            <w:jc w:val="center"/>
            <w:rPr>
              <w:rFonts w:ascii="Arial" w:hAnsi="Arial"/>
              <w:sz w:val="18"/>
            </w:rPr>
          </w:pPr>
        </w:p>
        <w:p w:rsidR="007404AC" w:rsidRDefault="007404AC" w:rsidP="007404AC">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D73173" w:rsidRPr="00B576ED" w:rsidRDefault="007404AC" w:rsidP="007404AC">
          <w:pPr>
            <w:pStyle w:val="Footer"/>
            <w:jc w:val="center"/>
            <w:rPr>
              <w:rFonts w:ascii="Arial" w:hAnsi="Arial"/>
              <w:sz w:val="18"/>
              <w:lang w:val="fr-CA"/>
            </w:rPr>
          </w:pPr>
          <w:r>
            <w:rPr>
              <w:rFonts w:ascii="Arial" w:hAnsi="Arial"/>
              <w:sz w:val="18"/>
              <w:lang w:val="fr-CA"/>
            </w:rPr>
            <w:t>Manuel de ressources techniques en transfusion de l’Ontario</w:t>
          </w:r>
        </w:p>
      </w:tc>
      <w:tc>
        <w:tcPr>
          <w:tcW w:w="1404" w:type="dxa"/>
        </w:tcPr>
        <w:p w:rsidR="00D73173" w:rsidRPr="00B576ED" w:rsidRDefault="00D73173">
          <w:pPr>
            <w:pStyle w:val="Footer"/>
            <w:jc w:val="right"/>
            <w:rPr>
              <w:rFonts w:ascii="Arial" w:hAnsi="Arial"/>
              <w:sz w:val="18"/>
              <w:lang w:val="fr-CA"/>
            </w:rPr>
          </w:pPr>
        </w:p>
        <w:p w:rsidR="00D73173" w:rsidRDefault="00E2077D" w:rsidP="007404AC">
          <w:pPr>
            <w:pStyle w:val="Footer"/>
            <w:jc w:val="right"/>
            <w:rPr>
              <w:rFonts w:ascii="Arial" w:hAnsi="Arial"/>
              <w:sz w:val="18"/>
            </w:rPr>
          </w:pPr>
          <w:r>
            <w:rPr>
              <w:rFonts w:ascii="Arial" w:hAnsi="Arial"/>
              <w:sz w:val="18"/>
            </w:rPr>
            <w:t>TG</w:t>
          </w:r>
          <w:r w:rsidR="00D73173">
            <w:rPr>
              <w:rFonts w:ascii="Arial" w:hAnsi="Arial"/>
              <w:sz w:val="18"/>
            </w:rPr>
            <w:t>.00</w:t>
          </w:r>
          <w:r w:rsidR="007404AC">
            <w:rPr>
              <w:rFonts w:ascii="Arial" w:hAnsi="Arial"/>
              <w:sz w:val="18"/>
            </w:rPr>
            <w:t>5</w:t>
          </w:r>
          <w:r w:rsidR="00D73173">
            <w:rPr>
              <w:rFonts w:ascii="Arial" w:hAnsi="Arial"/>
              <w:sz w:val="18"/>
            </w:rPr>
            <w:br/>
          </w:r>
          <w:r w:rsidR="00D73173">
            <w:rPr>
              <w:rFonts w:ascii="Arial" w:hAnsi="Arial"/>
              <w:snapToGrid w:val="0"/>
              <w:sz w:val="18"/>
            </w:rPr>
            <w:t xml:space="preserve">Page </w:t>
          </w:r>
          <w:r w:rsidR="00D73173">
            <w:rPr>
              <w:rFonts w:ascii="Arial" w:hAnsi="Arial"/>
              <w:snapToGrid w:val="0"/>
              <w:sz w:val="18"/>
            </w:rPr>
            <w:fldChar w:fldCharType="begin"/>
          </w:r>
          <w:r w:rsidR="00D73173">
            <w:rPr>
              <w:rFonts w:ascii="Arial" w:hAnsi="Arial"/>
              <w:snapToGrid w:val="0"/>
              <w:sz w:val="18"/>
            </w:rPr>
            <w:instrText xml:space="preserve"> PAGE </w:instrText>
          </w:r>
          <w:r w:rsidR="00D73173">
            <w:rPr>
              <w:rFonts w:ascii="Arial" w:hAnsi="Arial"/>
              <w:snapToGrid w:val="0"/>
              <w:sz w:val="18"/>
            </w:rPr>
            <w:fldChar w:fldCharType="separate"/>
          </w:r>
          <w:r w:rsidR="00A963C2">
            <w:rPr>
              <w:rFonts w:ascii="Arial" w:hAnsi="Arial"/>
              <w:noProof/>
              <w:snapToGrid w:val="0"/>
              <w:sz w:val="18"/>
            </w:rPr>
            <w:t>1</w:t>
          </w:r>
          <w:r w:rsidR="00D73173">
            <w:rPr>
              <w:rFonts w:ascii="Arial" w:hAnsi="Arial"/>
              <w:snapToGrid w:val="0"/>
              <w:sz w:val="18"/>
            </w:rPr>
            <w:fldChar w:fldCharType="end"/>
          </w:r>
          <w:r w:rsidR="00D73173">
            <w:rPr>
              <w:rFonts w:ascii="Arial" w:hAnsi="Arial"/>
              <w:snapToGrid w:val="0"/>
              <w:sz w:val="18"/>
            </w:rPr>
            <w:t xml:space="preserve"> </w:t>
          </w:r>
          <w:r>
            <w:rPr>
              <w:rFonts w:ascii="Arial" w:hAnsi="Arial"/>
              <w:snapToGrid w:val="0"/>
              <w:sz w:val="18"/>
            </w:rPr>
            <w:t>de</w:t>
          </w:r>
          <w:r w:rsidR="00D73173">
            <w:rPr>
              <w:rFonts w:ascii="Arial" w:hAnsi="Arial"/>
              <w:snapToGrid w:val="0"/>
              <w:sz w:val="18"/>
            </w:rPr>
            <w:t xml:space="preserve"> </w:t>
          </w:r>
          <w:r w:rsidR="00D73173">
            <w:rPr>
              <w:rFonts w:ascii="Arial" w:hAnsi="Arial"/>
              <w:snapToGrid w:val="0"/>
              <w:sz w:val="18"/>
            </w:rPr>
            <w:fldChar w:fldCharType="begin"/>
          </w:r>
          <w:r w:rsidR="00D73173">
            <w:rPr>
              <w:rFonts w:ascii="Arial" w:hAnsi="Arial"/>
              <w:snapToGrid w:val="0"/>
              <w:sz w:val="18"/>
            </w:rPr>
            <w:instrText xml:space="preserve"> NUMPAGES </w:instrText>
          </w:r>
          <w:r w:rsidR="00D73173">
            <w:rPr>
              <w:rFonts w:ascii="Arial" w:hAnsi="Arial"/>
              <w:snapToGrid w:val="0"/>
              <w:sz w:val="18"/>
            </w:rPr>
            <w:fldChar w:fldCharType="separate"/>
          </w:r>
          <w:r w:rsidR="00A963C2">
            <w:rPr>
              <w:rFonts w:ascii="Arial" w:hAnsi="Arial"/>
              <w:noProof/>
              <w:snapToGrid w:val="0"/>
              <w:sz w:val="18"/>
            </w:rPr>
            <w:t>1</w:t>
          </w:r>
          <w:r w:rsidR="00D73173">
            <w:rPr>
              <w:rFonts w:ascii="Arial" w:hAnsi="Arial"/>
              <w:snapToGrid w:val="0"/>
              <w:sz w:val="18"/>
            </w:rPr>
            <w:fldChar w:fldCharType="end"/>
          </w:r>
        </w:p>
      </w:tc>
    </w:tr>
  </w:tbl>
  <w:p w:rsidR="00D73173" w:rsidRDefault="00D73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C56" w:rsidRDefault="00936C56">
      <w:r>
        <w:separator/>
      </w:r>
    </w:p>
  </w:footnote>
  <w:footnote w:type="continuationSeparator" w:id="0">
    <w:p w:rsidR="00936C56" w:rsidRDefault="0093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6A1" w:rsidRDefault="00830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73" w:rsidRPr="00B576ED" w:rsidRDefault="00D73173">
    <w:pPr>
      <w:pStyle w:val="Header"/>
      <w:jc w:val="center"/>
      <w:rPr>
        <w:rFonts w:ascii="Arial" w:hAnsi="Arial"/>
        <w:b/>
        <w:sz w:val="26"/>
        <w:lang w:val="fr-CA"/>
      </w:rPr>
    </w:pPr>
    <w:r w:rsidRPr="00B576ED">
      <w:rPr>
        <w:rFonts w:ascii="Arial" w:hAnsi="Arial"/>
        <w:b/>
        <w:sz w:val="26"/>
        <w:lang w:val="fr-CA"/>
      </w:rPr>
      <w:t>Identification d’anticorps – préréchauffement - carte de gel anti-IgG</w:t>
    </w:r>
  </w:p>
  <w:p w:rsidR="00D73173" w:rsidRPr="00B576ED" w:rsidRDefault="00D73173">
    <w:pPr>
      <w:pStyle w:val="Header"/>
      <w:rPr>
        <w:rFonts w:ascii="Arial" w:hAnsi="Arial"/>
        <w:sz w:val="18"/>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73" w:rsidRDefault="00E516CB">
    <w:pPr>
      <w:pStyle w:val="Header"/>
      <w:tabs>
        <w:tab w:val="clear" w:pos="8640"/>
        <w:tab w:val="left" w:pos="5057"/>
      </w:tabs>
    </w:pPr>
    <w:r>
      <w:rPr>
        <w:noProof/>
      </w:rPr>
      <w:drawing>
        <wp:inline distT="0" distB="0" distL="0" distR="0">
          <wp:extent cx="1552575" cy="523875"/>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inline>
      </w:drawing>
    </w:r>
  </w:p>
  <w:p w:rsidR="00B576ED" w:rsidRDefault="00B576ED">
    <w:pPr>
      <w:pStyle w:val="Header"/>
      <w:tabs>
        <w:tab w:val="clear" w:pos="8640"/>
        <w:tab w:val="left" w:pos="5057"/>
      </w:tabs>
      <w:rPr>
        <w:rFonts w:ascii="Arial" w:hAnsi="Arial"/>
        <w:b/>
        <w:kern w:val="24"/>
        <w:sz w:val="22"/>
      </w:rPr>
    </w:pPr>
  </w:p>
  <w:p w:rsidR="007404AC" w:rsidRPr="00B576ED" w:rsidRDefault="007404AC" w:rsidP="007404AC">
    <w:pPr>
      <w:pStyle w:val="Header"/>
      <w:jc w:val="center"/>
      <w:rPr>
        <w:rFonts w:ascii="Arial" w:hAnsi="Arial" w:cs="Arial"/>
        <w:b/>
        <w:bCs/>
        <w:sz w:val="24"/>
        <w:szCs w:val="28"/>
        <w:lang w:val="fr-CA"/>
      </w:rPr>
    </w:pPr>
    <w:r w:rsidRPr="00B576ED">
      <w:rPr>
        <w:rFonts w:ascii="Arial" w:hAnsi="Arial" w:cs="Arial"/>
        <w:b/>
        <w:bCs/>
        <w:sz w:val="24"/>
        <w:szCs w:val="28"/>
        <w:lang w:val="fr-CA"/>
      </w:rPr>
      <w:t>Réseau régional ontarien de coordination du sang</w:t>
    </w:r>
  </w:p>
  <w:p w:rsidR="007404AC" w:rsidRPr="00B576ED" w:rsidRDefault="007404AC" w:rsidP="007404AC">
    <w:pPr>
      <w:pStyle w:val="Header"/>
      <w:jc w:val="center"/>
      <w:rPr>
        <w:rFonts w:ascii="Arial" w:hAnsi="Arial" w:cs="Arial"/>
        <w:b/>
        <w:bCs/>
        <w:sz w:val="24"/>
        <w:szCs w:val="28"/>
        <w:lang w:val="fr-CA"/>
      </w:rPr>
    </w:pPr>
    <w:r w:rsidRPr="00B576ED">
      <w:rPr>
        <w:rFonts w:ascii="Arial" w:hAnsi="Arial" w:cs="Arial"/>
        <w:b/>
        <w:bCs/>
        <w:sz w:val="24"/>
        <w:szCs w:val="28"/>
        <w:lang w:val="fr-CA"/>
      </w:rPr>
      <w:t>Manuel de ressources techniques en transfusion de l’Ontario</w:t>
    </w:r>
  </w:p>
  <w:p w:rsidR="00D73173" w:rsidRPr="00B576ED" w:rsidRDefault="00D73173">
    <w:pPr>
      <w:pStyle w:val="Header"/>
      <w:jc w:val="center"/>
      <w:rPr>
        <w:rFonts w:ascii="Arial" w:hAnsi="Arial"/>
        <w:b/>
        <w:kern w:val="24"/>
        <w:sz w:val="22"/>
        <w:lang w:val="fr-CA"/>
      </w:rPr>
    </w:pPr>
  </w:p>
  <w:p w:rsidR="00D73173" w:rsidRPr="00B576ED" w:rsidRDefault="00D73173" w:rsidP="007404AC">
    <w:pPr>
      <w:pStyle w:val="Header"/>
      <w:tabs>
        <w:tab w:val="clear" w:pos="8640"/>
        <w:tab w:val="right" w:pos="9072"/>
      </w:tabs>
      <w:ind w:left="-284" w:right="-432"/>
      <w:jc w:val="center"/>
      <w:rPr>
        <w:rFonts w:ascii="Arial" w:hAnsi="Arial"/>
        <w:b/>
        <w:sz w:val="28"/>
        <w:lang w:val="fr-CA"/>
      </w:rPr>
    </w:pPr>
    <w:r w:rsidRPr="00B576ED">
      <w:rPr>
        <w:rFonts w:ascii="Arial" w:hAnsi="Arial"/>
        <w:b/>
        <w:sz w:val="28"/>
        <w:lang w:val="fr-CA"/>
      </w:rPr>
      <w:t>Identification d</w:t>
    </w:r>
    <w:r w:rsidR="00287F2D" w:rsidRPr="00B576ED">
      <w:rPr>
        <w:rFonts w:ascii="Arial" w:hAnsi="Arial"/>
        <w:b/>
        <w:sz w:val="28"/>
        <w:lang w:val="fr-CA"/>
      </w:rPr>
      <w:t>’</w:t>
    </w:r>
    <w:r w:rsidRPr="00B576ED">
      <w:rPr>
        <w:rFonts w:ascii="Arial" w:hAnsi="Arial"/>
        <w:b/>
        <w:sz w:val="28"/>
        <w:lang w:val="fr-CA"/>
      </w:rPr>
      <w:t>anticorps - préréchauffement - carte de gel anti-IgG</w:t>
    </w:r>
  </w:p>
  <w:p w:rsidR="00D73173" w:rsidRPr="00B576ED" w:rsidRDefault="00D73173">
    <w:pPr>
      <w:pStyle w:val="Header"/>
      <w:jc w:val="center"/>
      <w:rPr>
        <w:rFonts w:ascii="Arial" w:hAnsi="Arial"/>
        <w:b/>
        <w:sz w:val="28"/>
        <w:lang w:val="fr-CA"/>
      </w:rPr>
    </w:pPr>
  </w:p>
  <w:p w:rsidR="00D73173" w:rsidRPr="00B576ED" w:rsidRDefault="00D73173">
    <w:pPr>
      <w:pStyle w:val="Header"/>
      <w:tabs>
        <w:tab w:val="left" w:pos="6617"/>
      </w:tabs>
      <w:rPr>
        <w:rFonts w:ascii="Arial" w:hAnsi="Arial"/>
        <w:b/>
        <w:kern w:val="24"/>
        <w:lang w:val="fr-CA"/>
      </w:rPr>
    </w:pPr>
    <w:r w:rsidRPr="00B576ED">
      <w:rPr>
        <w:rFonts w:ascii="Arial" w:hAnsi="Arial"/>
        <w:b/>
        <w:lang w:val="fr-CA"/>
      </w:rPr>
      <w:tab/>
    </w:r>
    <w:r w:rsidR="00E516CB">
      <w:rPr>
        <w:noProof/>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946A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o:allowincell="f"/>
          </w:pict>
        </mc:Fallback>
      </mc:AlternateContent>
    </w:r>
  </w:p>
  <w:tbl>
    <w:tblPr>
      <w:tblW w:w="0" w:type="auto"/>
      <w:tblLayout w:type="fixed"/>
      <w:tblLook w:val="0000" w:firstRow="0" w:lastRow="0" w:firstColumn="0" w:lastColumn="0" w:noHBand="0" w:noVBand="0"/>
    </w:tblPr>
    <w:tblGrid>
      <w:gridCol w:w="4428"/>
      <w:gridCol w:w="4428"/>
    </w:tblGrid>
    <w:tr w:rsidR="00D73173">
      <w:tblPrEx>
        <w:tblCellMar>
          <w:top w:w="0" w:type="dxa"/>
          <w:bottom w:w="0" w:type="dxa"/>
        </w:tblCellMar>
      </w:tblPrEx>
      <w:tc>
        <w:tcPr>
          <w:tcW w:w="4428" w:type="dxa"/>
        </w:tcPr>
        <w:p w:rsidR="00D73173" w:rsidRPr="00D02BC6" w:rsidRDefault="00D73173" w:rsidP="007404AC">
          <w:pPr>
            <w:pStyle w:val="Header"/>
            <w:rPr>
              <w:rFonts w:ascii="Arial" w:hAnsi="Arial"/>
              <w:kern w:val="24"/>
              <w:lang w:val="fr-CA"/>
            </w:rPr>
          </w:pPr>
          <w:r w:rsidRPr="00D02BC6">
            <w:rPr>
              <w:rFonts w:ascii="Arial" w:hAnsi="Arial"/>
              <w:lang w:val="fr-CA"/>
            </w:rPr>
            <w:t>Approbation :</w:t>
          </w:r>
          <w:r w:rsidR="00306CE4">
            <w:rPr>
              <w:rFonts w:ascii="Arial" w:hAnsi="Arial"/>
              <w:lang w:val="fr-CA"/>
            </w:rPr>
            <w:t xml:space="preserve"> </w:t>
          </w:r>
        </w:p>
      </w:tc>
      <w:tc>
        <w:tcPr>
          <w:tcW w:w="4428" w:type="dxa"/>
        </w:tcPr>
        <w:p w:rsidR="00D73173" w:rsidRPr="00D02BC6" w:rsidRDefault="00D73173" w:rsidP="007404AC">
          <w:pPr>
            <w:pStyle w:val="Header"/>
            <w:rPr>
              <w:rFonts w:ascii="Arial" w:hAnsi="Arial"/>
              <w:kern w:val="24"/>
              <w:lang w:val="fr-CA"/>
            </w:rPr>
          </w:pPr>
          <w:r w:rsidRPr="00D02BC6">
            <w:rPr>
              <w:rFonts w:ascii="Arial" w:hAnsi="Arial"/>
              <w:lang w:val="fr-CA"/>
            </w:rPr>
            <w:t>Document n</w:t>
          </w:r>
          <w:r w:rsidRPr="00D02BC6">
            <w:rPr>
              <w:rFonts w:ascii="Arial" w:hAnsi="Arial"/>
              <w:vertAlign w:val="superscript"/>
              <w:lang w:val="fr-CA"/>
            </w:rPr>
            <w:t>o</w:t>
          </w:r>
          <w:r w:rsidRPr="00D02BC6">
            <w:rPr>
              <w:rFonts w:ascii="Arial" w:hAnsi="Arial"/>
              <w:lang w:val="fr-CA"/>
            </w:rPr>
            <w:t xml:space="preserve"> : TG.00</w:t>
          </w:r>
          <w:r w:rsidR="007404AC">
            <w:rPr>
              <w:rFonts w:ascii="Arial" w:hAnsi="Arial"/>
              <w:lang w:val="fr-CA"/>
            </w:rPr>
            <w:t>5</w:t>
          </w:r>
        </w:p>
      </w:tc>
    </w:tr>
    <w:tr w:rsidR="00D73173">
      <w:tblPrEx>
        <w:tblCellMar>
          <w:top w:w="0" w:type="dxa"/>
          <w:bottom w:w="0" w:type="dxa"/>
        </w:tblCellMar>
      </w:tblPrEx>
      <w:tc>
        <w:tcPr>
          <w:tcW w:w="4428" w:type="dxa"/>
        </w:tcPr>
        <w:p w:rsidR="00D73173" w:rsidRPr="00D02BC6" w:rsidRDefault="00D73173">
          <w:pPr>
            <w:pStyle w:val="Header"/>
            <w:rPr>
              <w:rFonts w:ascii="Arial" w:hAnsi="Arial"/>
              <w:kern w:val="24"/>
              <w:lang w:val="fr-CA"/>
            </w:rPr>
          </w:pPr>
          <w:r w:rsidRPr="00D02BC6">
            <w:rPr>
              <w:rFonts w:ascii="Arial" w:hAnsi="Arial"/>
              <w:lang w:val="fr-CA"/>
            </w:rPr>
            <w:t>Date de publication : 2006/06/01</w:t>
          </w:r>
        </w:p>
      </w:tc>
      <w:tc>
        <w:tcPr>
          <w:tcW w:w="4428" w:type="dxa"/>
        </w:tcPr>
        <w:p w:rsidR="00D73173" w:rsidRPr="00D02BC6" w:rsidRDefault="00D73173">
          <w:pPr>
            <w:pStyle w:val="Header"/>
            <w:rPr>
              <w:rFonts w:ascii="Arial" w:hAnsi="Arial"/>
              <w:kern w:val="24"/>
              <w:lang w:val="fr-CA"/>
            </w:rPr>
          </w:pPr>
          <w:r w:rsidRPr="00D02BC6">
            <w:rPr>
              <w:rFonts w:ascii="Arial" w:hAnsi="Arial"/>
              <w:lang w:val="fr-CA"/>
            </w:rPr>
            <w:t>Catégorie : Techniques en gel</w:t>
          </w:r>
        </w:p>
      </w:tc>
    </w:tr>
    <w:tr w:rsidR="00D73173">
      <w:tblPrEx>
        <w:tblCellMar>
          <w:top w:w="0" w:type="dxa"/>
          <w:bottom w:w="0" w:type="dxa"/>
        </w:tblCellMar>
      </w:tblPrEx>
      <w:tc>
        <w:tcPr>
          <w:tcW w:w="4428" w:type="dxa"/>
        </w:tcPr>
        <w:p w:rsidR="00D73173" w:rsidRPr="00D02BC6" w:rsidRDefault="00D73173">
          <w:pPr>
            <w:pStyle w:val="Header"/>
            <w:rPr>
              <w:rFonts w:ascii="Arial" w:hAnsi="Arial"/>
              <w:kern w:val="24"/>
              <w:lang w:val="fr-CA"/>
            </w:rPr>
          </w:pPr>
          <w:r w:rsidRPr="00D02BC6">
            <w:rPr>
              <w:rFonts w:ascii="Arial" w:hAnsi="Arial"/>
              <w:lang w:val="fr-CA"/>
            </w:rPr>
            <w:t>Date de révision :</w:t>
          </w:r>
          <w:r w:rsidR="00306CE4">
            <w:rPr>
              <w:rFonts w:ascii="Arial" w:hAnsi="Arial"/>
              <w:lang w:val="fr-CA"/>
            </w:rPr>
            <w:t xml:space="preserve"> </w:t>
          </w:r>
          <w:r w:rsidR="00306CE4">
            <w:rPr>
              <w:rFonts w:ascii="Arial" w:hAnsi="Arial" w:cs="Arial"/>
              <w:lang w:val="fr-CA"/>
            </w:rPr>
            <w:t>2009/12/31</w:t>
          </w:r>
          <w:r w:rsidR="007404AC">
            <w:rPr>
              <w:rFonts w:ascii="Arial" w:hAnsi="Arial" w:cs="Arial"/>
              <w:lang w:val="fr-CA"/>
            </w:rPr>
            <w:t>; 2014/04/30</w:t>
          </w:r>
        </w:p>
      </w:tc>
      <w:tc>
        <w:tcPr>
          <w:tcW w:w="4428" w:type="dxa"/>
        </w:tcPr>
        <w:p w:rsidR="00D73173" w:rsidRPr="00D02BC6" w:rsidRDefault="00D73173">
          <w:pPr>
            <w:pStyle w:val="Header"/>
            <w:rPr>
              <w:rFonts w:ascii="Arial" w:hAnsi="Arial"/>
              <w:kern w:val="24"/>
              <w:lang w:val="fr-CA"/>
            </w:rPr>
          </w:pPr>
          <w:r w:rsidRPr="00D02BC6">
            <w:rPr>
              <w:rFonts w:ascii="Arial" w:hAnsi="Arial"/>
              <w:lang w:val="fr-CA"/>
            </w:rPr>
            <w:t xml:space="preserve">Pages : </w:t>
          </w:r>
          <w:r w:rsidRPr="00D02BC6">
            <w:rPr>
              <w:rFonts w:ascii="Arial" w:hAnsi="Arial"/>
              <w:lang w:val="fr-CA"/>
            </w:rPr>
            <w:fldChar w:fldCharType="begin"/>
          </w:r>
          <w:r w:rsidRPr="00D02BC6">
            <w:rPr>
              <w:rFonts w:ascii="Arial" w:hAnsi="Arial"/>
              <w:lang w:val="fr-CA"/>
            </w:rPr>
            <w:instrText xml:space="preserve"> NUMPAGES </w:instrText>
          </w:r>
          <w:r w:rsidRPr="00D02BC6">
            <w:rPr>
              <w:rFonts w:ascii="Arial" w:hAnsi="Arial"/>
              <w:lang w:val="fr-CA"/>
            </w:rPr>
            <w:fldChar w:fldCharType="separate"/>
          </w:r>
          <w:r w:rsidR="00A963C2">
            <w:rPr>
              <w:rFonts w:ascii="Arial" w:hAnsi="Arial"/>
              <w:noProof/>
              <w:lang w:val="fr-CA"/>
            </w:rPr>
            <w:t>1</w:t>
          </w:r>
          <w:r w:rsidRPr="00D02BC6">
            <w:rPr>
              <w:rFonts w:ascii="Arial" w:hAnsi="Arial"/>
              <w:lang w:val="fr-CA"/>
            </w:rPr>
            <w:fldChar w:fldCharType="end"/>
          </w:r>
        </w:p>
      </w:tc>
    </w:tr>
  </w:tbl>
  <w:p w:rsidR="00D73173" w:rsidRDefault="00E516CB">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4F35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o:allowincell="f"/>
          </w:pict>
        </mc:Fallback>
      </mc:AlternateContent>
    </w:r>
    <w:r w:rsidR="00D73173">
      <w:tab/>
    </w:r>
  </w:p>
  <w:p w:rsidR="00D73173" w:rsidRDefault="00D73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8D8"/>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94A05F9"/>
    <w:multiLevelType w:val="multilevel"/>
    <w:tmpl w:val="88B63E92"/>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A4D4FE6"/>
    <w:multiLevelType w:val="hybridMultilevel"/>
    <w:tmpl w:val="E8A24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B840A3"/>
    <w:multiLevelType w:val="multilevel"/>
    <w:tmpl w:val="123ABBCE"/>
    <w:lvl w:ilvl="0">
      <w:start w:val="9"/>
      <w:numFmt w:val="decimal"/>
      <w:lvlText w:val="%1.0"/>
      <w:lvlJc w:val="left"/>
      <w:pPr>
        <w:ind w:left="720" w:hanging="720"/>
      </w:pPr>
      <w:rPr>
        <w:rFonts w:hint="default"/>
      </w:rPr>
    </w:lvl>
    <w:lvl w:ilvl="1">
      <w:start w:val="3"/>
      <w:numFmt w:val="decimal"/>
      <w:lvlText w:val="%1.%2"/>
      <w:lvlJc w:val="left"/>
      <w:pPr>
        <w:ind w:left="1430" w:hanging="720"/>
      </w:pPr>
      <w:rPr>
        <w:rFonts w:hint="default"/>
        <w:b w:val="0"/>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4BF2A3F"/>
    <w:multiLevelType w:val="multilevel"/>
    <w:tmpl w:val="38068F6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C20F9E"/>
    <w:multiLevelType w:val="hybridMultilevel"/>
    <w:tmpl w:val="E378F0CA"/>
    <w:lvl w:ilvl="0" w:tplc="032062F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6A34B8"/>
    <w:multiLevelType w:val="multilevel"/>
    <w:tmpl w:val="E788E2C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8382532"/>
    <w:multiLevelType w:val="multilevel"/>
    <w:tmpl w:val="6212C59C"/>
    <w:lvl w:ilvl="0">
      <w:start w:val="6"/>
      <w:numFmt w:val="decimal"/>
      <w:lvlText w:val="%1."/>
      <w:lvlJc w:val="left"/>
      <w:pPr>
        <w:ind w:left="525" w:hanging="525"/>
      </w:pPr>
      <w:rPr>
        <w:rFonts w:hint="default"/>
      </w:rPr>
    </w:lvl>
    <w:lvl w:ilvl="1">
      <w:start w:val="4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32E8351C"/>
    <w:multiLevelType w:val="multilevel"/>
    <w:tmpl w:val="B0508712"/>
    <w:lvl w:ilvl="0">
      <w:start w:val="8"/>
      <w:numFmt w:val="decimal"/>
      <w:lvlText w:val="%1"/>
      <w:lvlJc w:val="left"/>
      <w:pPr>
        <w:tabs>
          <w:tab w:val="num" w:pos="705"/>
        </w:tabs>
        <w:ind w:left="705" w:hanging="705"/>
      </w:pPr>
      <w:rPr>
        <w:rFonts w:hint="default"/>
      </w:rPr>
    </w:lvl>
    <w:lvl w:ilvl="1">
      <w:start w:val="9"/>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6593687"/>
    <w:multiLevelType w:val="hybridMultilevel"/>
    <w:tmpl w:val="E12CFFE0"/>
    <w:lvl w:ilvl="0" w:tplc="10090001">
      <w:start w:val="1"/>
      <w:numFmt w:val="bullet"/>
      <w:lvlText w:val=""/>
      <w:lvlJc w:val="left"/>
      <w:pPr>
        <w:ind w:left="2979" w:hanging="360"/>
      </w:pPr>
      <w:rPr>
        <w:rFonts w:ascii="Symbol" w:hAnsi="Symbol" w:hint="default"/>
      </w:rPr>
    </w:lvl>
    <w:lvl w:ilvl="1" w:tplc="10090003" w:tentative="1">
      <w:start w:val="1"/>
      <w:numFmt w:val="bullet"/>
      <w:lvlText w:val="o"/>
      <w:lvlJc w:val="left"/>
      <w:pPr>
        <w:ind w:left="3699" w:hanging="360"/>
      </w:pPr>
      <w:rPr>
        <w:rFonts w:ascii="Courier New" w:hAnsi="Courier New" w:cs="Courier New" w:hint="default"/>
      </w:rPr>
    </w:lvl>
    <w:lvl w:ilvl="2" w:tplc="10090005" w:tentative="1">
      <w:start w:val="1"/>
      <w:numFmt w:val="bullet"/>
      <w:lvlText w:val=""/>
      <w:lvlJc w:val="left"/>
      <w:pPr>
        <w:ind w:left="4419" w:hanging="360"/>
      </w:pPr>
      <w:rPr>
        <w:rFonts w:ascii="Wingdings" w:hAnsi="Wingdings" w:hint="default"/>
      </w:rPr>
    </w:lvl>
    <w:lvl w:ilvl="3" w:tplc="10090001" w:tentative="1">
      <w:start w:val="1"/>
      <w:numFmt w:val="bullet"/>
      <w:lvlText w:val=""/>
      <w:lvlJc w:val="left"/>
      <w:pPr>
        <w:ind w:left="5139" w:hanging="360"/>
      </w:pPr>
      <w:rPr>
        <w:rFonts w:ascii="Symbol" w:hAnsi="Symbol" w:hint="default"/>
      </w:rPr>
    </w:lvl>
    <w:lvl w:ilvl="4" w:tplc="10090003" w:tentative="1">
      <w:start w:val="1"/>
      <w:numFmt w:val="bullet"/>
      <w:lvlText w:val="o"/>
      <w:lvlJc w:val="left"/>
      <w:pPr>
        <w:ind w:left="5859" w:hanging="360"/>
      </w:pPr>
      <w:rPr>
        <w:rFonts w:ascii="Courier New" w:hAnsi="Courier New" w:cs="Courier New" w:hint="default"/>
      </w:rPr>
    </w:lvl>
    <w:lvl w:ilvl="5" w:tplc="10090005" w:tentative="1">
      <w:start w:val="1"/>
      <w:numFmt w:val="bullet"/>
      <w:lvlText w:val=""/>
      <w:lvlJc w:val="left"/>
      <w:pPr>
        <w:ind w:left="6579" w:hanging="360"/>
      </w:pPr>
      <w:rPr>
        <w:rFonts w:ascii="Wingdings" w:hAnsi="Wingdings" w:hint="default"/>
      </w:rPr>
    </w:lvl>
    <w:lvl w:ilvl="6" w:tplc="10090001" w:tentative="1">
      <w:start w:val="1"/>
      <w:numFmt w:val="bullet"/>
      <w:lvlText w:val=""/>
      <w:lvlJc w:val="left"/>
      <w:pPr>
        <w:ind w:left="7299" w:hanging="360"/>
      </w:pPr>
      <w:rPr>
        <w:rFonts w:ascii="Symbol" w:hAnsi="Symbol" w:hint="default"/>
      </w:rPr>
    </w:lvl>
    <w:lvl w:ilvl="7" w:tplc="10090003" w:tentative="1">
      <w:start w:val="1"/>
      <w:numFmt w:val="bullet"/>
      <w:lvlText w:val="o"/>
      <w:lvlJc w:val="left"/>
      <w:pPr>
        <w:ind w:left="8019" w:hanging="360"/>
      </w:pPr>
      <w:rPr>
        <w:rFonts w:ascii="Courier New" w:hAnsi="Courier New" w:cs="Courier New" w:hint="default"/>
      </w:rPr>
    </w:lvl>
    <w:lvl w:ilvl="8" w:tplc="10090005" w:tentative="1">
      <w:start w:val="1"/>
      <w:numFmt w:val="bullet"/>
      <w:lvlText w:val=""/>
      <w:lvlJc w:val="left"/>
      <w:pPr>
        <w:ind w:left="8739" w:hanging="360"/>
      </w:pPr>
      <w:rPr>
        <w:rFonts w:ascii="Wingdings" w:hAnsi="Wingdings" w:hint="default"/>
      </w:rPr>
    </w:lvl>
  </w:abstractNum>
  <w:abstractNum w:abstractNumId="10" w15:restartNumberingAfterBreak="0">
    <w:nsid w:val="379F0A38"/>
    <w:multiLevelType w:val="multilevel"/>
    <w:tmpl w:val="FE828784"/>
    <w:lvl w:ilvl="0">
      <w:start w:val="8"/>
      <w:numFmt w:val="decimal"/>
      <w:lvlText w:val="%1.0"/>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CD45507"/>
    <w:multiLevelType w:val="multilevel"/>
    <w:tmpl w:val="C90A042E"/>
    <w:lvl w:ilvl="0">
      <w:start w:val="10"/>
      <w:numFmt w:val="decimal"/>
      <w:lvlText w:val="%1.0"/>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859524A"/>
    <w:multiLevelType w:val="multilevel"/>
    <w:tmpl w:val="EAB246C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997"/>
        </w:tabs>
        <w:ind w:left="1997"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3B4652D"/>
    <w:multiLevelType w:val="multilevel"/>
    <w:tmpl w:val="E540891E"/>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5C0C1468"/>
    <w:multiLevelType w:val="multilevel"/>
    <w:tmpl w:val="39B438F8"/>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8AE1EA0"/>
    <w:multiLevelType w:val="multilevel"/>
    <w:tmpl w:val="2510303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9077DAB"/>
    <w:multiLevelType w:val="multilevel"/>
    <w:tmpl w:val="D070D1B2"/>
    <w:lvl w:ilvl="0">
      <w:start w:val="6"/>
      <w:numFmt w:val="decimal"/>
      <w:lvlText w:val="%1"/>
      <w:lvlJc w:val="left"/>
      <w:pPr>
        <w:ind w:left="525" w:hanging="525"/>
      </w:pPr>
      <w:rPr>
        <w:rFonts w:hint="default"/>
      </w:rPr>
    </w:lvl>
    <w:lvl w:ilvl="1">
      <w:start w:val="4"/>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5CB4D48"/>
    <w:multiLevelType w:val="multilevel"/>
    <w:tmpl w:val="B5DEAF0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75DD65A3"/>
    <w:multiLevelType w:val="multilevel"/>
    <w:tmpl w:val="B2304BB0"/>
    <w:lvl w:ilvl="0">
      <w:start w:val="9"/>
      <w:numFmt w:val="decimal"/>
      <w:lvlText w:val="%1.0"/>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6"/>
  </w:num>
  <w:num w:numId="3">
    <w:abstractNumId w:val="15"/>
  </w:num>
  <w:num w:numId="4">
    <w:abstractNumId w:val="4"/>
  </w:num>
  <w:num w:numId="5">
    <w:abstractNumId w:val="1"/>
  </w:num>
  <w:num w:numId="6">
    <w:abstractNumId w:val="14"/>
  </w:num>
  <w:num w:numId="7">
    <w:abstractNumId w:val="3"/>
  </w:num>
  <w:num w:numId="8">
    <w:abstractNumId w:val="9"/>
  </w:num>
  <w:num w:numId="9">
    <w:abstractNumId w:val="12"/>
  </w:num>
  <w:num w:numId="10">
    <w:abstractNumId w:val="2"/>
  </w:num>
  <w:num w:numId="11">
    <w:abstractNumId w:val="17"/>
  </w:num>
  <w:num w:numId="12">
    <w:abstractNumId w:val="7"/>
  </w:num>
  <w:num w:numId="13">
    <w:abstractNumId w:val="16"/>
  </w:num>
  <w:num w:numId="14">
    <w:abstractNumId w:val="10"/>
  </w:num>
  <w:num w:numId="15">
    <w:abstractNumId w:val="8"/>
  </w:num>
  <w:num w:numId="16">
    <w:abstractNumId w:val="11"/>
  </w:num>
  <w:num w:numId="17">
    <w:abstractNumId w:val="5"/>
  </w:num>
  <w:num w:numId="18">
    <w:abstractNumId w:val="18"/>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08"/>
    <w:rsid w:val="00021940"/>
    <w:rsid w:val="0005061F"/>
    <w:rsid w:val="001143A0"/>
    <w:rsid w:val="00245DE8"/>
    <w:rsid w:val="00246978"/>
    <w:rsid w:val="00262957"/>
    <w:rsid w:val="00287F2D"/>
    <w:rsid w:val="002C5409"/>
    <w:rsid w:val="002F40CF"/>
    <w:rsid w:val="00306CE4"/>
    <w:rsid w:val="003505C3"/>
    <w:rsid w:val="00356DC3"/>
    <w:rsid w:val="0038636F"/>
    <w:rsid w:val="003D2C8E"/>
    <w:rsid w:val="00447D85"/>
    <w:rsid w:val="00451F84"/>
    <w:rsid w:val="004554A9"/>
    <w:rsid w:val="004914E5"/>
    <w:rsid w:val="004934E9"/>
    <w:rsid w:val="004F0882"/>
    <w:rsid w:val="0059399E"/>
    <w:rsid w:val="005A2E32"/>
    <w:rsid w:val="005E4734"/>
    <w:rsid w:val="006062FA"/>
    <w:rsid w:val="0063745C"/>
    <w:rsid w:val="00662A91"/>
    <w:rsid w:val="00682E8B"/>
    <w:rsid w:val="00693B9B"/>
    <w:rsid w:val="006B2FE1"/>
    <w:rsid w:val="006E2E22"/>
    <w:rsid w:val="0073000F"/>
    <w:rsid w:val="007404AC"/>
    <w:rsid w:val="00775CBD"/>
    <w:rsid w:val="007B3FFC"/>
    <w:rsid w:val="008203BC"/>
    <w:rsid w:val="008306A1"/>
    <w:rsid w:val="0085663C"/>
    <w:rsid w:val="008C05EA"/>
    <w:rsid w:val="008F6BF7"/>
    <w:rsid w:val="00925448"/>
    <w:rsid w:val="00936C56"/>
    <w:rsid w:val="009558E8"/>
    <w:rsid w:val="009A74DE"/>
    <w:rsid w:val="009A7965"/>
    <w:rsid w:val="00A3312B"/>
    <w:rsid w:val="00A963C2"/>
    <w:rsid w:val="00AC60CE"/>
    <w:rsid w:val="00B170C5"/>
    <w:rsid w:val="00B36C52"/>
    <w:rsid w:val="00B576ED"/>
    <w:rsid w:val="00BD5F7D"/>
    <w:rsid w:val="00C22C63"/>
    <w:rsid w:val="00C82E94"/>
    <w:rsid w:val="00CF3DC9"/>
    <w:rsid w:val="00D02BC6"/>
    <w:rsid w:val="00D33C89"/>
    <w:rsid w:val="00D3757C"/>
    <w:rsid w:val="00D45033"/>
    <w:rsid w:val="00D73173"/>
    <w:rsid w:val="00E06ED2"/>
    <w:rsid w:val="00E2077D"/>
    <w:rsid w:val="00E26426"/>
    <w:rsid w:val="00E516CB"/>
    <w:rsid w:val="00E9650B"/>
    <w:rsid w:val="00EF5708"/>
    <w:rsid w:val="00F95237"/>
    <w:rsid w:val="00FA3796"/>
    <w:rsid w:val="00FE46B8"/>
    <w:rsid w:val="00FF1C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34248E-C2E3-4FF5-A65D-79415DF7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tabs>
        <w:tab w:val="left" w:pos="-720"/>
        <w:tab w:val="left" w:pos="0"/>
        <w:tab w:val="left" w:pos="720"/>
      </w:tabs>
      <w:suppressAutoHyphens/>
      <w:ind w:left="720"/>
      <w:jc w:val="both"/>
    </w:pPr>
    <w:rPr>
      <w:rFonts w:ascii="Arial" w:hAnsi="Arial"/>
      <w:spacing w:val="-2"/>
      <w:sz w:val="24"/>
    </w:rPr>
  </w:style>
  <w:style w:type="paragraph" w:styleId="BodyTextIndent3">
    <w:name w:val="Body Text Indent 3"/>
    <w:basedOn w:val="Normal"/>
    <w:pPr>
      <w:tabs>
        <w:tab w:val="left" w:pos="-720"/>
        <w:tab w:val="left" w:pos="0"/>
        <w:tab w:val="left" w:pos="1080"/>
      </w:tabs>
      <w:suppressAutoHyphens/>
      <w:ind w:left="3600" w:hanging="720"/>
      <w:jc w:val="both"/>
    </w:pPr>
    <w:rPr>
      <w:rFonts w:ascii="Arial" w:hAnsi="Arial"/>
      <w:spacing w:val="-2"/>
      <w:sz w:val="24"/>
    </w:rPr>
  </w:style>
  <w:style w:type="paragraph" w:styleId="BalloonText">
    <w:name w:val="Balloon Text"/>
    <w:basedOn w:val="Normal"/>
    <w:semiHidden/>
    <w:rsid w:val="00EF5708"/>
    <w:rPr>
      <w:rFonts w:ascii="Tahoma" w:hAnsi="Tahoma" w:cs="Tahoma"/>
      <w:sz w:val="16"/>
      <w:szCs w:val="16"/>
    </w:rPr>
  </w:style>
  <w:style w:type="character" w:customStyle="1" w:styleId="HeaderChar">
    <w:name w:val="Header Char"/>
    <w:link w:val="Header"/>
    <w:rsid w:val="007404AC"/>
    <w:rPr>
      <w:lang w:val="en-US" w:eastAsia="en-US"/>
    </w:rPr>
  </w:style>
  <w:style w:type="paragraph" w:styleId="ListParagraph">
    <w:name w:val="List Paragraph"/>
    <w:basedOn w:val="Normal"/>
    <w:uiPriority w:val="34"/>
    <w:qFormat/>
    <w:rsid w:val="004914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796AB-C7D6-40A9-8A31-73286958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2778</Words>
  <Characters>15838</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GM.006 Antibody Identification - Preward - Anti-IgG Gel Card</vt:lpstr>
      <vt:lpstr>GM.006 Antibody Identification - Preward - Anti-IgG Gel Card</vt:lpstr>
    </vt:vector>
  </TitlesOfParts>
  <Company>Microsoft</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GM.006 Antibody Identification - Preward - Anti-IgG Gel Card</dc:title>
  <dc:subject/>
  <dc:creator>Transfusion Ontario Program Office</dc:creator>
  <cp:keywords/>
  <cp:lastModifiedBy>Nesrallah, Heather</cp:lastModifiedBy>
  <cp:revision>2</cp:revision>
  <cp:lastPrinted>2011-06-10T18:28:00Z</cp:lastPrinted>
  <dcterms:created xsi:type="dcterms:W3CDTF">2020-08-10T19:17:00Z</dcterms:created>
  <dcterms:modified xsi:type="dcterms:W3CDTF">2020-08-10T19:17:00Z</dcterms:modified>
</cp:coreProperties>
</file>