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72" w:rsidRDefault="00D73E72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D73E72" w:rsidRDefault="00D73E72">
      <w:pPr>
        <w:spacing w:line="228" w:lineRule="auto"/>
        <w:rPr>
          <w:rFonts w:ascii="Arial" w:hAnsi="Arial"/>
          <w:b/>
          <w:sz w:val="24"/>
        </w:rPr>
      </w:pP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If RBCs are spontaneously agglutinating because of RBC-bound IgM:</w:t>
      </w:r>
    </w:p>
    <w:p w:rsidR="00D73E72" w:rsidRDefault="00B00A13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IgM mo</w:t>
      </w:r>
      <w:r w:rsidR="00D73E72">
        <w:rPr>
          <w:rFonts w:ascii="Arial" w:hAnsi="Arial"/>
          <w:sz w:val="24"/>
        </w:rPr>
        <w:t xml:space="preserve">lecules are susceptible to cleavage by thiol reagents such as Dithiothreitol (DTT), resulting in </w:t>
      </w:r>
      <w:r w:rsidR="00517A77">
        <w:rPr>
          <w:rFonts w:ascii="Arial" w:hAnsi="Arial"/>
          <w:sz w:val="24"/>
        </w:rPr>
        <w:t>dispersement of spontaneously agglutinating RBC’s due to IgM antibodies. This results in</w:t>
      </w:r>
      <w:r w:rsidR="00D73E72">
        <w:rPr>
          <w:rFonts w:ascii="Arial" w:hAnsi="Arial"/>
          <w:sz w:val="24"/>
        </w:rPr>
        <w:t xml:space="preserve"> RBCs suitable for ABO and Rh typing, and the detection of IgG and C3 by direct antiglobulin testing.</w:t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</w:p>
    <w:p w:rsidR="00D73E72" w:rsidRDefault="00D73E72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D73E72" w:rsidRDefault="00D73E72">
      <w:pPr>
        <w:spacing w:line="228" w:lineRule="auto"/>
        <w:rPr>
          <w:rFonts w:ascii="Arial" w:hAnsi="Arial"/>
          <w:b/>
          <w:sz w:val="24"/>
        </w:rPr>
      </w:pPr>
    </w:p>
    <w:p w:rsidR="00D73E72" w:rsidRDefault="00D73E72">
      <w:pPr>
        <w:pStyle w:val="BodyTextIndent"/>
        <w:spacing w:line="228" w:lineRule="auto"/>
        <w:rPr>
          <w:sz w:val="24"/>
        </w:rPr>
      </w:pPr>
      <w:r>
        <w:rPr>
          <w:sz w:val="24"/>
        </w:rPr>
        <w:t>Treatment with chloroquine diphosphate may be more efficient than DTT for ABO and Rh typing, but cannot be used for detecting IgG</w:t>
      </w:r>
      <w:r w:rsidR="00517A77">
        <w:rPr>
          <w:sz w:val="24"/>
        </w:rPr>
        <w:t xml:space="preserve"> as it removes IgG bound to RBC’s</w:t>
      </w:r>
      <w:r>
        <w:rPr>
          <w:sz w:val="24"/>
        </w:rPr>
        <w:t>.</w:t>
      </w:r>
    </w:p>
    <w:p w:rsidR="00D73E72" w:rsidRDefault="00D73E72">
      <w:pPr>
        <w:spacing w:line="228" w:lineRule="auto"/>
        <w:rPr>
          <w:rFonts w:ascii="Arial" w:hAnsi="Arial"/>
          <w:sz w:val="24"/>
        </w:rPr>
      </w:pPr>
    </w:p>
    <w:p w:rsidR="00D73E72" w:rsidRDefault="00D73E72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D73E72" w:rsidRDefault="00D73E72">
      <w:pPr>
        <w:spacing w:line="228" w:lineRule="auto"/>
        <w:rPr>
          <w:rFonts w:ascii="Arial" w:hAnsi="Arial"/>
          <w:sz w:val="24"/>
        </w:rPr>
      </w:pP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50% suspension of washed RBCs in </w:t>
      </w:r>
      <w:r w:rsidR="00427DCF">
        <w:rPr>
          <w:rFonts w:ascii="Arial" w:hAnsi="Arial"/>
          <w:sz w:val="24"/>
        </w:rPr>
        <w:t xml:space="preserve">normal </w:t>
      </w:r>
      <w:r>
        <w:rPr>
          <w:rFonts w:ascii="Arial" w:hAnsi="Arial"/>
          <w:sz w:val="24"/>
        </w:rPr>
        <w:t>saline</w:t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</w:p>
    <w:p w:rsidR="00D73E72" w:rsidRDefault="00D73E72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D73E72" w:rsidRDefault="00D73E72">
      <w:pPr>
        <w:spacing w:line="228" w:lineRule="auto"/>
        <w:rPr>
          <w:rFonts w:ascii="Arial" w:hAnsi="Arial"/>
          <w:sz w:val="24"/>
        </w:rPr>
      </w:pP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D73E72" w:rsidRDefault="00D73E72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</w:t>
      </w:r>
      <w:r w:rsidR="0019478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bath/Heating block at 37</w:t>
      </w:r>
      <w:r w:rsidR="00427DCF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</w:t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427DC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17A77">
        <w:rPr>
          <w:rFonts w:ascii="Arial" w:hAnsi="Arial"/>
          <w:sz w:val="24"/>
        </w:rPr>
        <w:t xml:space="preserve">0.9% </w:t>
      </w:r>
      <w:r>
        <w:rPr>
          <w:rFonts w:ascii="Arial" w:hAnsi="Arial"/>
          <w:sz w:val="24"/>
        </w:rPr>
        <w:t>Saline</w:t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Anti-IgG</w:t>
      </w:r>
    </w:p>
    <w:p w:rsidR="00D73E72" w:rsidRDefault="00D73E72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IgG-coated cells</w:t>
      </w:r>
    </w:p>
    <w:p w:rsidR="00D73E72" w:rsidRDefault="00D73E72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Bovine serum albumin (BSA) - 6% wt/vol. in PBS.</w:t>
      </w:r>
    </w:p>
    <w:p w:rsidR="00D73E72" w:rsidRDefault="00D73E72">
      <w:pPr>
        <w:pStyle w:val="BodyText2"/>
        <w:spacing w:line="228" w:lineRule="auto"/>
        <w:ind w:left="2880"/>
      </w:pPr>
      <w:r>
        <w:t xml:space="preserve">0.01 M DTT - 0.154 g DTT diluted to 100 ml in saline.  </w:t>
      </w:r>
    </w:p>
    <w:p w:rsidR="00D73E72" w:rsidRDefault="00D73E72">
      <w:pPr>
        <w:pStyle w:val="BodyText2"/>
        <w:spacing w:line="228" w:lineRule="auto"/>
        <w:ind w:left="2880"/>
      </w:pPr>
      <w:r>
        <w:t xml:space="preserve">Alternatively: A 1 in 10 dilution in </w:t>
      </w:r>
      <w:r w:rsidR="00427DCF">
        <w:t xml:space="preserve"> </w:t>
      </w:r>
      <w:r>
        <w:t xml:space="preserve">saline of 0.1 M DTT (0.154 g DTT in 10 ml PBS) can be made.  Aliquots of </w:t>
      </w:r>
      <w:r>
        <w:lastRenderedPageBreak/>
        <w:t>0.01 M DTT can be frozen in glass at -20</w:t>
      </w:r>
      <w:r w:rsidR="00427DCF">
        <w:rPr>
          <w:rFonts w:cs="Arial"/>
        </w:rPr>
        <w:t>°</w:t>
      </w:r>
      <w:r w:rsidR="00427DCF">
        <w:t xml:space="preserve">C for up to </w:t>
      </w:r>
      <w:r>
        <w:t>6 months.</w:t>
      </w:r>
    </w:p>
    <w:p w:rsidR="00AE74D6" w:rsidRDefault="00AE74D6">
      <w:pPr>
        <w:pStyle w:val="BodyText2"/>
        <w:spacing w:line="228" w:lineRule="auto"/>
        <w:ind w:left="2880"/>
      </w:pPr>
    </w:p>
    <w:p w:rsidR="00D73E72" w:rsidRDefault="00D73E72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D73E72" w:rsidRDefault="00D73E72">
      <w:pPr>
        <w:ind w:left="720"/>
        <w:rPr>
          <w:rFonts w:ascii="Arial" w:hAnsi="Arial"/>
          <w:sz w:val="24"/>
        </w:rPr>
      </w:pPr>
    </w:p>
    <w:p w:rsidR="00D73E72" w:rsidRDefault="00D73E72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D73E72" w:rsidRDefault="00D73E72">
      <w:pPr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AE74D6" w:rsidRPr="008E635A" w:rsidTr="008E635A">
        <w:tc>
          <w:tcPr>
            <w:tcW w:w="8606" w:type="dxa"/>
            <w:shd w:val="clear" w:color="auto" w:fill="auto"/>
          </w:tcPr>
          <w:p w:rsidR="00AE74D6" w:rsidRPr="008E635A" w:rsidRDefault="00AE74D6" w:rsidP="008E635A">
            <w:pPr>
              <w:numPr>
                <w:ilvl w:val="1"/>
                <w:numId w:val="1"/>
              </w:numPr>
              <w:tabs>
                <w:tab w:val="clear" w:pos="143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8E635A">
              <w:rPr>
                <w:rFonts w:ascii="Arial" w:hAnsi="Arial"/>
                <w:sz w:val="24"/>
              </w:rPr>
              <w:t>Mix equal volumes of .01 M DTT and a 50% suspension of RBCs.</w:t>
            </w:r>
          </w:p>
        </w:tc>
      </w:tr>
      <w:tr w:rsidR="00AE74D6" w:rsidRPr="008E635A" w:rsidTr="008E635A">
        <w:tc>
          <w:tcPr>
            <w:tcW w:w="8606" w:type="dxa"/>
            <w:shd w:val="clear" w:color="auto" w:fill="auto"/>
          </w:tcPr>
          <w:p w:rsidR="00AE74D6" w:rsidRPr="008E635A" w:rsidRDefault="00AE74D6" w:rsidP="008E635A">
            <w:pPr>
              <w:numPr>
                <w:ilvl w:val="1"/>
                <w:numId w:val="1"/>
              </w:numPr>
              <w:tabs>
                <w:tab w:val="clear" w:pos="143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8E635A">
              <w:rPr>
                <w:rFonts w:ascii="Arial" w:hAnsi="Arial"/>
                <w:sz w:val="24"/>
              </w:rPr>
              <w:t>Incubate at 37</w:t>
            </w:r>
            <w:r w:rsidRPr="008E635A">
              <w:rPr>
                <w:rFonts w:ascii="Arial" w:hAnsi="Arial" w:cs="Arial"/>
                <w:sz w:val="24"/>
              </w:rPr>
              <w:t>°</w:t>
            </w:r>
            <w:r w:rsidRPr="008E635A">
              <w:rPr>
                <w:rFonts w:ascii="Arial" w:hAnsi="Arial"/>
                <w:sz w:val="24"/>
              </w:rPr>
              <w:t>C for 15 min.</w:t>
            </w:r>
          </w:p>
        </w:tc>
      </w:tr>
      <w:tr w:rsidR="00AE74D6" w:rsidRPr="008E635A" w:rsidTr="008E635A">
        <w:tc>
          <w:tcPr>
            <w:tcW w:w="8606" w:type="dxa"/>
            <w:shd w:val="clear" w:color="auto" w:fill="auto"/>
          </w:tcPr>
          <w:p w:rsidR="00AE74D6" w:rsidRPr="008E635A" w:rsidRDefault="00AE74D6" w:rsidP="008E635A">
            <w:pPr>
              <w:numPr>
                <w:ilvl w:val="1"/>
                <w:numId w:val="1"/>
              </w:numPr>
              <w:tabs>
                <w:tab w:val="clear" w:pos="143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8E635A">
              <w:rPr>
                <w:rFonts w:ascii="Arial" w:hAnsi="Arial"/>
                <w:sz w:val="24"/>
              </w:rPr>
              <w:t>Wash the RBCs 3-4 times with saline and resuspend to 3%.</w:t>
            </w:r>
          </w:p>
        </w:tc>
      </w:tr>
      <w:tr w:rsidR="00AE74D6" w:rsidRPr="008E635A" w:rsidTr="008E635A">
        <w:tc>
          <w:tcPr>
            <w:tcW w:w="8606" w:type="dxa"/>
            <w:shd w:val="clear" w:color="auto" w:fill="auto"/>
          </w:tcPr>
          <w:p w:rsidR="00AE74D6" w:rsidRPr="008E635A" w:rsidRDefault="00AE74D6" w:rsidP="008E635A">
            <w:pPr>
              <w:numPr>
                <w:ilvl w:val="1"/>
                <w:numId w:val="1"/>
              </w:numPr>
              <w:tabs>
                <w:tab w:val="clear" w:pos="143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8E635A">
              <w:rPr>
                <w:rFonts w:ascii="Arial" w:hAnsi="Arial"/>
                <w:sz w:val="24"/>
              </w:rPr>
              <w:t>Test the treated RBCs with 6% BSA. If agglutination is still present, repeat treatment. See Procedural Notes 8.2.</w:t>
            </w:r>
          </w:p>
        </w:tc>
      </w:tr>
      <w:tr w:rsidR="00AE74D6" w:rsidRPr="008E635A" w:rsidTr="008E635A">
        <w:tc>
          <w:tcPr>
            <w:tcW w:w="8606" w:type="dxa"/>
            <w:shd w:val="clear" w:color="auto" w:fill="auto"/>
          </w:tcPr>
          <w:p w:rsidR="00AE74D6" w:rsidRPr="008E635A" w:rsidRDefault="00AE74D6" w:rsidP="008E635A">
            <w:pPr>
              <w:pStyle w:val="Header"/>
              <w:numPr>
                <w:ilvl w:val="1"/>
                <w:numId w:val="1"/>
              </w:numPr>
              <w:tabs>
                <w:tab w:val="clear" w:pos="1430"/>
                <w:tab w:val="clear" w:pos="4320"/>
                <w:tab w:val="clear" w:pos="86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8E635A">
              <w:rPr>
                <w:rFonts w:ascii="Arial" w:hAnsi="Arial"/>
                <w:sz w:val="24"/>
              </w:rPr>
              <w:t>Perform ABO, Rh or DAT as necessary.</w:t>
            </w:r>
          </w:p>
        </w:tc>
      </w:tr>
    </w:tbl>
    <w:p w:rsidR="00D73E72" w:rsidRDefault="00D73E72">
      <w:pPr>
        <w:ind w:left="720"/>
        <w:rPr>
          <w:rFonts w:ascii="Arial" w:hAnsi="Arial"/>
          <w:sz w:val="24"/>
        </w:rPr>
      </w:pPr>
    </w:p>
    <w:p w:rsidR="00D73E72" w:rsidRDefault="00D73E72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D73E72" w:rsidRDefault="00D73E72">
      <w:pPr>
        <w:rPr>
          <w:rFonts w:ascii="Arial" w:hAnsi="Arial"/>
          <w:sz w:val="24"/>
        </w:rPr>
      </w:pPr>
    </w:p>
    <w:p w:rsidR="00D73E72" w:rsidRDefault="00D73E72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D73E72" w:rsidRDefault="00D73E72">
      <w:pPr>
        <w:rPr>
          <w:rFonts w:ascii="Arial" w:hAnsi="Arial"/>
          <w:sz w:val="24"/>
        </w:rPr>
      </w:pPr>
    </w:p>
    <w:p w:rsidR="00D73E72" w:rsidRDefault="00D73E72" w:rsidP="0019478B">
      <w:pPr>
        <w:numPr>
          <w:ilvl w:val="1"/>
          <w:numId w:val="1"/>
        </w:numPr>
        <w:ind w:hanging="721"/>
        <w:rPr>
          <w:rFonts w:ascii="Arial" w:hAnsi="Arial"/>
          <w:sz w:val="24"/>
        </w:rPr>
      </w:pPr>
      <w:r>
        <w:rPr>
          <w:rFonts w:ascii="Arial" w:hAnsi="Arial"/>
          <w:sz w:val="24"/>
        </w:rPr>
        <w:t>Treatment of RBCs with DTT will not remove in vivo bound IgG or complement components from the RBC membrane.</w:t>
      </w:r>
    </w:p>
    <w:p w:rsidR="00D73E72" w:rsidRDefault="00D73E72">
      <w:pPr>
        <w:ind w:left="720"/>
        <w:rPr>
          <w:rFonts w:ascii="Arial" w:hAnsi="Arial"/>
          <w:sz w:val="24"/>
        </w:rPr>
      </w:pPr>
    </w:p>
    <w:p w:rsidR="00D73E72" w:rsidRDefault="00D73E72" w:rsidP="0019478B">
      <w:pPr>
        <w:numPr>
          <w:ilvl w:val="1"/>
          <w:numId w:val="1"/>
        </w:numPr>
        <w:ind w:hanging="721"/>
        <w:rPr>
          <w:rFonts w:ascii="Arial" w:hAnsi="Arial"/>
          <w:sz w:val="24"/>
        </w:rPr>
      </w:pPr>
      <w:r>
        <w:rPr>
          <w:rFonts w:ascii="Arial" w:hAnsi="Arial"/>
          <w:sz w:val="24"/>
        </w:rPr>
        <w:t>If RBCs are still reactive with 6% BSA, try treating a fresh aliquot with 0.05M DTT for 15-30 min</w:t>
      </w:r>
      <w:r w:rsidR="0019478B">
        <w:rPr>
          <w:rFonts w:ascii="Arial" w:hAnsi="Arial"/>
          <w:sz w:val="24"/>
        </w:rPr>
        <w:t>utes</w:t>
      </w:r>
      <w:r>
        <w:rPr>
          <w:rFonts w:ascii="Arial" w:hAnsi="Arial"/>
          <w:sz w:val="24"/>
        </w:rPr>
        <w:t xml:space="preserve"> at 37</w:t>
      </w:r>
      <w:r w:rsidR="00427DCF">
        <w:rPr>
          <w:rFonts w:ascii="Arial" w:hAnsi="Arial" w:cs="Arial"/>
          <w:sz w:val="24"/>
        </w:rPr>
        <w:t>°</w:t>
      </w:r>
      <w:r w:rsidR="00AE74D6">
        <w:rPr>
          <w:rFonts w:ascii="Arial" w:hAnsi="Arial"/>
          <w:sz w:val="24"/>
        </w:rPr>
        <w:t xml:space="preserve">C. </w:t>
      </w:r>
      <w:r>
        <w:rPr>
          <w:rFonts w:ascii="Arial" w:hAnsi="Arial"/>
          <w:sz w:val="24"/>
        </w:rPr>
        <w:t>Treating with 0.1 M DTT causes increased hemolysis.</w:t>
      </w:r>
    </w:p>
    <w:p w:rsidR="00D73E72" w:rsidRDefault="00D73E72">
      <w:pPr>
        <w:ind w:left="720"/>
        <w:rPr>
          <w:rFonts w:ascii="Arial" w:hAnsi="Arial"/>
          <w:sz w:val="24"/>
        </w:rPr>
      </w:pPr>
    </w:p>
    <w:p w:rsidR="00AE74D6" w:rsidRDefault="00D73E72" w:rsidP="00AE74D6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AE74D6" w:rsidRPr="00AE74D6" w:rsidRDefault="00AE74D6" w:rsidP="00AE74D6">
      <w:pPr>
        <w:ind w:left="1430"/>
        <w:rPr>
          <w:rFonts w:ascii="Arial" w:hAnsi="Arial"/>
          <w:b/>
          <w:sz w:val="28"/>
        </w:rPr>
      </w:pPr>
    </w:p>
    <w:p w:rsidR="00D73E72" w:rsidRPr="00AE74D6" w:rsidRDefault="00B92109" w:rsidP="00AE74D6">
      <w:pPr>
        <w:numPr>
          <w:ilvl w:val="1"/>
          <w:numId w:val="1"/>
        </w:numPr>
        <w:rPr>
          <w:rFonts w:ascii="Arial" w:hAnsi="Arial"/>
          <w:b/>
          <w:sz w:val="28"/>
        </w:rPr>
      </w:pPr>
      <w:r w:rsidRPr="00AE74D6">
        <w:rPr>
          <w:rFonts w:ascii="Arial" w:hAnsi="Arial"/>
          <w:sz w:val="24"/>
        </w:rPr>
        <w:t xml:space="preserve">Roback, JD. ed. AABB Technical Manual, </w:t>
      </w:r>
      <w:r w:rsidR="00B00A13" w:rsidRPr="00AE74D6">
        <w:rPr>
          <w:rFonts w:ascii="Arial" w:hAnsi="Arial"/>
          <w:sz w:val="24"/>
        </w:rPr>
        <w:t>17</w:t>
      </w:r>
      <w:r w:rsidRPr="00AE74D6">
        <w:rPr>
          <w:rFonts w:ascii="Arial" w:hAnsi="Arial"/>
          <w:sz w:val="24"/>
        </w:rPr>
        <w:t>th ed. Bethesda, MD: American Association of Blood Banks, 20</w:t>
      </w:r>
      <w:r w:rsidR="00B00A13" w:rsidRPr="00AE74D6">
        <w:rPr>
          <w:rFonts w:ascii="Arial" w:hAnsi="Arial"/>
          <w:sz w:val="24"/>
        </w:rPr>
        <w:t>11</w:t>
      </w:r>
      <w:r w:rsidRPr="00AE74D6">
        <w:rPr>
          <w:rFonts w:ascii="Arial" w:hAnsi="Arial"/>
          <w:sz w:val="24"/>
        </w:rPr>
        <w:t>: pg 89</w:t>
      </w:r>
      <w:r w:rsidR="00B00A13" w:rsidRPr="00AE74D6">
        <w:rPr>
          <w:rFonts w:ascii="Arial" w:hAnsi="Arial"/>
          <w:sz w:val="24"/>
        </w:rPr>
        <w:t>0.</w:t>
      </w:r>
    </w:p>
    <w:p w:rsidR="00AE74D6" w:rsidRPr="00AE74D6" w:rsidRDefault="00AE74D6" w:rsidP="00AE74D6">
      <w:pPr>
        <w:ind w:left="720"/>
        <w:rPr>
          <w:rFonts w:ascii="Arial" w:hAnsi="Arial"/>
          <w:b/>
          <w:sz w:val="32"/>
        </w:rPr>
      </w:pPr>
    </w:p>
    <w:p w:rsidR="00AE74D6" w:rsidRPr="00AE74D6" w:rsidRDefault="00AE74D6" w:rsidP="00AE74D6">
      <w:pPr>
        <w:numPr>
          <w:ilvl w:val="0"/>
          <w:numId w:val="1"/>
        </w:numPr>
        <w:rPr>
          <w:rFonts w:ascii="Arial" w:hAnsi="Arial"/>
          <w:b/>
          <w:sz w:val="32"/>
        </w:rPr>
      </w:pPr>
      <w:r w:rsidRPr="00AE74D6">
        <w:rPr>
          <w:rFonts w:ascii="Arial" w:hAnsi="Arial"/>
          <w:b/>
          <w:sz w:val="28"/>
        </w:rPr>
        <w:t>Revision History</w:t>
      </w:r>
    </w:p>
    <w:p w:rsidR="00AE74D6" w:rsidRPr="00AE74D6" w:rsidRDefault="00AE74D6" w:rsidP="00AE74D6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AE74D6" w:rsidRPr="008E635A" w:rsidTr="0019478B">
        <w:tc>
          <w:tcPr>
            <w:tcW w:w="3085" w:type="dxa"/>
            <w:shd w:val="clear" w:color="auto" w:fill="BFBFBF"/>
          </w:tcPr>
          <w:p w:rsidR="00AE74D6" w:rsidRPr="008E635A" w:rsidRDefault="00AE74D6" w:rsidP="008E6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35A">
              <w:rPr>
                <w:rFonts w:ascii="Arial" w:hAnsi="Arial" w:cs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1" w:type="dxa"/>
            <w:shd w:val="clear" w:color="auto" w:fill="BFBFBF"/>
          </w:tcPr>
          <w:p w:rsidR="00AE74D6" w:rsidRPr="008E635A" w:rsidRDefault="00AE74D6" w:rsidP="008E6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35A">
              <w:rPr>
                <w:rFonts w:ascii="Arial" w:hAnsi="Arial" w:cs="Arial"/>
                <w:b/>
                <w:sz w:val="22"/>
                <w:szCs w:val="22"/>
              </w:rPr>
              <w:t>Summary of Revision</w:t>
            </w:r>
          </w:p>
        </w:tc>
      </w:tr>
      <w:tr w:rsidR="00AE74D6" w:rsidRPr="008E635A" w:rsidTr="0019478B">
        <w:tc>
          <w:tcPr>
            <w:tcW w:w="3085" w:type="dxa"/>
            <w:shd w:val="clear" w:color="auto" w:fill="auto"/>
          </w:tcPr>
          <w:p w:rsidR="00AE74D6" w:rsidRPr="008E635A" w:rsidRDefault="00AE74D6">
            <w:pPr>
              <w:rPr>
                <w:rFonts w:ascii="Arial" w:hAnsi="Arial" w:cs="Arial"/>
                <w:sz w:val="22"/>
                <w:szCs w:val="22"/>
              </w:rPr>
            </w:pPr>
            <w:r w:rsidRPr="008E635A">
              <w:rPr>
                <w:rFonts w:ascii="Arial" w:hAnsi="Arial" w:cs="Arial"/>
                <w:sz w:val="22"/>
                <w:szCs w:val="22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AE74D6" w:rsidRPr="008E635A" w:rsidRDefault="00AE74D6" w:rsidP="008E635A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E635A">
              <w:rPr>
                <w:rFonts w:ascii="Arial" w:hAnsi="Arial" w:cs="Arial"/>
                <w:sz w:val="22"/>
                <w:szCs w:val="22"/>
              </w:rPr>
              <w:t>Revised name of manual</w:t>
            </w:r>
          </w:p>
          <w:p w:rsidR="00AE74D6" w:rsidRPr="008E635A" w:rsidRDefault="00AE74D6" w:rsidP="008E635A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E635A">
              <w:rPr>
                <w:rFonts w:ascii="Arial" w:hAnsi="Arial" w:cs="Arial"/>
                <w:sz w:val="22"/>
                <w:szCs w:val="22"/>
              </w:rPr>
              <w:t>Revised wording of sections 1.0 &amp; 2.0</w:t>
            </w:r>
          </w:p>
          <w:p w:rsidR="00AE74D6" w:rsidRPr="008E635A" w:rsidRDefault="00AE74D6" w:rsidP="008E635A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E635A">
              <w:rPr>
                <w:rFonts w:ascii="Arial" w:hAnsi="Arial" w:cs="Arial"/>
                <w:sz w:val="22"/>
                <w:szCs w:val="22"/>
              </w:rPr>
              <w:t xml:space="preserve">Specified “0.9% saline” in section 4.0- </w:t>
            </w:r>
            <w:r w:rsidRPr="008E635A">
              <w:rPr>
                <w:rFonts w:ascii="Arial" w:hAnsi="Arial" w:cs="Arial"/>
                <w:i/>
                <w:sz w:val="22"/>
                <w:szCs w:val="22"/>
              </w:rPr>
              <w:t xml:space="preserve">Reagents </w:t>
            </w:r>
          </w:p>
          <w:p w:rsidR="00AE74D6" w:rsidRPr="008E635A" w:rsidRDefault="00AE74D6" w:rsidP="008E635A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E635A">
              <w:rPr>
                <w:rFonts w:ascii="Arial" w:hAnsi="Arial" w:cs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D73E72" w:rsidRPr="00AE74D6" w:rsidRDefault="00D73E72">
      <w:pPr>
        <w:rPr>
          <w:rFonts w:ascii="Arial" w:hAnsi="Arial" w:cs="Arial"/>
          <w:sz w:val="22"/>
          <w:szCs w:val="22"/>
        </w:rPr>
      </w:pPr>
    </w:p>
    <w:sectPr w:rsidR="00D73E72" w:rsidRPr="00AE74D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80" w:rsidRDefault="00092580">
      <w:r>
        <w:separator/>
      </w:r>
    </w:p>
  </w:endnote>
  <w:endnote w:type="continuationSeparator" w:id="0">
    <w:p w:rsidR="00092580" w:rsidRDefault="0009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73E72">
      <w:trPr>
        <w:trHeight w:val="720"/>
      </w:trPr>
      <w:tc>
        <w:tcPr>
          <w:tcW w:w="1368" w:type="dxa"/>
        </w:tcPr>
        <w:p w:rsidR="00D73E72" w:rsidRDefault="00D73E72">
          <w:pPr>
            <w:pStyle w:val="Footer"/>
            <w:jc w:val="center"/>
            <w:rPr>
              <w:sz w:val="8"/>
            </w:rPr>
          </w:pPr>
        </w:p>
        <w:p w:rsidR="00D73E72" w:rsidRDefault="007550DC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73E72" w:rsidRDefault="00D73E7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27DCF" w:rsidRDefault="00427DCF" w:rsidP="00427DC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D73E72" w:rsidRDefault="00517A7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73E72">
            <w:rPr>
              <w:rFonts w:ascii="Arial" w:hAnsi="Arial"/>
              <w:sz w:val="18"/>
            </w:rPr>
            <w:t xml:space="preserve"> Manual</w:t>
          </w:r>
        </w:p>
        <w:p w:rsidR="00D73E72" w:rsidRDefault="00D73E72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SP.030</w:t>
          </w:r>
        </w:p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6DF7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6DF7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73E72" w:rsidRDefault="00D73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73E72">
      <w:trPr>
        <w:trHeight w:val="720"/>
      </w:trPr>
      <w:tc>
        <w:tcPr>
          <w:tcW w:w="1368" w:type="dxa"/>
        </w:tcPr>
        <w:p w:rsidR="00D73E72" w:rsidRDefault="00D73E72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73E72" w:rsidRDefault="007550DC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73E72" w:rsidRDefault="00D73E7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27DCF" w:rsidRDefault="00427DCF" w:rsidP="00427DC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D73E72" w:rsidRDefault="00517A77" w:rsidP="0019478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73E72">
            <w:rPr>
              <w:rFonts w:ascii="Arial" w:hAnsi="Arial"/>
              <w:sz w:val="18"/>
            </w:rPr>
            <w:t xml:space="preserve"> Manual</w:t>
          </w:r>
        </w:p>
        <w:p w:rsidR="00D73E72" w:rsidRDefault="00D73E72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SP.030</w:t>
          </w:r>
        </w:p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73E72" w:rsidRDefault="00D73E7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6DF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56DF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73E72" w:rsidRDefault="00D7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80" w:rsidRDefault="00092580">
      <w:r>
        <w:separator/>
      </w:r>
    </w:p>
  </w:footnote>
  <w:footnote w:type="continuationSeparator" w:id="0">
    <w:p w:rsidR="00092580" w:rsidRDefault="0009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72" w:rsidRDefault="00D73E72">
    <w:pPr>
      <w:pStyle w:val="Title"/>
      <w:rPr>
        <w:rFonts w:ascii="Arial" w:hAnsi="Arial"/>
        <w:sz w:val="28"/>
      </w:rPr>
    </w:pPr>
    <w:r>
      <w:rPr>
        <w:rFonts w:ascii="Arial" w:hAnsi="Arial"/>
        <w:sz w:val="28"/>
      </w:rPr>
      <w:t>Treatment of Red Cells with Dithiothreitol (DTT) to Disperse Autoagglutination caused by IgM Antibodies</w:t>
    </w:r>
  </w:p>
  <w:p w:rsidR="00D73E72" w:rsidRDefault="00D73E72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72" w:rsidRDefault="007550DC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6" w:rsidRDefault="00AE74D6" w:rsidP="00AE74D6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AE74D6" w:rsidRDefault="00AE74D6" w:rsidP="00AE74D6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D73E72" w:rsidRDefault="00D73E72">
    <w:pPr>
      <w:pStyle w:val="Header"/>
      <w:jc w:val="center"/>
      <w:rPr>
        <w:rFonts w:ascii="Arial" w:hAnsi="Arial" w:cs="Arial"/>
        <w:b/>
        <w:bCs/>
        <w:sz w:val="22"/>
      </w:rPr>
    </w:pPr>
  </w:p>
  <w:p w:rsidR="00D73E72" w:rsidRDefault="00D73E72">
    <w:pPr>
      <w:pStyle w:val="Title"/>
      <w:rPr>
        <w:rFonts w:ascii="Arial" w:hAnsi="Arial"/>
        <w:sz w:val="28"/>
      </w:rPr>
    </w:pPr>
    <w:r>
      <w:rPr>
        <w:rFonts w:ascii="Arial" w:hAnsi="Arial"/>
        <w:sz w:val="28"/>
      </w:rPr>
      <w:t>Treatment of Red Cells with Dithiothreitol (DTT) to Disperse Autoagglutination caused by IgM Antibodies</w:t>
    </w:r>
  </w:p>
  <w:p w:rsidR="00D73E72" w:rsidRDefault="00D73E72">
    <w:pPr>
      <w:pStyle w:val="Title"/>
      <w:rPr>
        <w:rFonts w:ascii="Arial" w:hAnsi="Arial"/>
        <w:sz w:val="28"/>
      </w:rPr>
    </w:pPr>
  </w:p>
  <w:p w:rsidR="00D73E72" w:rsidRDefault="007550DC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BB61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67"/>
      <w:gridCol w:w="4273"/>
    </w:tblGrid>
    <w:tr w:rsidR="00D73E72">
      <w:tc>
        <w:tcPr>
          <w:tcW w:w="4428" w:type="dxa"/>
        </w:tcPr>
        <w:p w:rsidR="00D73E72" w:rsidRDefault="00D73E72">
          <w:pPr>
            <w:pStyle w:val="Header"/>
            <w:tabs>
              <w:tab w:val="clear" w:pos="4320"/>
              <w:tab w:val="clear" w:pos="8640"/>
              <w:tab w:val="right" w:pos="421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  <w:r>
            <w:rPr>
              <w:rFonts w:ascii="Arial" w:hAnsi="Arial" w:cs="Arial"/>
            </w:rPr>
            <w:tab/>
          </w:r>
        </w:p>
      </w:tc>
      <w:tc>
        <w:tcPr>
          <w:tcW w:w="4428" w:type="dxa"/>
        </w:tcPr>
        <w:p w:rsidR="00D73E72" w:rsidRDefault="00D73E7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SP.030</w:t>
          </w:r>
        </w:p>
      </w:tc>
    </w:tr>
    <w:tr w:rsidR="00D73E72">
      <w:tc>
        <w:tcPr>
          <w:tcW w:w="4428" w:type="dxa"/>
        </w:tcPr>
        <w:p w:rsidR="00D73E72" w:rsidRDefault="00D73E7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D73E72" w:rsidRDefault="00D73E7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D73E72">
      <w:tc>
        <w:tcPr>
          <w:tcW w:w="4428" w:type="dxa"/>
        </w:tcPr>
        <w:p w:rsidR="00D73E72" w:rsidRDefault="00D73E7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427DCF">
            <w:rPr>
              <w:rFonts w:ascii="Arial" w:hAnsi="Arial" w:cs="Arial"/>
            </w:rPr>
            <w:t xml:space="preserve">  2009/09/01</w:t>
          </w:r>
          <w:r w:rsidR="00517A77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D73E72" w:rsidRDefault="00D73E7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C56DF7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C56DF7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D73E72" w:rsidRDefault="007550D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49F2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D73E72">
      <w:rPr>
        <w:rFonts w:ascii="Arial" w:hAnsi="Arial" w:cs="Arial"/>
      </w:rPr>
      <w:tab/>
    </w:r>
  </w:p>
  <w:p w:rsidR="00D73E72" w:rsidRDefault="00D73E72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95085"/>
    <w:multiLevelType w:val="multilevel"/>
    <w:tmpl w:val="9AF08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283E79"/>
    <w:multiLevelType w:val="hybridMultilevel"/>
    <w:tmpl w:val="0BA65916"/>
    <w:lvl w:ilvl="0" w:tplc="04F80CA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4567BF1"/>
    <w:multiLevelType w:val="multilevel"/>
    <w:tmpl w:val="0D1433B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663C51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B431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06"/>
    <w:rsid w:val="000356D1"/>
    <w:rsid w:val="00092580"/>
    <w:rsid w:val="00152121"/>
    <w:rsid w:val="00166522"/>
    <w:rsid w:val="0019478B"/>
    <w:rsid w:val="001A649E"/>
    <w:rsid w:val="00427DCF"/>
    <w:rsid w:val="005062B8"/>
    <w:rsid w:val="00517A77"/>
    <w:rsid w:val="0063296E"/>
    <w:rsid w:val="007550DC"/>
    <w:rsid w:val="008E635A"/>
    <w:rsid w:val="009A47E1"/>
    <w:rsid w:val="00AE74D6"/>
    <w:rsid w:val="00B00A13"/>
    <w:rsid w:val="00B92109"/>
    <w:rsid w:val="00C44834"/>
    <w:rsid w:val="00C56DF7"/>
    <w:rsid w:val="00CC2D32"/>
    <w:rsid w:val="00D73E72"/>
    <w:rsid w:val="00ED5006"/>
    <w:rsid w:val="00F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98C3F-6749-4F07-B90A-DD67BF6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B00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SP.030 Treatment of Red Cells with Dithiothreitol to Disperse Autoagglutination caused by IgM Antibodies</vt:lpstr>
    </vt:vector>
  </TitlesOfParts>
  <Company>The Ottawa Hospital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SP.030 Treatment of Red Cells with Dithiothreitol to Disperse Autoagglutination caused by IgM Antibodies</dc:title>
  <dc:subject/>
  <dc:creator>Transfusion Ontario Program Office</dc:creator>
  <cp:keywords/>
  <cp:lastModifiedBy>Nesrallah, Heather</cp:lastModifiedBy>
  <cp:revision>2</cp:revision>
  <cp:lastPrinted>2015-01-06T18:46:00Z</cp:lastPrinted>
  <dcterms:created xsi:type="dcterms:W3CDTF">2020-08-11T15:26:00Z</dcterms:created>
  <dcterms:modified xsi:type="dcterms:W3CDTF">2020-08-11T15:26:00Z</dcterms:modified>
</cp:coreProperties>
</file>