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39A" w:rsidRDefault="0015756C" w:rsidP="00A6439A">
      <w:pPr>
        <w:numPr>
          <w:ilvl w:val="0"/>
          <w:numId w:val="1"/>
        </w:numPr>
        <w:rPr>
          <w:rFonts w:ascii="Arial" w:hAnsi="Arial"/>
          <w:b/>
          <w:sz w:val="28"/>
        </w:rPr>
      </w:pPr>
      <w:bookmarkStart w:id="0" w:name="_GoBack"/>
      <w:bookmarkEnd w:id="0"/>
      <w:r>
        <w:rPr>
          <w:rFonts w:ascii="Arial" w:hAnsi="Arial"/>
          <w:b/>
          <w:sz w:val="28"/>
        </w:rPr>
        <w:t>Principle</w:t>
      </w:r>
    </w:p>
    <w:p w:rsidR="00A6439A" w:rsidRDefault="00A6439A" w:rsidP="00A6439A">
      <w:pPr>
        <w:ind w:left="720"/>
        <w:rPr>
          <w:rFonts w:ascii="Arial" w:hAnsi="Arial"/>
          <w:b/>
          <w:sz w:val="28"/>
        </w:rPr>
      </w:pPr>
    </w:p>
    <w:p w:rsidR="00252F0F" w:rsidRDefault="00252F0F" w:rsidP="00A6439A">
      <w:pPr>
        <w:ind w:left="720"/>
        <w:rPr>
          <w:rFonts w:ascii="Arial" w:hAnsi="Arial"/>
          <w:sz w:val="24"/>
        </w:rPr>
      </w:pPr>
      <w:r w:rsidRPr="00A6439A">
        <w:rPr>
          <w:rFonts w:ascii="Arial" w:hAnsi="Arial"/>
          <w:sz w:val="24"/>
        </w:rPr>
        <w:t>Thiol reagents such as DTT cleave interchain disulfide bonds of IgM molecules and abolish the agglutinating ability of IgM antibodies while leaving IgG molecules unaffected.</w:t>
      </w:r>
    </w:p>
    <w:p w:rsidR="0015756C" w:rsidRDefault="0015756C">
      <w:pPr>
        <w:pStyle w:val="Subtitle"/>
        <w:ind w:left="720"/>
        <w:rPr>
          <w:rFonts w:ascii="Arial" w:hAnsi="Arial"/>
          <w:b w:val="0"/>
        </w:rPr>
      </w:pPr>
      <w:r>
        <w:rPr>
          <w:rFonts w:ascii="Arial" w:hAnsi="Arial"/>
          <w:b w:val="0"/>
        </w:rPr>
        <w:t>DTT is used to differentiate between IgM and IgG antibodies</w:t>
      </w:r>
      <w:r w:rsidR="00A6439A">
        <w:rPr>
          <w:rFonts w:ascii="Arial" w:hAnsi="Arial"/>
          <w:b w:val="0"/>
        </w:rPr>
        <w:t xml:space="preserve"> </w:t>
      </w:r>
      <w:r w:rsidR="00AA543A">
        <w:rPr>
          <w:rFonts w:ascii="Arial" w:hAnsi="Arial"/>
          <w:b w:val="0"/>
        </w:rPr>
        <w:t>by</w:t>
      </w:r>
      <w:r>
        <w:rPr>
          <w:rFonts w:ascii="Arial" w:hAnsi="Arial"/>
          <w:b w:val="0"/>
        </w:rPr>
        <w:t xml:space="preserve"> inactivat</w:t>
      </w:r>
      <w:r w:rsidR="00AA543A">
        <w:rPr>
          <w:rFonts w:ascii="Arial" w:hAnsi="Arial"/>
          <w:b w:val="0"/>
        </w:rPr>
        <w:t>ing</w:t>
      </w:r>
      <w:r>
        <w:rPr>
          <w:rFonts w:ascii="Arial" w:hAnsi="Arial"/>
          <w:b w:val="0"/>
        </w:rPr>
        <w:t xml:space="preserve"> IgM antibodies allowing identification of any unaffected IgG antibody.</w:t>
      </w:r>
    </w:p>
    <w:p w:rsidR="0015756C" w:rsidRDefault="0015756C">
      <w:pPr>
        <w:ind w:left="720"/>
        <w:rPr>
          <w:rFonts w:ascii="Arial" w:hAnsi="Arial"/>
          <w:sz w:val="24"/>
        </w:rPr>
      </w:pPr>
    </w:p>
    <w:p w:rsidR="00A6439A" w:rsidRDefault="0015756C" w:rsidP="00A6439A">
      <w:pPr>
        <w:numPr>
          <w:ilvl w:val="0"/>
          <w:numId w:val="1"/>
        </w:numPr>
        <w:rPr>
          <w:rFonts w:ascii="Arial" w:hAnsi="Arial"/>
          <w:b/>
          <w:sz w:val="28"/>
        </w:rPr>
      </w:pPr>
      <w:r>
        <w:rPr>
          <w:rFonts w:ascii="Arial" w:hAnsi="Arial"/>
          <w:b/>
          <w:sz w:val="28"/>
        </w:rPr>
        <w:t>Scope and Related Policies</w:t>
      </w:r>
    </w:p>
    <w:p w:rsidR="00A6439A" w:rsidRPr="00A6439A" w:rsidRDefault="00A6439A" w:rsidP="00A6439A">
      <w:pPr>
        <w:ind w:left="1440"/>
        <w:rPr>
          <w:rFonts w:ascii="Arial" w:hAnsi="Arial"/>
          <w:b/>
          <w:sz w:val="28"/>
        </w:rPr>
      </w:pPr>
    </w:p>
    <w:p w:rsidR="0015756C" w:rsidRPr="00A6439A" w:rsidRDefault="00252F0F" w:rsidP="00BF11B3">
      <w:pPr>
        <w:numPr>
          <w:ilvl w:val="1"/>
          <w:numId w:val="1"/>
        </w:numPr>
        <w:ind w:hanging="731"/>
        <w:rPr>
          <w:rFonts w:ascii="Arial" w:hAnsi="Arial"/>
          <w:b/>
          <w:sz w:val="28"/>
        </w:rPr>
      </w:pPr>
      <w:r w:rsidRPr="00A6439A">
        <w:rPr>
          <w:rFonts w:ascii="Arial" w:hAnsi="Arial"/>
          <w:sz w:val="24"/>
        </w:rPr>
        <w:t>DTT treatment of test serum, plasma or eluate can aid in antibody investigation where there may be a mixture of IgM and IgG antibodies.</w:t>
      </w:r>
    </w:p>
    <w:p w:rsidR="00A6439A" w:rsidRDefault="00A6439A" w:rsidP="00A6439A">
      <w:pPr>
        <w:ind w:left="720"/>
        <w:rPr>
          <w:rFonts w:ascii="Arial" w:hAnsi="Arial"/>
          <w:b/>
          <w:sz w:val="28"/>
        </w:rPr>
      </w:pPr>
    </w:p>
    <w:p w:rsidR="0015756C" w:rsidRDefault="0015756C">
      <w:pPr>
        <w:numPr>
          <w:ilvl w:val="0"/>
          <w:numId w:val="1"/>
        </w:numPr>
        <w:rPr>
          <w:rFonts w:ascii="Arial" w:hAnsi="Arial"/>
          <w:b/>
          <w:sz w:val="28"/>
        </w:rPr>
      </w:pPr>
      <w:r>
        <w:rPr>
          <w:rFonts w:ascii="Arial" w:hAnsi="Arial"/>
          <w:b/>
          <w:sz w:val="28"/>
        </w:rPr>
        <w:t>Specimen</w:t>
      </w:r>
    </w:p>
    <w:p w:rsidR="0015756C" w:rsidRDefault="0015756C">
      <w:pPr>
        <w:rPr>
          <w:rFonts w:ascii="Arial" w:hAnsi="Arial"/>
          <w:sz w:val="24"/>
        </w:rPr>
      </w:pPr>
    </w:p>
    <w:p w:rsidR="0015756C" w:rsidRDefault="0015756C">
      <w:pPr>
        <w:ind w:left="720"/>
        <w:rPr>
          <w:rFonts w:ascii="Arial" w:hAnsi="Arial"/>
          <w:sz w:val="24"/>
        </w:rPr>
      </w:pPr>
      <w:r>
        <w:rPr>
          <w:rFonts w:ascii="Arial" w:hAnsi="Arial"/>
          <w:sz w:val="24"/>
        </w:rPr>
        <w:t>Plasma, serum or eluate</w:t>
      </w:r>
    </w:p>
    <w:p w:rsidR="0015756C" w:rsidRDefault="0015756C">
      <w:pPr>
        <w:ind w:left="720"/>
        <w:rPr>
          <w:rFonts w:ascii="Arial" w:hAnsi="Arial"/>
          <w:sz w:val="24"/>
        </w:rPr>
      </w:pPr>
    </w:p>
    <w:p w:rsidR="0015756C" w:rsidRDefault="0015756C">
      <w:pPr>
        <w:numPr>
          <w:ilvl w:val="0"/>
          <w:numId w:val="1"/>
        </w:numPr>
        <w:rPr>
          <w:rFonts w:ascii="Arial" w:hAnsi="Arial"/>
          <w:b/>
          <w:sz w:val="28"/>
        </w:rPr>
      </w:pPr>
      <w:r>
        <w:rPr>
          <w:rFonts w:ascii="Arial" w:hAnsi="Arial"/>
          <w:b/>
          <w:sz w:val="28"/>
        </w:rPr>
        <w:t>Material</w:t>
      </w:r>
    </w:p>
    <w:p w:rsidR="0015756C" w:rsidRDefault="0015756C">
      <w:pPr>
        <w:rPr>
          <w:rFonts w:ascii="Arial" w:hAnsi="Arial"/>
          <w:sz w:val="24"/>
        </w:rPr>
      </w:pPr>
    </w:p>
    <w:p w:rsidR="0015756C" w:rsidRDefault="0015756C">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Cell Washer</w:t>
      </w:r>
    </w:p>
    <w:p w:rsidR="0015756C" w:rsidRDefault="0015756C">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centrifuge</w:t>
      </w:r>
    </w:p>
    <w:p w:rsidR="0015756C" w:rsidRDefault="0015756C">
      <w:pPr>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15756C" w:rsidRDefault="0015756C">
      <w:pPr>
        <w:ind w:left="2880"/>
        <w:rPr>
          <w:rFonts w:ascii="Arial" w:hAnsi="Arial"/>
          <w:sz w:val="24"/>
        </w:rPr>
      </w:pPr>
      <w:r>
        <w:rPr>
          <w:rFonts w:ascii="Arial" w:hAnsi="Arial"/>
          <w:sz w:val="24"/>
        </w:rPr>
        <w:t>Microscope</w:t>
      </w:r>
    </w:p>
    <w:p w:rsidR="0015756C" w:rsidRDefault="000D50A4">
      <w:pPr>
        <w:ind w:left="2880"/>
        <w:rPr>
          <w:rFonts w:ascii="Arial" w:hAnsi="Arial"/>
          <w:sz w:val="24"/>
        </w:rPr>
      </w:pPr>
      <w:r>
        <w:rPr>
          <w:rFonts w:ascii="Arial" w:hAnsi="Arial"/>
          <w:sz w:val="24"/>
        </w:rPr>
        <w:t>Water</w:t>
      </w:r>
      <w:r w:rsidR="00BF11B3">
        <w:rPr>
          <w:rFonts w:ascii="Arial" w:hAnsi="Arial"/>
          <w:sz w:val="24"/>
        </w:rPr>
        <w:t xml:space="preserve"> </w:t>
      </w:r>
      <w:r w:rsidR="0015756C">
        <w:rPr>
          <w:rFonts w:ascii="Arial" w:hAnsi="Arial"/>
          <w:sz w:val="24"/>
        </w:rPr>
        <w:t>bath/Heating block at 37</w:t>
      </w:r>
      <w:r>
        <w:rPr>
          <w:rFonts w:ascii="Arial" w:hAnsi="Arial" w:cs="Arial"/>
          <w:sz w:val="24"/>
        </w:rPr>
        <w:t>°</w:t>
      </w:r>
      <w:r w:rsidR="0015756C">
        <w:rPr>
          <w:rFonts w:ascii="Arial" w:hAnsi="Arial"/>
          <w:sz w:val="24"/>
        </w:rPr>
        <w:t>C</w:t>
      </w:r>
    </w:p>
    <w:p w:rsidR="0015756C" w:rsidRDefault="0015756C">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15756C" w:rsidRDefault="0015756C">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0D50A4">
        <w:rPr>
          <w:rFonts w:ascii="Arial" w:hAnsi="Arial"/>
          <w:sz w:val="24"/>
        </w:rPr>
        <w:t xml:space="preserve"> </w:t>
      </w:r>
      <w:r>
        <w:rPr>
          <w:rFonts w:ascii="Arial" w:hAnsi="Arial"/>
          <w:sz w:val="24"/>
        </w:rPr>
        <w:t>mm</w:t>
      </w:r>
    </w:p>
    <w:p w:rsidR="0015756C" w:rsidRDefault="0015756C">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15756C" w:rsidRDefault="0015756C">
      <w:pPr>
        <w:ind w:left="2880"/>
        <w:rPr>
          <w:rFonts w:ascii="Arial" w:hAnsi="Arial"/>
          <w:color w:val="FF0000"/>
          <w:sz w:val="24"/>
        </w:rPr>
      </w:pPr>
      <w:r>
        <w:rPr>
          <w:rFonts w:ascii="Arial" w:hAnsi="Arial"/>
          <w:sz w:val="24"/>
        </w:rPr>
        <w:t>SP.029F Plasma Treatment with DTT - Worksheet</w:t>
      </w:r>
    </w:p>
    <w:p w:rsidR="0015756C" w:rsidRDefault="0015756C">
      <w:pPr>
        <w:ind w:left="720"/>
        <w:rPr>
          <w:rFonts w:ascii="Arial" w:hAnsi="Arial"/>
          <w:sz w:val="24"/>
        </w:rPr>
      </w:pPr>
      <w:r>
        <w:rPr>
          <w:rFonts w:ascii="Arial" w:hAnsi="Arial"/>
          <w:sz w:val="24"/>
        </w:rPr>
        <w:tab/>
      </w:r>
      <w:r>
        <w:rPr>
          <w:rFonts w:ascii="Arial" w:hAnsi="Arial"/>
          <w:sz w:val="24"/>
        </w:rPr>
        <w:tab/>
      </w:r>
    </w:p>
    <w:p w:rsidR="0015756C" w:rsidRDefault="0015756C">
      <w:pPr>
        <w:ind w:left="720"/>
        <w:rPr>
          <w:rFonts w:ascii="Arial" w:hAnsi="Arial"/>
          <w:sz w:val="24"/>
        </w:rPr>
      </w:pPr>
      <w:r>
        <w:rPr>
          <w:rFonts w:ascii="Arial" w:hAnsi="Arial"/>
          <w:b/>
          <w:sz w:val="24"/>
        </w:rPr>
        <w:t>Reagents:</w:t>
      </w:r>
      <w:r>
        <w:rPr>
          <w:rFonts w:ascii="Arial" w:hAnsi="Arial"/>
          <w:sz w:val="24"/>
        </w:rPr>
        <w:tab/>
      </w:r>
      <w:r>
        <w:rPr>
          <w:rFonts w:ascii="Arial" w:hAnsi="Arial"/>
          <w:sz w:val="24"/>
        </w:rPr>
        <w:tab/>
        <w:t>Phosphate buffered saline (PBS), pH 7.3</w:t>
      </w:r>
    </w:p>
    <w:p w:rsidR="0015756C" w:rsidRDefault="0015756C">
      <w:pPr>
        <w:pStyle w:val="BodyTextIndent2"/>
      </w:pPr>
      <w:r>
        <w:lastRenderedPageBreak/>
        <w:t>0.01 M DTT: 0.154 g DTT diluted to 100</w:t>
      </w:r>
      <w:r w:rsidR="000D50A4">
        <w:t xml:space="preserve"> </w:t>
      </w:r>
      <w:r>
        <w:t>mL in PBS.  Alternatively, a 1 in 10 dilution in PBS of 0.1 M DTT (0.154 g</w:t>
      </w:r>
      <w:r w:rsidR="00BF11B3">
        <w:t xml:space="preserve"> DTT in 10 ml PBS) can be made.</w:t>
      </w:r>
      <w:r>
        <w:t xml:space="preserve"> Aliquots of 0.01 M DTT can be frozen in glass at –20</w:t>
      </w:r>
      <w:r w:rsidR="000D50A4">
        <w:rPr>
          <w:rFonts w:cs="Arial"/>
        </w:rPr>
        <w:t>°</w:t>
      </w:r>
      <w:r>
        <w:t>C for up to 6 months.</w:t>
      </w:r>
    </w:p>
    <w:p w:rsidR="0015756C" w:rsidRDefault="0015756C">
      <w:pPr>
        <w:ind w:left="2880"/>
        <w:rPr>
          <w:rFonts w:ascii="Arial" w:hAnsi="Arial"/>
          <w:sz w:val="24"/>
        </w:rPr>
      </w:pPr>
      <w:r>
        <w:rPr>
          <w:rFonts w:ascii="Arial" w:hAnsi="Arial"/>
          <w:sz w:val="24"/>
        </w:rPr>
        <w:t xml:space="preserve">Control IgM antibody </w:t>
      </w:r>
      <w:r w:rsidR="00BF11B3">
        <w:rPr>
          <w:rFonts w:ascii="Arial" w:hAnsi="Arial"/>
          <w:sz w:val="24"/>
        </w:rPr>
        <w:t>(</w:t>
      </w:r>
      <w:r>
        <w:rPr>
          <w:rFonts w:ascii="Arial" w:hAnsi="Arial"/>
          <w:sz w:val="24"/>
        </w:rPr>
        <w:t>e.g. high titer anti-I</w:t>
      </w:r>
      <w:r w:rsidR="00BF11B3">
        <w:rPr>
          <w:rFonts w:ascii="Arial" w:hAnsi="Arial"/>
          <w:sz w:val="24"/>
        </w:rPr>
        <w:t>)</w:t>
      </w:r>
    </w:p>
    <w:p w:rsidR="0015756C" w:rsidRDefault="0015756C">
      <w:pPr>
        <w:ind w:left="2880"/>
        <w:rPr>
          <w:rFonts w:ascii="Arial" w:hAnsi="Arial"/>
          <w:sz w:val="24"/>
        </w:rPr>
      </w:pPr>
      <w:r>
        <w:rPr>
          <w:rFonts w:ascii="Arial" w:hAnsi="Arial"/>
          <w:sz w:val="24"/>
        </w:rPr>
        <w:t>Control IgG antibody</w:t>
      </w:r>
    </w:p>
    <w:p w:rsidR="0015756C" w:rsidRDefault="0015756C">
      <w:pPr>
        <w:ind w:left="2880"/>
        <w:rPr>
          <w:rFonts w:ascii="Arial" w:hAnsi="Arial"/>
          <w:sz w:val="24"/>
        </w:rPr>
      </w:pPr>
      <w:r>
        <w:rPr>
          <w:rFonts w:ascii="Arial" w:hAnsi="Arial"/>
          <w:sz w:val="24"/>
        </w:rPr>
        <w:t>Appropriate test RBCs (determined by specificity of antibody under investigation)</w:t>
      </w:r>
    </w:p>
    <w:p w:rsidR="0015756C" w:rsidRDefault="0015756C">
      <w:pPr>
        <w:pStyle w:val="Heading9"/>
      </w:pPr>
      <w:r>
        <w:t>Anti-IgG</w:t>
      </w:r>
      <w:r w:rsidR="00252F0F">
        <w:t xml:space="preserve"> and IgG sensitized control cells</w:t>
      </w:r>
    </w:p>
    <w:p w:rsidR="0015756C" w:rsidRDefault="0015756C">
      <w:pPr>
        <w:rPr>
          <w:rFonts w:ascii="Arial" w:hAnsi="Arial"/>
          <w:sz w:val="24"/>
        </w:rPr>
      </w:pPr>
    </w:p>
    <w:p w:rsidR="0015756C" w:rsidRDefault="0015756C">
      <w:pPr>
        <w:numPr>
          <w:ilvl w:val="0"/>
          <w:numId w:val="1"/>
        </w:numPr>
        <w:rPr>
          <w:rFonts w:ascii="Arial" w:hAnsi="Arial"/>
          <w:b/>
          <w:sz w:val="28"/>
        </w:rPr>
      </w:pPr>
      <w:r>
        <w:rPr>
          <w:rFonts w:ascii="Arial" w:hAnsi="Arial"/>
          <w:b/>
          <w:sz w:val="28"/>
        </w:rPr>
        <w:t>Quality Control</w:t>
      </w:r>
    </w:p>
    <w:p w:rsidR="0015756C" w:rsidRDefault="0015756C">
      <w:pPr>
        <w:rPr>
          <w:rFonts w:ascii="Arial" w:hAnsi="Arial"/>
          <w:b/>
          <w:sz w:val="28"/>
        </w:rPr>
      </w:pPr>
    </w:p>
    <w:p w:rsidR="0015756C" w:rsidRDefault="0015756C" w:rsidP="00BF11B3">
      <w:pPr>
        <w:pStyle w:val="BodyTextIndent"/>
        <w:numPr>
          <w:ilvl w:val="1"/>
          <w:numId w:val="1"/>
        </w:numPr>
        <w:ind w:hanging="731"/>
        <w:rPr>
          <w:rFonts w:ascii="Arial" w:hAnsi="Arial"/>
        </w:rPr>
      </w:pPr>
      <w:r>
        <w:rPr>
          <w:rFonts w:ascii="Arial" w:hAnsi="Arial"/>
        </w:rPr>
        <w:t xml:space="preserve">A known IgM antibody and a known IgG antibody tested in parallel with the test plasma will provide assurance that the thiol reagent is working properly. The IgM antibody reactivity should be abolished and the IgG antibody should still be detected.  </w:t>
      </w:r>
    </w:p>
    <w:p w:rsidR="0015756C" w:rsidRDefault="0015756C">
      <w:pPr>
        <w:pStyle w:val="BodyTextIndent"/>
        <w:rPr>
          <w:rFonts w:ascii="Arial" w:hAnsi="Arial"/>
        </w:rPr>
      </w:pPr>
    </w:p>
    <w:p w:rsidR="0015756C" w:rsidRDefault="0015756C" w:rsidP="00BF11B3">
      <w:pPr>
        <w:pStyle w:val="BodyTextIndent"/>
        <w:numPr>
          <w:ilvl w:val="1"/>
          <w:numId w:val="1"/>
        </w:numPr>
        <w:ind w:hanging="731"/>
        <w:rPr>
          <w:rFonts w:ascii="Arial" w:hAnsi="Arial"/>
        </w:rPr>
      </w:pPr>
      <w:r>
        <w:rPr>
          <w:rFonts w:ascii="Arial" w:hAnsi="Arial"/>
        </w:rPr>
        <w:t>Repeat treatment and testing of the plasma (test and controls) if the controls do not react as expected.</w:t>
      </w:r>
    </w:p>
    <w:p w:rsidR="0015756C" w:rsidRDefault="0015756C">
      <w:pPr>
        <w:pStyle w:val="BodyTextIndent"/>
        <w:rPr>
          <w:rFonts w:ascii="Arial" w:hAnsi="Arial"/>
        </w:rPr>
      </w:pPr>
    </w:p>
    <w:p w:rsidR="0015756C" w:rsidRDefault="0015756C" w:rsidP="00BF11B3">
      <w:pPr>
        <w:pStyle w:val="BodyTextIndent"/>
        <w:numPr>
          <w:ilvl w:val="1"/>
          <w:numId w:val="1"/>
        </w:numPr>
        <w:ind w:hanging="731"/>
        <w:rPr>
          <w:rFonts w:ascii="Arial" w:hAnsi="Arial"/>
        </w:rPr>
      </w:pPr>
      <w:r>
        <w:rPr>
          <w:rFonts w:ascii="Arial" w:hAnsi="Arial"/>
        </w:rPr>
        <w:t xml:space="preserve">Repeat the test if the antiglobulin control cells are nonreactive. </w:t>
      </w:r>
    </w:p>
    <w:p w:rsidR="0015756C" w:rsidRDefault="0015756C">
      <w:pPr>
        <w:pStyle w:val="BodyTextIndent"/>
        <w:ind w:left="0"/>
        <w:rPr>
          <w:rFonts w:ascii="Arial" w:hAnsi="Arial"/>
        </w:rPr>
      </w:pPr>
    </w:p>
    <w:p w:rsidR="0015756C" w:rsidRDefault="0015756C" w:rsidP="00BF11B3">
      <w:pPr>
        <w:pStyle w:val="BodyTextIndent"/>
        <w:numPr>
          <w:ilvl w:val="1"/>
          <w:numId w:val="1"/>
        </w:numPr>
        <w:ind w:hanging="731"/>
        <w:rPr>
          <w:rFonts w:ascii="Arial" w:hAnsi="Arial"/>
        </w:rPr>
      </w:pPr>
      <w:r>
        <w:rPr>
          <w:rFonts w:ascii="Arial" w:hAnsi="Arial"/>
        </w:rPr>
        <w:t>Results are to be recorded on SP.029F</w:t>
      </w:r>
      <w:r w:rsidR="00BF11B3">
        <w:rPr>
          <w:rFonts w:ascii="Arial" w:hAnsi="Arial"/>
        </w:rPr>
        <w:t>-</w:t>
      </w:r>
      <w:r>
        <w:rPr>
          <w:rFonts w:ascii="Arial" w:hAnsi="Arial"/>
        </w:rPr>
        <w:t xml:space="preserve"> Plasma Treatment with DTT - Worksheet</w:t>
      </w:r>
    </w:p>
    <w:p w:rsidR="0015756C" w:rsidRDefault="0015756C">
      <w:pPr>
        <w:rPr>
          <w:rFonts w:ascii="Arial" w:hAnsi="Arial"/>
          <w:b/>
          <w:sz w:val="28"/>
        </w:rPr>
      </w:pPr>
    </w:p>
    <w:p w:rsidR="0015756C" w:rsidRDefault="0015756C">
      <w:pPr>
        <w:numPr>
          <w:ilvl w:val="0"/>
          <w:numId w:val="1"/>
        </w:numPr>
        <w:rPr>
          <w:rFonts w:ascii="Arial" w:hAnsi="Arial"/>
          <w:b/>
          <w:sz w:val="28"/>
        </w:rPr>
      </w:pPr>
      <w:r>
        <w:rPr>
          <w:rFonts w:ascii="Arial" w:hAnsi="Arial"/>
          <w:b/>
          <w:sz w:val="28"/>
        </w:rPr>
        <w:t>Procedure</w:t>
      </w:r>
    </w:p>
    <w:p w:rsidR="00A6439A" w:rsidRDefault="00A6439A" w:rsidP="00A6439A">
      <w:pPr>
        <w:ind w:left="720"/>
        <w:rPr>
          <w:rFonts w:ascii="Arial" w:hAnsi="Arial"/>
          <w:b/>
          <w:sz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6439A" w:rsidRPr="00C96E69" w:rsidTr="00C96E69">
        <w:trPr>
          <w:trHeight w:val="684"/>
        </w:trPr>
        <w:tc>
          <w:tcPr>
            <w:tcW w:w="8931" w:type="dxa"/>
            <w:shd w:val="clear" w:color="auto" w:fill="auto"/>
          </w:tcPr>
          <w:p w:rsidR="008634D0" w:rsidRPr="00C96E69" w:rsidRDefault="00A6439A" w:rsidP="00C96E69">
            <w:pPr>
              <w:pStyle w:val="Heading1"/>
              <w:numPr>
                <w:ilvl w:val="1"/>
                <w:numId w:val="1"/>
              </w:numPr>
              <w:tabs>
                <w:tab w:val="clear" w:pos="1440"/>
                <w:tab w:val="num" w:pos="743"/>
              </w:tabs>
              <w:ind w:left="743"/>
              <w:rPr>
                <w:rFonts w:ascii="Arial" w:hAnsi="Arial"/>
                <w:b w:val="0"/>
                <w:sz w:val="24"/>
              </w:rPr>
            </w:pPr>
            <w:r w:rsidRPr="00C96E69">
              <w:rPr>
                <w:rFonts w:ascii="Arial" w:hAnsi="Arial"/>
                <w:b w:val="0"/>
                <w:sz w:val="24"/>
              </w:rPr>
              <w:t>For each sample and control, mix an equal volume of plasma and DTT in a tube (e.g. 2 drops of plasma + 2 drops of DTT)</w:t>
            </w:r>
            <w:r w:rsidR="008634D0" w:rsidRPr="00C96E69">
              <w:rPr>
                <w:rFonts w:ascii="Arial" w:hAnsi="Arial"/>
                <w:b w:val="0"/>
                <w:sz w:val="24"/>
              </w:rPr>
              <w:t>.</w:t>
            </w:r>
          </w:p>
        </w:tc>
      </w:tr>
      <w:tr w:rsidR="00A6439A" w:rsidRPr="00C96E69" w:rsidTr="00C96E69">
        <w:tc>
          <w:tcPr>
            <w:tcW w:w="8931" w:type="dxa"/>
            <w:shd w:val="clear" w:color="auto" w:fill="auto"/>
          </w:tcPr>
          <w:p w:rsidR="00A6439A" w:rsidRPr="00C96E69" w:rsidRDefault="00A6439A" w:rsidP="00C96E69">
            <w:pPr>
              <w:numPr>
                <w:ilvl w:val="1"/>
                <w:numId w:val="1"/>
              </w:numPr>
              <w:tabs>
                <w:tab w:val="clear" w:pos="1440"/>
                <w:tab w:val="num" w:pos="743"/>
              </w:tabs>
              <w:ind w:left="743"/>
              <w:rPr>
                <w:rFonts w:ascii="Arial" w:hAnsi="Arial"/>
                <w:b/>
                <w:sz w:val="24"/>
              </w:rPr>
            </w:pPr>
            <w:r w:rsidRPr="00C96E69">
              <w:rPr>
                <w:rFonts w:ascii="Arial" w:hAnsi="Arial"/>
                <w:sz w:val="24"/>
              </w:rPr>
              <w:t>For each sample and control,</w:t>
            </w:r>
            <w:r w:rsidRPr="00C96E69">
              <w:rPr>
                <w:rFonts w:ascii="Arial" w:hAnsi="Arial"/>
                <w:b/>
                <w:sz w:val="24"/>
              </w:rPr>
              <w:t xml:space="preserve"> </w:t>
            </w:r>
            <w:r w:rsidRPr="00C96E69">
              <w:rPr>
                <w:rFonts w:ascii="Arial" w:hAnsi="Arial"/>
                <w:sz w:val="24"/>
              </w:rPr>
              <w:t>mix an equal volume of plasma and PBS as a dilution control in a separate tube (e.g. 2 drops of plasma + 2 drops of PBS).</w:t>
            </w:r>
          </w:p>
        </w:tc>
      </w:tr>
      <w:tr w:rsidR="00A6439A" w:rsidRPr="00C96E69" w:rsidTr="00C96E69">
        <w:tc>
          <w:tcPr>
            <w:tcW w:w="8931" w:type="dxa"/>
            <w:shd w:val="clear" w:color="auto" w:fill="auto"/>
          </w:tcPr>
          <w:p w:rsidR="00A6439A" w:rsidRPr="00C96E69" w:rsidRDefault="00A6439A" w:rsidP="00C96E69">
            <w:pPr>
              <w:numPr>
                <w:ilvl w:val="1"/>
                <w:numId w:val="1"/>
              </w:numPr>
              <w:tabs>
                <w:tab w:val="clear" w:pos="1440"/>
                <w:tab w:val="num" w:pos="743"/>
              </w:tabs>
              <w:ind w:left="743"/>
              <w:rPr>
                <w:rFonts w:ascii="Arial" w:hAnsi="Arial"/>
                <w:b/>
                <w:sz w:val="24"/>
              </w:rPr>
            </w:pPr>
            <w:r w:rsidRPr="00C96E69">
              <w:rPr>
                <w:rFonts w:ascii="Arial" w:hAnsi="Arial"/>
                <w:sz w:val="24"/>
              </w:rPr>
              <w:t>Incubate at 37</w:t>
            </w:r>
            <w:r w:rsidRPr="00C96E69">
              <w:rPr>
                <w:rFonts w:ascii="Arial" w:hAnsi="Arial" w:cs="Arial"/>
                <w:sz w:val="24"/>
              </w:rPr>
              <w:t>°</w:t>
            </w:r>
            <w:r w:rsidRPr="00C96E69">
              <w:rPr>
                <w:rFonts w:ascii="Arial" w:hAnsi="Arial"/>
                <w:sz w:val="24"/>
              </w:rPr>
              <w:t>C for 30 minutes. Treatment with DTT may be extended up to 2 hours.</w:t>
            </w:r>
          </w:p>
        </w:tc>
      </w:tr>
      <w:tr w:rsidR="00A6439A" w:rsidRPr="00C96E69" w:rsidTr="00C96E69">
        <w:tc>
          <w:tcPr>
            <w:tcW w:w="8931" w:type="dxa"/>
            <w:shd w:val="clear" w:color="auto" w:fill="auto"/>
          </w:tcPr>
          <w:p w:rsidR="00A6439A" w:rsidRPr="00C96E69" w:rsidRDefault="00A6439A" w:rsidP="00C96E69">
            <w:pPr>
              <w:numPr>
                <w:ilvl w:val="1"/>
                <w:numId w:val="1"/>
              </w:numPr>
              <w:tabs>
                <w:tab w:val="clear" w:pos="1440"/>
                <w:tab w:val="num" w:pos="743"/>
              </w:tabs>
              <w:ind w:left="743"/>
              <w:rPr>
                <w:rFonts w:ascii="Arial" w:hAnsi="Arial"/>
                <w:b/>
                <w:sz w:val="24"/>
              </w:rPr>
            </w:pPr>
            <w:r w:rsidRPr="00C96E69">
              <w:rPr>
                <w:rFonts w:ascii="Arial" w:hAnsi="Arial"/>
                <w:sz w:val="24"/>
              </w:rPr>
              <w:t>Test 4 drops of the treated and dilution control plasma (in parallel) with 1 drop of the appropriate RBCs.</w:t>
            </w:r>
          </w:p>
        </w:tc>
      </w:tr>
      <w:tr w:rsidR="00A6439A" w:rsidRPr="00C96E69" w:rsidTr="00C96E69">
        <w:tc>
          <w:tcPr>
            <w:tcW w:w="8931" w:type="dxa"/>
            <w:shd w:val="clear" w:color="auto" w:fill="auto"/>
          </w:tcPr>
          <w:p w:rsidR="00A6439A" w:rsidRPr="00C96E69" w:rsidRDefault="00A6439A" w:rsidP="00C96E69">
            <w:pPr>
              <w:numPr>
                <w:ilvl w:val="1"/>
                <w:numId w:val="1"/>
              </w:numPr>
              <w:tabs>
                <w:tab w:val="clear" w:pos="1440"/>
                <w:tab w:val="num" w:pos="743"/>
              </w:tabs>
              <w:ind w:left="743"/>
              <w:rPr>
                <w:rFonts w:ascii="Arial" w:hAnsi="Arial"/>
                <w:b/>
                <w:sz w:val="24"/>
              </w:rPr>
            </w:pPr>
            <w:r w:rsidRPr="00C96E69">
              <w:rPr>
                <w:rFonts w:ascii="Arial" w:hAnsi="Arial"/>
                <w:sz w:val="24"/>
              </w:rPr>
              <w:t>If possible test antigen negative RBCs with the DTT/plasma mixture if indirect antiglobulin testing is to be performed.</w:t>
            </w:r>
          </w:p>
        </w:tc>
      </w:tr>
      <w:tr w:rsidR="00A6439A" w:rsidRPr="00C96E69" w:rsidTr="00C96E69">
        <w:tc>
          <w:tcPr>
            <w:tcW w:w="8931" w:type="dxa"/>
            <w:shd w:val="clear" w:color="auto" w:fill="auto"/>
          </w:tcPr>
          <w:p w:rsidR="00A6439A" w:rsidRPr="00C96E69" w:rsidRDefault="00A6439A" w:rsidP="00C96E69">
            <w:pPr>
              <w:numPr>
                <w:ilvl w:val="1"/>
                <w:numId w:val="1"/>
              </w:numPr>
              <w:tabs>
                <w:tab w:val="clear" w:pos="1440"/>
                <w:tab w:val="num" w:pos="743"/>
              </w:tabs>
              <w:ind w:left="743"/>
              <w:rPr>
                <w:rFonts w:ascii="Arial" w:hAnsi="Arial"/>
                <w:b/>
                <w:sz w:val="24"/>
              </w:rPr>
            </w:pPr>
            <w:r w:rsidRPr="00C96E69">
              <w:rPr>
                <w:rFonts w:ascii="Arial" w:hAnsi="Arial"/>
                <w:sz w:val="24"/>
              </w:rPr>
              <w:t>Incubate the tubes for 30-60 minutes at the temperature appropriate for the reactivity (e.g. room temperature or 37</w:t>
            </w:r>
            <w:r w:rsidRPr="00C96E69">
              <w:rPr>
                <w:rFonts w:ascii="Arial" w:hAnsi="Arial" w:cs="Arial"/>
                <w:sz w:val="24"/>
              </w:rPr>
              <w:t>°</w:t>
            </w:r>
            <w:r w:rsidRPr="00C96E69">
              <w:rPr>
                <w:rFonts w:ascii="Arial" w:hAnsi="Arial"/>
                <w:sz w:val="24"/>
              </w:rPr>
              <w:t>C) centrifuge and read for agglutination. Record results.</w:t>
            </w:r>
          </w:p>
        </w:tc>
      </w:tr>
      <w:tr w:rsidR="00A6439A" w:rsidRPr="00C96E69" w:rsidTr="00C96E69">
        <w:tc>
          <w:tcPr>
            <w:tcW w:w="8931" w:type="dxa"/>
            <w:shd w:val="clear" w:color="auto" w:fill="auto"/>
          </w:tcPr>
          <w:p w:rsidR="00A6439A" w:rsidRPr="00C96E69" w:rsidRDefault="00A6439A" w:rsidP="00C96E69">
            <w:pPr>
              <w:pStyle w:val="BodyText2"/>
              <w:numPr>
                <w:ilvl w:val="1"/>
                <w:numId w:val="1"/>
              </w:numPr>
              <w:tabs>
                <w:tab w:val="clear" w:pos="1440"/>
                <w:tab w:val="num" w:pos="743"/>
              </w:tabs>
              <w:ind w:left="743"/>
              <w:rPr>
                <w:b/>
              </w:rPr>
            </w:pPr>
            <w:r>
              <w:t>If the antibody is 37</w:t>
            </w:r>
            <w:r w:rsidRPr="00C96E69">
              <w:rPr>
                <w:rFonts w:cs="Arial"/>
              </w:rPr>
              <w:t>°</w:t>
            </w:r>
            <w:r>
              <w:t>C and/or antiglobulin reactive, wash the RBCs x 4 for the antiglobulin test. Observe for agglutination prior to adding anti-IgG if agglutination was seen in a previous phase.</w:t>
            </w:r>
          </w:p>
        </w:tc>
      </w:tr>
      <w:tr w:rsidR="00A6439A" w:rsidRPr="00C96E69" w:rsidTr="00C96E69">
        <w:trPr>
          <w:trHeight w:val="282"/>
        </w:trPr>
        <w:tc>
          <w:tcPr>
            <w:tcW w:w="8931" w:type="dxa"/>
            <w:shd w:val="clear" w:color="auto" w:fill="auto"/>
          </w:tcPr>
          <w:p w:rsidR="00A6439A" w:rsidRPr="00C96E69" w:rsidRDefault="00A6439A" w:rsidP="00C96E69">
            <w:pPr>
              <w:numPr>
                <w:ilvl w:val="1"/>
                <w:numId w:val="1"/>
              </w:numPr>
              <w:tabs>
                <w:tab w:val="clear" w:pos="1440"/>
                <w:tab w:val="num" w:pos="743"/>
              </w:tabs>
              <w:ind w:left="743"/>
              <w:rPr>
                <w:rFonts w:ascii="Arial" w:hAnsi="Arial"/>
                <w:b/>
                <w:sz w:val="24"/>
              </w:rPr>
            </w:pPr>
            <w:r w:rsidRPr="00C96E69">
              <w:rPr>
                <w:rFonts w:ascii="Arial" w:hAnsi="Arial"/>
                <w:sz w:val="24"/>
              </w:rPr>
              <w:t>Add anti-IgG, centrifuge and read. Record results.</w:t>
            </w:r>
          </w:p>
        </w:tc>
      </w:tr>
      <w:tr w:rsidR="00A6439A" w:rsidRPr="00C96E69" w:rsidTr="00C96E69">
        <w:tc>
          <w:tcPr>
            <w:tcW w:w="8931" w:type="dxa"/>
            <w:shd w:val="clear" w:color="auto" w:fill="auto"/>
          </w:tcPr>
          <w:p w:rsidR="00A6439A" w:rsidRPr="00C96E69" w:rsidRDefault="00A6439A" w:rsidP="00C96E69">
            <w:pPr>
              <w:numPr>
                <w:ilvl w:val="1"/>
                <w:numId w:val="1"/>
              </w:numPr>
              <w:tabs>
                <w:tab w:val="clear" w:pos="1440"/>
                <w:tab w:val="num" w:pos="743"/>
              </w:tabs>
              <w:ind w:left="743"/>
              <w:rPr>
                <w:rFonts w:ascii="Arial" w:hAnsi="Arial"/>
                <w:b/>
                <w:sz w:val="24"/>
              </w:rPr>
            </w:pPr>
            <w:r w:rsidRPr="00C96E69">
              <w:rPr>
                <w:rFonts w:ascii="Arial" w:hAnsi="Arial"/>
                <w:sz w:val="24"/>
              </w:rPr>
              <w:t>All negative reactions should be confirmed by the addition of IgG sensitized control cells.</w:t>
            </w:r>
            <w:r w:rsidR="008634D0" w:rsidRPr="00C96E69">
              <w:rPr>
                <w:rFonts w:ascii="Arial" w:hAnsi="Arial"/>
                <w:sz w:val="24"/>
              </w:rPr>
              <w:t xml:space="preserve"> </w:t>
            </w:r>
            <w:r w:rsidRPr="00C96E69">
              <w:rPr>
                <w:rFonts w:ascii="Arial" w:hAnsi="Arial"/>
                <w:sz w:val="24"/>
              </w:rPr>
              <w:t>If a negative reaction is obtained with the cont</w:t>
            </w:r>
            <w:r w:rsidR="008634D0" w:rsidRPr="00C96E69">
              <w:rPr>
                <w:rFonts w:ascii="Arial" w:hAnsi="Arial"/>
                <w:sz w:val="24"/>
              </w:rPr>
              <w:t>r</w:t>
            </w:r>
            <w:r w:rsidRPr="00C96E69">
              <w:rPr>
                <w:rFonts w:ascii="Arial" w:hAnsi="Arial"/>
                <w:sz w:val="24"/>
              </w:rPr>
              <w:t xml:space="preserve">ol cells that tube must repeated prior to reporting the results. </w:t>
            </w:r>
          </w:p>
        </w:tc>
      </w:tr>
    </w:tbl>
    <w:p w:rsidR="008634D0" w:rsidRDefault="008634D0" w:rsidP="008634D0">
      <w:pPr>
        <w:ind w:left="720"/>
        <w:rPr>
          <w:rFonts w:ascii="Arial" w:hAnsi="Arial"/>
          <w:b/>
          <w:sz w:val="28"/>
        </w:rPr>
      </w:pPr>
    </w:p>
    <w:p w:rsidR="0015756C" w:rsidRDefault="0015756C">
      <w:pPr>
        <w:numPr>
          <w:ilvl w:val="0"/>
          <w:numId w:val="1"/>
        </w:numPr>
        <w:rPr>
          <w:rFonts w:ascii="Arial" w:hAnsi="Arial"/>
          <w:b/>
          <w:sz w:val="28"/>
        </w:rPr>
      </w:pPr>
      <w:r>
        <w:rPr>
          <w:rFonts w:ascii="Arial" w:hAnsi="Arial"/>
          <w:b/>
          <w:sz w:val="28"/>
        </w:rPr>
        <w:t xml:space="preserve">Reporting  </w:t>
      </w:r>
    </w:p>
    <w:p w:rsidR="0015756C" w:rsidRDefault="0015756C">
      <w:pPr>
        <w:rPr>
          <w:rFonts w:ascii="Arial" w:hAnsi="Arial"/>
          <w:b/>
          <w:sz w:val="24"/>
        </w:rPr>
      </w:pPr>
    </w:p>
    <w:p w:rsidR="0015756C" w:rsidRDefault="0015756C">
      <w:pPr>
        <w:pStyle w:val="Heading1"/>
        <w:numPr>
          <w:ilvl w:val="0"/>
          <w:numId w:val="0"/>
        </w:numPr>
        <w:ind w:left="720"/>
        <w:rPr>
          <w:rFonts w:ascii="Arial" w:hAnsi="Arial"/>
          <w:b w:val="0"/>
          <w:sz w:val="24"/>
        </w:rPr>
      </w:pPr>
      <w:r>
        <w:rPr>
          <w:rFonts w:ascii="Arial" w:hAnsi="Arial"/>
          <w:b w:val="0"/>
          <w:sz w:val="24"/>
        </w:rPr>
        <w:t xml:space="preserve">Interpretation: </w:t>
      </w:r>
    </w:p>
    <w:p w:rsidR="0015756C" w:rsidRDefault="0015756C" w:rsidP="00BF11B3">
      <w:pPr>
        <w:pStyle w:val="Heading1"/>
        <w:numPr>
          <w:ilvl w:val="1"/>
          <w:numId w:val="1"/>
        </w:numPr>
        <w:ind w:hanging="731"/>
        <w:rPr>
          <w:rFonts w:ascii="Arial" w:hAnsi="Arial"/>
          <w:b w:val="0"/>
          <w:sz w:val="24"/>
        </w:rPr>
      </w:pPr>
      <w:r>
        <w:rPr>
          <w:rFonts w:ascii="Arial" w:hAnsi="Arial"/>
          <w:b w:val="0"/>
          <w:sz w:val="24"/>
        </w:rPr>
        <w:t>Equivalent reactivity in both the treated and dilution control plasma indicates the presence of an IgG antibody, but a mixture of IgM and IgG antibodies may not be obvious by direct testing and may require titration to detect a reduction in antibody activity.</w:t>
      </w:r>
    </w:p>
    <w:p w:rsidR="0015756C" w:rsidRDefault="0015756C" w:rsidP="00BF11B3">
      <w:pPr>
        <w:numPr>
          <w:ilvl w:val="1"/>
          <w:numId w:val="1"/>
        </w:numPr>
        <w:ind w:hanging="731"/>
        <w:rPr>
          <w:rFonts w:ascii="Arial" w:hAnsi="Arial"/>
          <w:sz w:val="24"/>
        </w:rPr>
      </w:pPr>
      <w:r>
        <w:rPr>
          <w:rFonts w:ascii="Arial" w:hAnsi="Arial"/>
          <w:sz w:val="24"/>
        </w:rPr>
        <w:t>Decreased reactivity of the treated plasma when compared to the reactivity of the dilution control plasma may indicate only partial inactivation of IgM rather than the presence of an IgG component.</w:t>
      </w:r>
    </w:p>
    <w:p w:rsidR="0015756C" w:rsidRDefault="0015756C">
      <w:pPr>
        <w:ind w:left="720"/>
        <w:rPr>
          <w:rFonts w:ascii="Arial" w:hAnsi="Arial"/>
          <w:sz w:val="24"/>
        </w:rPr>
      </w:pPr>
    </w:p>
    <w:p w:rsidR="0015756C" w:rsidRDefault="0015756C">
      <w:pPr>
        <w:pStyle w:val="BodyTextIndent"/>
        <w:rPr>
          <w:rFonts w:ascii="Arial" w:hAnsi="Arial"/>
        </w:rPr>
      </w:pPr>
      <w:r>
        <w:rPr>
          <w:rFonts w:ascii="Arial" w:hAnsi="Arial"/>
        </w:rPr>
        <w:t>Examples and interpretations of diluted plasma:</w:t>
      </w:r>
    </w:p>
    <w:p w:rsidR="0015756C" w:rsidRDefault="0015756C">
      <w:pPr>
        <w:pStyle w:val="BodyTextIndent"/>
        <w:rPr>
          <w:rFonts w:ascii="Arial" w:hAnsi="Arial"/>
        </w:rPr>
      </w:pP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1102"/>
        <w:gridCol w:w="1103"/>
        <w:gridCol w:w="1102"/>
        <w:gridCol w:w="1103"/>
        <w:gridCol w:w="2353"/>
      </w:tblGrid>
      <w:tr w:rsidR="00A6439A" w:rsidTr="00A6439A">
        <w:trPr>
          <w:cantSplit/>
          <w:trHeight w:val="140"/>
          <w:jc w:val="center"/>
        </w:trPr>
        <w:tc>
          <w:tcPr>
            <w:tcW w:w="1904" w:type="dxa"/>
            <w:vMerge w:val="restart"/>
          </w:tcPr>
          <w:p w:rsidR="00A6439A" w:rsidRDefault="00A6439A">
            <w:pPr>
              <w:jc w:val="center"/>
              <w:rPr>
                <w:rFonts w:ascii="Arial" w:hAnsi="Arial"/>
                <w:sz w:val="24"/>
              </w:rPr>
            </w:pPr>
          </w:p>
        </w:tc>
        <w:tc>
          <w:tcPr>
            <w:tcW w:w="4410" w:type="dxa"/>
            <w:gridSpan w:val="4"/>
          </w:tcPr>
          <w:p w:rsidR="00A6439A" w:rsidRDefault="00A6439A">
            <w:pPr>
              <w:jc w:val="center"/>
              <w:rPr>
                <w:rFonts w:ascii="Arial" w:hAnsi="Arial"/>
                <w:sz w:val="24"/>
                <w:lang w:val="fr-CA"/>
              </w:rPr>
            </w:pPr>
            <w:r>
              <w:rPr>
                <w:rFonts w:ascii="Arial" w:hAnsi="Arial"/>
                <w:sz w:val="24"/>
                <w:lang w:val="fr-CA"/>
              </w:rPr>
              <w:t>Plasma dilution</w:t>
            </w:r>
          </w:p>
        </w:tc>
        <w:tc>
          <w:tcPr>
            <w:tcW w:w="2353" w:type="dxa"/>
            <w:vMerge w:val="restart"/>
            <w:vAlign w:val="center"/>
          </w:tcPr>
          <w:p w:rsidR="00A6439A" w:rsidRDefault="00A6439A">
            <w:pPr>
              <w:jc w:val="center"/>
              <w:rPr>
                <w:rFonts w:ascii="Arial" w:hAnsi="Arial"/>
                <w:sz w:val="24"/>
                <w:lang w:val="fr-CA"/>
              </w:rPr>
            </w:pPr>
            <w:r>
              <w:rPr>
                <w:rFonts w:ascii="Arial" w:hAnsi="Arial"/>
                <w:sz w:val="24"/>
                <w:lang w:val="fr-CA"/>
              </w:rPr>
              <w:t>Interpretation</w:t>
            </w:r>
          </w:p>
        </w:tc>
      </w:tr>
      <w:tr w:rsidR="00A6439A" w:rsidTr="00A6439A">
        <w:trPr>
          <w:cantSplit/>
          <w:trHeight w:val="140"/>
          <w:jc w:val="center"/>
        </w:trPr>
        <w:tc>
          <w:tcPr>
            <w:tcW w:w="1904" w:type="dxa"/>
            <w:vMerge/>
            <w:tcBorders>
              <w:bottom w:val="nil"/>
            </w:tcBorders>
          </w:tcPr>
          <w:p w:rsidR="00A6439A" w:rsidRDefault="00A6439A">
            <w:pPr>
              <w:jc w:val="center"/>
              <w:rPr>
                <w:rFonts w:ascii="Arial" w:hAnsi="Arial"/>
                <w:sz w:val="24"/>
                <w:lang w:val="fr-CA"/>
              </w:rPr>
            </w:pPr>
          </w:p>
        </w:tc>
        <w:tc>
          <w:tcPr>
            <w:tcW w:w="1102" w:type="dxa"/>
            <w:tcBorders>
              <w:bottom w:val="nil"/>
            </w:tcBorders>
          </w:tcPr>
          <w:p w:rsidR="00A6439A" w:rsidRDefault="00A6439A">
            <w:pPr>
              <w:jc w:val="center"/>
              <w:rPr>
                <w:rFonts w:ascii="Arial" w:hAnsi="Arial"/>
                <w:sz w:val="24"/>
                <w:lang w:val="fr-CA"/>
              </w:rPr>
            </w:pPr>
            <w:r>
              <w:rPr>
                <w:rFonts w:ascii="Arial" w:hAnsi="Arial"/>
                <w:sz w:val="24"/>
                <w:lang w:val="fr-CA"/>
              </w:rPr>
              <w:t>1/2</w:t>
            </w:r>
          </w:p>
        </w:tc>
        <w:tc>
          <w:tcPr>
            <w:tcW w:w="1103" w:type="dxa"/>
            <w:tcBorders>
              <w:bottom w:val="nil"/>
            </w:tcBorders>
          </w:tcPr>
          <w:p w:rsidR="00A6439A" w:rsidRDefault="00A6439A">
            <w:pPr>
              <w:jc w:val="center"/>
              <w:rPr>
                <w:rFonts w:ascii="Arial" w:hAnsi="Arial"/>
                <w:sz w:val="24"/>
                <w:lang w:val="fr-CA"/>
              </w:rPr>
            </w:pPr>
            <w:r>
              <w:rPr>
                <w:rFonts w:ascii="Arial" w:hAnsi="Arial"/>
                <w:sz w:val="24"/>
                <w:lang w:val="fr-CA"/>
              </w:rPr>
              <w:t>1/4</w:t>
            </w:r>
          </w:p>
        </w:tc>
        <w:tc>
          <w:tcPr>
            <w:tcW w:w="1102" w:type="dxa"/>
            <w:tcBorders>
              <w:bottom w:val="nil"/>
            </w:tcBorders>
          </w:tcPr>
          <w:p w:rsidR="00A6439A" w:rsidRDefault="00A6439A">
            <w:pPr>
              <w:jc w:val="center"/>
              <w:rPr>
                <w:rFonts w:ascii="Arial" w:hAnsi="Arial"/>
                <w:sz w:val="24"/>
                <w:lang w:val="fr-CA"/>
              </w:rPr>
            </w:pPr>
            <w:r>
              <w:rPr>
                <w:rFonts w:ascii="Arial" w:hAnsi="Arial"/>
                <w:sz w:val="24"/>
                <w:lang w:val="fr-CA"/>
              </w:rPr>
              <w:t>1/8</w:t>
            </w:r>
          </w:p>
        </w:tc>
        <w:tc>
          <w:tcPr>
            <w:tcW w:w="1103" w:type="dxa"/>
            <w:tcBorders>
              <w:bottom w:val="nil"/>
            </w:tcBorders>
          </w:tcPr>
          <w:p w:rsidR="00A6439A" w:rsidRDefault="00A6439A">
            <w:pPr>
              <w:jc w:val="center"/>
              <w:rPr>
                <w:rFonts w:ascii="Arial" w:hAnsi="Arial"/>
                <w:sz w:val="24"/>
                <w:lang w:val="fr-CA"/>
              </w:rPr>
            </w:pPr>
            <w:r>
              <w:rPr>
                <w:rFonts w:ascii="Arial" w:hAnsi="Arial"/>
                <w:sz w:val="24"/>
                <w:lang w:val="fr-CA"/>
              </w:rPr>
              <w:t>1/16</w:t>
            </w:r>
          </w:p>
        </w:tc>
        <w:tc>
          <w:tcPr>
            <w:tcW w:w="2353" w:type="dxa"/>
            <w:vMerge/>
            <w:tcBorders>
              <w:bottom w:val="nil"/>
            </w:tcBorders>
          </w:tcPr>
          <w:p w:rsidR="00A6439A" w:rsidRDefault="00A6439A">
            <w:pPr>
              <w:jc w:val="center"/>
              <w:rPr>
                <w:rFonts w:ascii="Arial" w:hAnsi="Arial"/>
                <w:sz w:val="24"/>
                <w:lang w:val="fr-CA"/>
              </w:rPr>
            </w:pPr>
          </w:p>
        </w:tc>
      </w:tr>
      <w:tr w:rsidR="00A6439A" w:rsidTr="00A6439A">
        <w:trPr>
          <w:cantSplit/>
          <w:jc w:val="center"/>
        </w:trPr>
        <w:tc>
          <w:tcPr>
            <w:tcW w:w="1904" w:type="dxa"/>
            <w:tcBorders>
              <w:top w:val="single" w:sz="12" w:space="0" w:color="auto"/>
            </w:tcBorders>
          </w:tcPr>
          <w:p w:rsidR="00A6439A" w:rsidRDefault="00A6439A">
            <w:pPr>
              <w:pStyle w:val="Header"/>
              <w:tabs>
                <w:tab w:val="clear" w:pos="4320"/>
                <w:tab w:val="clear" w:pos="8640"/>
              </w:tabs>
              <w:jc w:val="center"/>
              <w:rPr>
                <w:rFonts w:ascii="Arial" w:hAnsi="Arial"/>
                <w:sz w:val="24"/>
                <w:lang w:val="fr-CA"/>
              </w:rPr>
            </w:pPr>
            <w:r>
              <w:rPr>
                <w:rFonts w:ascii="Arial" w:hAnsi="Arial"/>
                <w:sz w:val="24"/>
                <w:lang w:val="fr-CA"/>
              </w:rPr>
              <w:t>Plasma + DTT</w:t>
            </w:r>
          </w:p>
        </w:tc>
        <w:tc>
          <w:tcPr>
            <w:tcW w:w="1102" w:type="dxa"/>
            <w:tcBorders>
              <w:top w:val="single" w:sz="12" w:space="0" w:color="auto"/>
            </w:tcBorders>
          </w:tcPr>
          <w:p w:rsidR="00A6439A" w:rsidRDefault="00A6439A">
            <w:pPr>
              <w:jc w:val="center"/>
              <w:rPr>
                <w:rFonts w:ascii="Arial" w:hAnsi="Arial"/>
                <w:sz w:val="24"/>
                <w:lang w:val="fr-CA"/>
              </w:rPr>
            </w:pPr>
            <w:r>
              <w:rPr>
                <w:rFonts w:ascii="Arial" w:hAnsi="Arial"/>
                <w:sz w:val="24"/>
                <w:lang w:val="fr-CA"/>
              </w:rPr>
              <w:t>grade 3</w:t>
            </w:r>
          </w:p>
        </w:tc>
        <w:tc>
          <w:tcPr>
            <w:tcW w:w="1103" w:type="dxa"/>
            <w:tcBorders>
              <w:top w:val="single" w:sz="12" w:space="0" w:color="auto"/>
            </w:tcBorders>
          </w:tcPr>
          <w:p w:rsidR="00A6439A" w:rsidRDefault="00A6439A">
            <w:pPr>
              <w:jc w:val="center"/>
              <w:rPr>
                <w:rFonts w:ascii="Arial" w:hAnsi="Arial"/>
                <w:sz w:val="24"/>
                <w:lang w:val="fr-CA"/>
              </w:rPr>
            </w:pPr>
            <w:r>
              <w:rPr>
                <w:rFonts w:ascii="Arial" w:hAnsi="Arial"/>
                <w:sz w:val="24"/>
                <w:lang w:val="fr-CA"/>
              </w:rPr>
              <w:t>grade 2</w:t>
            </w:r>
          </w:p>
        </w:tc>
        <w:tc>
          <w:tcPr>
            <w:tcW w:w="1102" w:type="dxa"/>
            <w:tcBorders>
              <w:top w:val="single" w:sz="12" w:space="0" w:color="auto"/>
            </w:tcBorders>
          </w:tcPr>
          <w:p w:rsidR="00A6439A" w:rsidRDefault="00A6439A">
            <w:pPr>
              <w:jc w:val="center"/>
              <w:rPr>
                <w:rFonts w:ascii="Arial" w:hAnsi="Arial"/>
                <w:sz w:val="24"/>
                <w:lang w:val="fr-CA"/>
              </w:rPr>
            </w:pPr>
            <w:r>
              <w:rPr>
                <w:rFonts w:ascii="Arial" w:hAnsi="Arial"/>
                <w:sz w:val="24"/>
                <w:lang w:val="fr-CA"/>
              </w:rPr>
              <w:t>grade 1</w:t>
            </w:r>
          </w:p>
        </w:tc>
        <w:tc>
          <w:tcPr>
            <w:tcW w:w="1103" w:type="dxa"/>
            <w:tcBorders>
              <w:top w:val="single" w:sz="12" w:space="0" w:color="auto"/>
            </w:tcBorders>
          </w:tcPr>
          <w:p w:rsidR="00A6439A" w:rsidRDefault="00A6439A">
            <w:pPr>
              <w:jc w:val="center"/>
              <w:rPr>
                <w:rFonts w:ascii="Arial" w:hAnsi="Arial"/>
                <w:sz w:val="24"/>
                <w:lang w:val="fr-CA"/>
              </w:rPr>
            </w:pPr>
            <w:r>
              <w:rPr>
                <w:rFonts w:ascii="Arial" w:hAnsi="Arial"/>
                <w:sz w:val="24"/>
                <w:lang w:val="fr-CA"/>
              </w:rPr>
              <w:t>0</w:t>
            </w:r>
          </w:p>
        </w:tc>
        <w:tc>
          <w:tcPr>
            <w:tcW w:w="2353" w:type="dxa"/>
            <w:vMerge w:val="restart"/>
            <w:tcBorders>
              <w:top w:val="single" w:sz="12" w:space="0" w:color="auto"/>
            </w:tcBorders>
            <w:vAlign w:val="center"/>
          </w:tcPr>
          <w:p w:rsidR="00A6439A" w:rsidRDefault="00A6439A">
            <w:pPr>
              <w:jc w:val="center"/>
              <w:rPr>
                <w:rFonts w:ascii="Arial" w:hAnsi="Arial"/>
                <w:sz w:val="24"/>
                <w:lang w:val="fr-CA"/>
              </w:rPr>
            </w:pPr>
            <w:r>
              <w:rPr>
                <w:rFonts w:ascii="Arial" w:hAnsi="Arial"/>
                <w:sz w:val="24"/>
                <w:lang w:val="fr-CA"/>
              </w:rPr>
              <w:t>IgG</w:t>
            </w:r>
          </w:p>
        </w:tc>
      </w:tr>
      <w:tr w:rsidR="00A6439A" w:rsidTr="00A6439A">
        <w:trPr>
          <w:cantSplit/>
          <w:jc w:val="center"/>
        </w:trPr>
        <w:tc>
          <w:tcPr>
            <w:tcW w:w="1904" w:type="dxa"/>
          </w:tcPr>
          <w:p w:rsidR="00A6439A" w:rsidRDefault="00A6439A">
            <w:pPr>
              <w:jc w:val="center"/>
              <w:rPr>
                <w:rFonts w:ascii="Arial" w:hAnsi="Arial"/>
                <w:sz w:val="24"/>
                <w:lang w:val="fr-CA"/>
              </w:rPr>
            </w:pPr>
            <w:r>
              <w:rPr>
                <w:rFonts w:ascii="Arial" w:hAnsi="Arial"/>
                <w:sz w:val="24"/>
                <w:lang w:val="fr-CA"/>
              </w:rPr>
              <w:t>Plasma + PBS</w:t>
            </w:r>
          </w:p>
        </w:tc>
        <w:tc>
          <w:tcPr>
            <w:tcW w:w="1102" w:type="dxa"/>
          </w:tcPr>
          <w:p w:rsidR="00A6439A" w:rsidRDefault="00A6439A">
            <w:pPr>
              <w:jc w:val="center"/>
              <w:rPr>
                <w:rFonts w:ascii="Arial" w:hAnsi="Arial"/>
                <w:sz w:val="24"/>
                <w:lang w:val="fr-CA"/>
              </w:rPr>
            </w:pPr>
            <w:r>
              <w:rPr>
                <w:rFonts w:ascii="Arial" w:hAnsi="Arial"/>
                <w:sz w:val="24"/>
                <w:lang w:val="fr-CA"/>
              </w:rPr>
              <w:t>grade 3</w:t>
            </w:r>
          </w:p>
        </w:tc>
        <w:tc>
          <w:tcPr>
            <w:tcW w:w="1103" w:type="dxa"/>
          </w:tcPr>
          <w:p w:rsidR="00A6439A" w:rsidRDefault="00A6439A">
            <w:pPr>
              <w:jc w:val="center"/>
              <w:rPr>
                <w:rFonts w:ascii="Arial" w:hAnsi="Arial"/>
                <w:sz w:val="24"/>
                <w:lang w:val="fr-CA"/>
              </w:rPr>
            </w:pPr>
            <w:r>
              <w:rPr>
                <w:rFonts w:ascii="Arial" w:hAnsi="Arial"/>
                <w:sz w:val="24"/>
                <w:lang w:val="fr-CA"/>
              </w:rPr>
              <w:t>grade 2</w:t>
            </w:r>
          </w:p>
        </w:tc>
        <w:tc>
          <w:tcPr>
            <w:tcW w:w="1102" w:type="dxa"/>
          </w:tcPr>
          <w:p w:rsidR="00A6439A" w:rsidRDefault="00A6439A">
            <w:pPr>
              <w:jc w:val="center"/>
              <w:rPr>
                <w:rFonts w:ascii="Arial" w:hAnsi="Arial"/>
                <w:sz w:val="24"/>
                <w:lang w:val="fr-CA"/>
              </w:rPr>
            </w:pPr>
            <w:r>
              <w:rPr>
                <w:rFonts w:ascii="Arial" w:hAnsi="Arial"/>
                <w:sz w:val="24"/>
                <w:lang w:val="fr-CA"/>
              </w:rPr>
              <w:t>grade 1</w:t>
            </w:r>
          </w:p>
        </w:tc>
        <w:tc>
          <w:tcPr>
            <w:tcW w:w="1103" w:type="dxa"/>
          </w:tcPr>
          <w:p w:rsidR="00A6439A" w:rsidRDefault="00A6439A">
            <w:pPr>
              <w:jc w:val="center"/>
              <w:rPr>
                <w:rFonts w:ascii="Arial" w:hAnsi="Arial"/>
                <w:sz w:val="24"/>
                <w:lang w:val="fr-CA"/>
              </w:rPr>
            </w:pPr>
            <w:r>
              <w:rPr>
                <w:rFonts w:ascii="Arial" w:hAnsi="Arial"/>
                <w:sz w:val="24"/>
                <w:lang w:val="fr-CA"/>
              </w:rPr>
              <w:t>0</w:t>
            </w:r>
          </w:p>
        </w:tc>
        <w:tc>
          <w:tcPr>
            <w:tcW w:w="2353" w:type="dxa"/>
            <w:vMerge/>
            <w:vAlign w:val="center"/>
          </w:tcPr>
          <w:p w:rsidR="00A6439A" w:rsidRDefault="00A6439A">
            <w:pPr>
              <w:jc w:val="center"/>
              <w:rPr>
                <w:rFonts w:ascii="Arial" w:hAnsi="Arial"/>
                <w:sz w:val="24"/>
                <w:lang w:val="fr-CA"/>
              </w:rPr>
            </w:pPr>
          </w:p>
        </w:tc>
      </w:tr>
      <w:tr w:rsidR="00A6439A" w:rsidTr="00A6439A">
        <w:trPr>
          <w:cantSplit/>
          <w:jc w:val="center"/>
        </w:trPr>
        <w:tc>
          <w:tcPr>
            <w:tcW w:w="1904" w:type="dxa"/>
          </w:tcPr>
          <w:p w:rsidR="00A6439A" w:rsidRDefault="00A6439A">
            <w:pPr>
              <w:jc w:val="center"/>
              <w:rPr>
                <w:rFonts w:ascii="Arial" w:hAnsi="Arial"/>
                <w:sz w:val="24"/>
                <w:lang w:val="fr-CA"/>
              </w:rPr>
            </w:pPr>
            <w:r>
              <w:rPr>
                <w:rFonts w:ascii="Arial" w:hAnsi="Arial"/>
                <w:sz w:val="24"/>
                <w:lang w:val="fr-CA"/>
              </w:rPr>
              <w:t>Plasma + DTT</w:t>
            </w:r>
          </w:p>
        </w:tc>
        <w:tc>
          <w:tcPr>
            <w:tcW w:w="1102" w:type="dxa"/>
          </w:tcPr>
          <w:p w:rsidR="00A6439A" w:rsidRDefault="00A6439A">
            <w:pPr>
              <w:jc w:val="center"/>
              <w:rPr>
                <w:rFonts w:ascii="Arial" w:hAnsi="Arial"/>
                <w:sz w:val="24"/>
                <w:lang w:val="fr-CA"/>
              </w:rPr>
            </w:pPr>
            <w:r>
              <w:rPr>
                <w:rFonts w:ascii="Arial" w:hAnsi="Arial"/>
                <w:sz w:val="24"/>
                <w:lang w:val="fr-CA"/>
              </w:rPr>
              <w:t>0</w:t>
            </w:r>
          </w:p>
        </w:tc>
        <w:tc>
          <w:tcPr>
            <w:tcW w:w="1103" w:type="dxa"/>
          </w:tcPr>
          <w:p w:rsidR="00A6439A" w:rsidRDefault="00A6439A">
            <w:pPr>
              <w:jc w:val="center"/>
              <w:rPr>
                <w:rFonts w:ascii="Arial" w:hAnsi="Arial"/>
                <w:sz w:val="24"/>
                <w:lang w:val="fr-CA"/>
              </w:rPr>
            </w:pPr>
            <w:r>
              <w:rPr>
                <w:rFonts w:ascii="Arial" w:hAnsi="Arial"/>
                <w:sz w:val="24"/>
                <w:lang w:val="fr-CA"/>
              </w:rPr>
              <w:t>0</w:t>
            </w:r>
          </w:p>
        </w:tc>
        <w:tc>
          <w:tcPr>
            <w:tcW w:w="1102" w:type="dxa"/>
          </w:tcPr>
          <w:p w:rsidR="00A6439A" w:rsidRDefault="00A6439A">
            <w:pPr>
              <w:jc w:val="center"/>
              <w:rPr>
                <w:rFonts w:ascii="Arial" w:hAnsi="Arial"/>
                <w:sz w:val="24"/>
                <w:lang w:val="fr-CA"/>
              </w:rPr>
            </w:pPr>
            <w:r>
              <w:rPr>
                <w:rFonts w:ascii="Arial" w:hAnsi="Arial"/>
                <w:sz w:val="24"/>
                <w:lang w:val="fr-CA"/>
              </w:rPr>
              <w:t>0</w:t>
            </w:r>
          </w:p>
        </w:tc>
        <w:tc>
          <w:tcPr>
            <w:tcW w:w="1103" w:type="dxa"/>
          </w:tcPr>
          <w:p w:rsidR="00A6439A" w:rsidRDefault="00A6439A">
            <w:pPr>
              <w:jc w:val="center"/>
              <w:rPr>
                <w:rFonts w:ascii="Arial" w:hAnsi="Arial"/>
                <w:sz w:val="24"/>
                <w:lang w:val="fr-CA"/>
              </w:rPr>
            </w:pPr>
            <w:r>
              <w:rPr>
                <w:rFonts w:ascii="Arial" w:hAnsi="Arial"/>
                <w:sz w:val="24"/>
                <w:lang w:val="fr-CA"/>
              </w:rPr>
              <w:t>0</w:t>
            </w:r>
          </w:p>
        </w:tc>
        <w:tc>
          <w:tcPr>
            <w:tcW w:w="2353" w:type="dxa"/>
            <w:vMerge w:val="restart"/>
            <w:vAlign w:val="center"/>
          </w:tcPr>
          <w:p w:rsidR="00A6439A" w:rsidRDefault="00A6439A">
            <w:pPr>
              <w:jc w:val="center"/>
              <w:rPr>
                <w:rFonts w:ascii="Arial" w:hAnsi="Arial"/>
                <w:sz w:val="24"/>
                <w:lang w:val="fr-CA"/>
              </w:rPr>
            </w:pPr>
            <w:r>
              <w:rPr>
                <w:rFonts w:ascii="Arial" w:hAnsi="Arial"/>
                <w:sz w:val="24"/>
                <w:lang w:val="fr-CA"/>
              </w:rPr>
              <w:t>IgM</w:t>
            </w:r>
          </w:p>
        </w:tc>
      </w:tr>
      <w:tr w:rsidR="00A6439A" w:rsidTr="00A6439A">
        <w:trPr>
          <w:cantSplit/>
          <w:jc w:val="center"/>
        </w:trPr>
        <w:tc>
          <w:tcPr>
            <w:tcW w:w="1904" w:type="dxa"/>
          </w:tcPr>
          <w:p w:rsidR="00A6439A" w:rsidRDefault="00A6439A">
            <w:pPr>
              <w:jc w:val="center"/>
              <w:rPr>
                <w:rFonts w:ascii="Arial" w:hAnsi="Arial"/>
                <w:sz w:val="24"/>
                <w:lang w:val="fr-CA"/>
              </w:rPr>
            </w:pPr>
            <w:r>
              <w:rPr>
                <w:rFonts w:ascii="Arial" w:hAnsi="Arial"/>
                <w:sz w:val="24"/>
                <w:lang w:val="fr-CA"/>
              </w:rPr>
              <w:t>Plasma + PBS</w:t>
            </w:r>
          </w:p>
        </w:tc>
        <w:tc>
          <w:tcPr>
            <w:tcW w:w="1102" w:type="dxa"/>
          </w:tcPr>
          <w:p w:rsidR="00A6439A" w:rsidRDefault="00A6439A">
            <w:pPr>
              <w:jc w:val="center"/>
              <w:rPr>
                <w:rFonts w:ascii="Arial" w:hAnsi="Arial"/>
                <w:sz w:val="24"/>
                <w:lang w:val="fr-CA"/>
              </w:rPr>
            </w:pPr>
            <w:r>
              <w:rPr>
                <w:rFonts w:ascii="Arial" w:hAnsi="Arial"/>
                <w:sz w:val="24"/>
                <w:lang w:val="fr-CA"/>
              </w:rPr>
              <w:t>grade 3</w:t>
            </w:r>
          </w:p>
        </w:tc>
        <w:tc>
          <w:tcPr>
            <w:tcW w:w="1103" w:type="dxa"/>
          </w:tcPr>
          <w:p w:rsidR="00A6439A" w:rsidRDefault="00A6439A">
            <w:pPr>
              <w:jc w:val="center"/>
              <w:rPr>
                <w:rFonts w:ascii="Arial" w:hAnsi="Arial"/>
                <w:sz w:val="24"/>
                <w:lang w:val="fr-CA"/>
              </w:rPr>
            </w:pPr>
            <w:r>
              <w:rPr>
                <w:rFonts w:ascii="Arial" w:hAnsi="Arial"/>
                <w:sz w:val="24"/>
                <w:lang w:val="fr-CA"/>
              </w:rPr>
              <w:t>grade 2</w:t>
            </w:r>
          </w:p>
        </w:tc>
        <w:tc>
          <w:tcPr>
            <w:tcW w:w="1102" w:type="dxa"/>
          </w:tcPr>
          <w:p w:rsidR="00A6439A" w:rsidRDefault="00A6439A">
            <w:pPr>
              <w:jc w:val="center"/>
              <w:rPr>
                <w:rFonts w:ascii="Arial" w:hAnsi="Arial"/>
                <w:sz w:val="24"/>
                <w:lang w:val="fr-CA"/>
              </w:rPr>
            </w:pPr>
            <w:r>
              <w:rPr>
                <w:rFonts w:ascii="Arial" w:hAnsi="Arial"/>
                <w:sz w:val="24"/>
                <w:lang w:val="fr-CA"/>
              </w:rPr>
              <w:t>grade 1</w:t>
            </w:r>
          </w:p>
        </w:tc>
        <w:tc>
          <w:tcPr>
            <w:tcW w:w="1103" w:type="dxa"/>
          </w:tcPr>
          <w:p w:rsidR="00A6439A" w:rsidRDefault="00A6439A">
            <w:pPr>
              <w:jc w:val="center"/>
              <w:rPr>
                <w:rFonts w:ascii="Arial" w:hAnsi="Arial"/>
                <w:sz w:val="24"/>
                <w:lang w:val="fr-CA"/>
              </w:rPr>
            </w:pPr>
            <w:r>
              <w:rPr>
                <w:rFonts w:ascii="Arial" w:hAnsi="Arial"/>
                <w:sz w:val="24"/>
                <w:lang w:val="fr-CA"/>
              </w:rPr>
              <w:t>0</w:t>
            </w:r>
          </w:p>
        </w:tc>
        <w:tc>
          <w:tcPr>
            <w:tcW w:w="2353" w:type="dxa"/>
            <w:vMerge/>
            <w:vAlign w:val="center"/>
          </w:tcPr>
          <w:p w:rsidR="00A6439A" w:rsidRDefault="00A6439A">
            <w:pPr>
              <w:jc w:val="center"/>
              <w:rPr>
                <w:rFonts w:ascii="Arial" w:hAnsi="Arial"/>
                <w:sz w:val="24"/>
                <w:lang w:val="fr-CA"/>
              </w:rPr>
            </w:pPr>
          </w:p>
        </w:tc>
      </w:tr>
      <w:tr w:rsidR="00A6439A" w:rsidTr="00A6439A">
        <w:trPr>
          <w:cantSplit/>
          <w:jc w:val="center"/>
        </w:trPr>
        <w:tc>
          <w:tcPr>
            <w:tcW w:w="1904" w:type="dxa"/>
          </w:tcPr>
          <w:p w:rsidR="00A6439A" w:rsidRDefault="00A6439A">
            <w:pPr>
              <w:jc w:val="center"/>
              <w:rPr>
                <w:rFonts w:ascii="Arial" w:hAnsi="Arial"/>
                <w:sz w:val="24"/>
                <w:lang w:val="fr-CA"/>
              </w:rPr>
            </w:pPr>
            <w:r>
              <w:rPr>
                <w:rFonts w:ascii="Arial" w:hAnsi="Arial"/>
                <w:sz w:val="24"/>
                <w:lang w:val="fr-CA"/>
              </w:rPr>
              <w:t>Plasma + DTT</w:t>
            </w:r>
          </w:p>
        </w:tc>
        <w:tc>
          <w:tcPr>
            <w:tcW w:w="1102" w:type="dxa"/>
          </w:tcPr>
          <w:p w:rsidR="00A6439A" w:rsidRDefault="00A6439A">
            <w:pPr>
              <w:jc w:val="center"/>
              <w:rPr>
                <w:rFonts w:ascii="Arial" w:hAnsi="Arial"/>
                <w:sz w:val="24"/>
              </w:rPr>
            </w:pPr>
            <w:r>
              <w:rPr>
                <w:rFonts w:ascii="Arial" w:hAnsi="Arial"/>
                <w:sz w:val="24"/>
              </w:rPr>
              <w:t>grade 1</w:t>
            </w:r>
          </w:p>
        </w:tc>
        <w:tc>
          <w:tcPr>
            <w:tcW w:w="1103" w:type="dxa"/>
          </w:tcPr>
          <w:p w:rsidR="00A6439A" w:rsidRDefault="00A6439A">
            <w:pPr>
              <w:jc w:val="center"/>
              <w:rPr>
                <w:rFonts w:ascii="Arial" w:hAnsi="Arial"/>
                <w:sz w:val="24"/>
              </w:rPr>
            </w:pPr>
            <w:r>
              <w:rPr>
                <w:rFonts w:ascii="Arial" w:hAnsi="Arial"/>
                <w:sz w:val="24"/>
              </w:rPr>
              <w:t>0</w:t>
            </w:r>
          </w:p>
        </w:tc>
        <w:tc>
          <w:tcPr>
            <w:tcW w:w="1102" w:type="dxa"/>
          </w:tcPr>
          <w:p w:rsidR="00A6439A" w:rsidRDefault="00A6439A">
            <w:pPr>
              <w:jc w:val="center"/>
              <w:rPr>
                <w:rFonts w:ascii="Arial" w:hAnsi="Arial"/>
                <w:sz w:val="24"/>
              </w:rPr>
            </w:pPr>
            <w:r>
              <w:rPr>
                <w:rFonts w:ascii="Arial" w:hAnsi="Arial"/>
                <w:sz w:val="24"/>
              </w:rPr>
              <w:t>0</w:t>
            </w:r>
          </w:p>
        </w:tc>
        <w:tc>
          <w:tcPr>
            <w:tcW w:w="1103" w:type="dxa"/>
          </w:tcPr>
          <w:p w:rsidR="00A6439A" w:rsidRDefault="00A6439A">
            <w:pPr>
              <w:jc w:val="center"/>
              <w:rPr>
                <w:rFonts w:ascii="Arial" w:hAnsi="Arial"/>
                <w:sz w:val="24"/>
              </w:rPr>
            </w:pPr>
            <w:r>
              <w:rPr>
                <w:rFonts w:ascii="Arial" w:hAnsi="Arial"/>
                <w:sz w:val="24"/>
              </w:rPr>
              <w:t>0</w:t>
            </w:r>
          </w:p>
        </w:tc>
        <w:tc>
          <w:tcPr>
            <w:tcW w:w="2353" w:type="dxa"/>
            <w:vMerge w:val="restart"/>
            <w:vAlign w:val="center"/>
          </w:tcPr>
          <w:p w:rsidR="00A6439A" w:rsidRDefault="00A6439A">
            <w:pPr>
              <w:jc w:val="center"/>
              <w:rPr>
                <w:rFonts w:ascii="Arial" w:hAnsi="Arial"/>
                <w:sz w:val="24"/>
              </w:rPr>
            </w:pPr>
            <w:r>
              <w:rPr>
                <w:rFonts w:ascii="Arial" w:hAnsi="Arial"/>
                <w:sz w:val="24"/>
              </w:rPr>
              <w:t>IgG + IgM or partial inactivation of IgM</w:t>
            </w:r>
          </w:p>
        </w:tc>
      </w:tr>
      <w:tr w:rsidR="00A6439A" w:rsidTr="00A6439A">
        <w:trPr>
          <w:cantSplit/>
          <w:jc w:val="center"/>
        </w:trPr>
        <w:tc>
          <w:tcPr>
            <w:tcW w:w="1904" w:type="dxa"/>
          </w:tcPr>
          <w:p w:rsidR="00A6439A" w:rsidRDefault="00A6439A">
            <w:pPr>
              <w:jc w:val="center"/>
              <w:rPr>
                <w:rFonts w:ascii="Arial" w:hAnsi="Arial"/>
                <w:sz w:val="24"/>
                <w:lang w:val="fr-CA"/>
              </w:rPr>
            </w:pPr>
            <w:r>
              <w:rPr>
                <w:rFonts w:ascii="Arial" w:hAnsi="Arial"/>
                <w:sz w:val="24"/>
                <w:lang w:val="fr-CA"/>
              </w:rPr>
              <w:t>Plasma + PBS</w:t>
            </w:r>
          </w:p>
        </w:tc>
        <w:tc>
          <w:tcPr>
            <w:tcW w:w="1102" w:type="dxa"/>
          </w:tcPr>
          <w:p w:rsidR="00A6439A" w:rsidRDefault="00A6439A">
            <w:pPr>
              <w:jc w:val="center"/>
              <w:rPr>
                <w:rFonts w:ascii="Arial" w:hAnsi="Arial"/>
                <w:sz w:val="24"/>
              </w:rPr>
            </w:pPr>
            <w:r>
              <w:rPr>
                <w:rFonts w:ascii="Arial" w:hAnsi="Arial"/>
                <w:sz w:val="24"/>
                <w:lang w:val="fr-CA"/>
              </w:rPr>
              <w:t>grade 3</w:t>
            </w:r>
          </w:p>
        </w:tc>
        <w:tc>
          <w:tcPr>
            <w:tcW w:w="1103" w:type="dxa"/>
          </w:tcPr>
          <w:p w:rsidR="00A6439A" w:rsidRDefault="00A6439A">
            <w:pPr>
              <w:jc w:val="center"/>
              <w:rPr>
                <w:rFonts w:ascii="Arial" w:hAnsi="Arial"/>
                <w:sz w:val="24"/>
              </w:rPr>
            </w:pPr>
            <w:r>
              <w:rPr>
                <w:rFonts w:ascii="Arial" w:hAnsi="Arial"/>
                <w:sz w:val="24"/>
                <w:lang w:val="fr-CA"/>
              </w:rPr>
              <w:t>grade 2</w:t>
            </w:r>
          </w:p>
        </w:tc>
        <w:tc>
          <w:tcPr>
            <w:tcW w:w="1102" w:type="dxa"/>
          </w:tcPr>
          <w:p w:rsidR="00A6439A" w:rsidRDefault="00A6439A">
            <w:pPr>
              <w:jc w:val="center"/>
              <w:rPr>
                <w:rFonts w:ascii="Arial" w:hAnsi="Arial"/>
                <w:sz w:val="24"/>
              </w:rPr>
            </w:pPr>
            <w:r>
              <w:rPr>
                <w:rFonts w:ascii="Arial" w:hAnsi="Arial"/>
                <w:sz w:val="24"/>
                <w:lang w:val="fr-CA"/>
              </w:rPr>
              <w:t>grade 1</w:t>
            </w:r>
          </w:p>
        </w:tc>
        <w:tc>
          <w:tcPr>
            <w:tcW w:w="1103" w:type="dxa"/>
          </w:tcPr>
          <w:p w:rsidR="00A6439A" w:rsidRDefault="00A6439A">
            <w:pPr>
              <w:jc w:val="center"/>
              <w:rPr>
                <w:rFonts w:ascii="Arial" w:hAnsi="Arial"/>
                <w:sz w:val="24"/>
              </w:rPr>
            </w:pPr>
            <w:r>
              <w:rPr>
                <w:rFonts w:ascii="Arial" w:hAnsi="Arial"/>
                <w:sz w:val="24"/>
                <w:lang w:val="fr-CA"/>
              </w:rPr>
              <w:t>0</w:t>
            </w:r>
          </w:p>
        </w:tc>
        <w:tc>
          <w:tcPr>
            <w:tcW w:w="2353" w:type="dxa"/>
            <w:vMerge/>
            <w:vAlign w:val="center"/>
          </w:tcPr>
          <w:p w:rsidR="00A6439A" w:rsidRDefault="00A6439A">
            <w:pPr>
              <w:jc w:val="center"/>
              <w:rPr>
                <w:rFonts w:ascii="Arial" w:hAnsi="Arial"/>
                <w:sz w:val="24"/>
              </w:rPr>
            </w:pPr>
          </w:p>
        </w:tc>
      </w:tr>
    </w:tbl>
    <w:p w:rsidR="0015756C" w:rsidRDefault="0015756C">
      <w:pPr>
        <w:rPr>
          <w:rFonts w:ascii="Arial" w:hAnsi="Arial"/>
          <w:sz w:val="24"/>
        </w:rPr>
      </w:pPr>
    </w:p>
    <w:p w:rsidR="0015756C" w:rsidRDefault="0015756C" w:rsidP="00BF11B3">
      <w:pPr>
        <w:numPr>
          <w:ilvl w:val="1"/>
          <w:numId w:val="1"/>
        </w:numPr>
        <w:ind w:hanging="731"/>
        <w:rPr>
          <w:rFonts w:ascii="Arial" w:hAnsi="Arial"/>
          <w:sz w:val="24"/>
        </w:rPr>
      </w:pPr>
      <w:r>
        <w:rPr>
          <w:rFonts w:ascii="Arial" w:hAnsi="Arial"/>
          <w:sz w:val="24"/>
        </w:rPr>
        <w:t>A lack of reactivity in the treated plasma and reactivity in the dilution control plasma indicates the presence of an IgM antibody.</w:t>
      </w:r>
    </w:p>
    <w:p w:rsidR="0015756C" w:rsidRDefault="0015756C">
      <w:pPr>
        <w:ind w:left="720"/>
        <w:rPr>
          <w:rFonts w:ascii="Arial" w:hAnsi="Arial"/>
          <w:sz w:val="24"/>
        </w:rPr>
      </w:pPr>
    </w:p>
    <w:p w:rsidR="0015756C" w:rsidRDefault="0015756C" w:rsidP="00BF11B3">
      <w:pPr>
        <w:numPr>
          <w:ilvl w:val="1"/>
          <w:numId w:val="1"/>
        </w:numPr>
        <w:ind w:hanging="731"/>
        <w:rPr>
          <w:rFonts w:ascii="Arial" w:hAnsi="Arial"/>
          <w:sz w:val="24"/>
        </w:rPr>
      </w:pPr>
      <w:r>
        <w:rPr>
          <w:rFonts w:ascii="Arial" w:hAnsi="Arial"/>
          <w:sz w:val="24"/>
        </w:rPr>
        <w:t>No reactivity in either the treated or dilution control plasma indicates that dilution of the antibody has occurred and no conclusion can be made.</w:t>
      </w:r>
    </w:p>
    <w:p w:rsidR="0015756C" w:rsidRDefault="0015756C">
      <w:pPr>
        <w:rPr>
          <w:rFonts w:ascii="Arial" w:hAnsi="Arial"/>
          <w:sz w:val="24"/>
        </w:rPr>
      </w:pPr>
    </w:p>
    <w:p w:rsidR="0015756C" w:rsidRDefault="0015756C" w:rsidP="00BF11B3">
      <w:pPr>
        <w:numPr>
          <w:ilvl w:val="1"/>
          <w:numId w:val="1"/>
        </w:numPr>
        <w:ind w:hanging="731"/>
        <w:rPr>
          <w:rFonts w:ascii="Arial" w:hAnsi="Arial"/>
          <w:sz w:val="24"/>
        </w:rPr>
      </w:pPr>
      <w:r>
        <w:rPr>
          <w:rFonts w:ascii="Arial" w:hAnsi="Arial"/>
          <w:sz w:val="24"/>
        </w:rPr>
        <w:t>For the test to be valid, the IgM antibody control should not demonstrate any reactivity and the IgG antibody control should demonstrate reactivity</w:t>
      </w:r>
    </w:p>
    <w:p w:rsidR="0015756C" w:rsidRDefault="0015756C">
      <w:pPr>
        <w:ind w:left="720"/>
        <w:rPr>
          <w:rFonts w:ascii="Arial" w:hAnsi="Arial"/>
          <w:sz w:val="24"/>
        </w:rPr>
      </w:pPr>
    </w:p>
    <w:p w:rsidR="008D2AD7" w:rsidRDefault="008D2AD7">
      <w:pPr>
        <w:ind w:left="720"/>
        <w:rPr>
          <w:rFonts w:ascii="Arial" w:hAnsi="Arial"/>
          <w:sz w:val="24"/>
        </w:rPr>
      </w:pPr>
    </w:p>
    <w:p w:rsidR="008D2AD7" w:rsidRDefault="008D2AD7">
      <w:pPr>
        <w:ind w:left="720"/>
        <w:rPr>
          <w:rFonts w:ascii="Arial" w:hAnsi="Arial"/>
          <w:sz w:val="24"/>
        </w:rPr>
      </w:pPr>
    </w:p>
    <w:p w:rsidR="008D2AD7" w:rsidRDefault="008D2AD7">
      <w:pPr>
        <w:ind w:left="720"/>
        <w:rPr>
          <w:rFonts w:ascii="Arial" w:hAnsi="Arial"/>
          <w:sz w:val="24"/>
        </w:rPr>
      </w:pPr>
    </w:p>
    <w:p w:rsidR="0015756C" w:rsidRDefault="0015756C">
      <w:pPr>
        <w:numPr>
          <w:ilvl w:val="0"/>
          <w:numId w:val="1"/>
        </w:numPr>
        <w:rPr>
          <w:rFonts w:ascii="Arial" w:hAnsi="Arial"/>
          <w:b/>
          <w:sz w:val="28"/>
        </w:rPr>
      </w:pPr>
      <w:r>
        <w:rPr>
          <w:rFonts w:ascii="Arial" w:hAnsi="Arial"/>
          <w:b/>
          <w:sz w:val="28"/>
        </w:rPr>
        <w:t>Procedural Notes</w:t>
      </w:r>
    </w:p>
    <w:p w:rsidR="008634D0" w:rsidRDefault="008634D0" w:rsidP="008634D0">
      <w:pPr>
        <w:ind w:left="1440"/>
        <w:rPr>
          <w:rFonts w:ascii="Arial" w:hAnsi="Arial"/>
          <w:sz w:val="24"/>
        </w:rPr>
      </w:pPr>
    </w:p>
    <w:p w:rsidR="0015756C" w:rsidRPr="008634D0" w:rsidRDefault="0015756C" w:rsidP="00BF11B3">
      <w:pPr>
        <w:numPr>
          <w:ilvl w:val="1"/>
          <w:numId w:val="1"/>
        </w:numPr>
        <w:ind w:hanging="731"/>
        <w:rPr>
          <w:rFonts w:ascii="Arial" w:hAnsi="Arial"/>
          <w:sz w:val="24"/>
        </w:rPr>
      </w:pPr>
      <w:r>
        <w:rPr>
          <w:rFonts w:ascii="Arial" w:hAnsi="Arial"/>
          <w:sz w:val="24"/>
        </w:rPr>
        <w:t xml:space="preserve">Gelling of plasma samples may occur during DTT treatment if the concentration is greater than 0.01 M or upon extended incubation.  Gelled samples cannot be tested for antibody activity. If gelling </w:t>
      </w:r>
      <w:r w:rsidRPr="008634D0">
        <w:rPr>
          <w:rFonts w:ascii="Arial" w:hAnsi="Arial"/>
          <w:sz w:val="24"/>
        </w:rPr>
        <w:t xml:space="preserve">occurs, try repeating treatment with 0.005 M DTT (dilute 0.01M DTT 1 in 2 in PBS); it is important to show that the IgM control antibody is denatured with this concentration of DTT.  </w:t>
      </w:r>
    </w:p>
    <w:p w:rsidR="0015756C" w:rsidRDefault="0015756C">
      <w:pPr>
        <w:rPr>
          <w:rFonts w:ascii="Arial" w:hAnsi="Arial"/>
          <w:sz w:val="24"/>
        </w:rPr>
      </w:pPr>
    </w:p>
    <w:p w:rsidR="0015756C" w:rsidRDefault="0015756C" w:rsidP="00BF11B3">
      <w:pPr>
        <w:numPr>
          <w:ilvl w:val="1"/>
          <w:numId w:val="1"/>
        </w:numPr>
        <w:ind w:hanging="731"/>
        <w:rPr>
          <w:rFonts w:ascii="Arial" w:hAnsi="Arial"/>
          <w:sz w:val="24"/>
        </w:rPr>
      </w:pPr>
      <w:r>
        <w:rPr>
          <w:rFonts w:ascii="Arial" w:hAnsi="Arial"/>
          <w:sz w:val="24"/>
        </w:rPr>
        <w:t>Test 4 drops of treated and dilution control plasma to compensate for the dilution effect.</w:t>
      </w:r>
    </w:p>
    <w:p w:rsidR="0015756C" w:rsidRDefault="0015756C">
      <w:pPr>
        <w:rPr>
          <w:rFonts w:ascii="Arial" w:hAnsi="Arial"/>
          <w:sz w:val="24"/>
        </w:rPr>
      </w:pPr>
    </w:p>
    <w:p w:rsidR="0015756C" w:rsidRDefault="0015756C" w:rsidP="00BF11B3">
      <w:pPr>
        <w:numPr>
          <w:ilvl w:val="1"/>
          <w:numId w:val="1"/>
        </w:numPr>
        <w:ind w:hanging="731"/>
        <w:rPr>
          <w:rFonts w:ascii="Arial" w:hAnsi="Arial"/>
          <w:sz w:val="24"/>
        </w:rPr>
      </w:pPr>
      <w:r>
        <w:rPr>
          <w:rFonts w:ascii="Arial" w:hAnsi="Arial"/>
          <w:sz w:val="24"/>
        </w:rPr>
        <w:t>PBS-DTT loses its reducing ability upon storage at 4</w:t>
      </w:r>
      <w:r w:rsidR="000D50A4">
        <w:rPr>
          <w:rFonts w:ascii="Arial" w:hAnsi="Arial" w:cs="Arial"/>
          <w:sz w:val="24"/>
        </w:rPr>
        <w:t>°</w:t>
      </w:r>
      <w:r>
        <w:rPr>
          <w:rFonts w:ascii="Arial" w:hAnsi="Arial"/>
          <w:sz w:val="24"/>
        </w:rPr>
        <w:t>C, but is stable when stored at –20</w:t>
      </w:r>
      <w:r w:rsidR="000D50A4">
        <w:rPr>
          <w:rFonts w:ascii="Arial" w:hAnsi="Arial" w:cs="Arial"/>
          <w:sz w:val="24"/>
        </w:rPr>
        <w:t>°</w:t>
      </w:r>
      <w:r>
        <w:rPr>
          <w:rFonts w:ascii="Arial" w:hAnsi="Arial"/>
          <w:sz w:val="24"/>
        </w:rPr>
        <w:t>C for a</w:t>
      </w:r>
      <w:r w:rsidR="00BF11B3">
        <w:rPr>
          <w:rFonts w:ascii="Arial" w:hAnsi="Arial"/>
          <w:sz w:val="24"/>
        </w:rPr>
        <w:t>t least 6 months.</w:t>
      </w:r>
      <w:r>
        <w:rPr>
          <w:rFonts w:ascii="Arial" w:hAnsi="Arial"/>
          <w:sz w:val="24"/>
        </w:rPr>
        <w:t xml:space="preserve"> Storage in glass improves stability whe</w:t>
      </w:r>
      <w:smartTag w:uri="urn:schemas-microsoft-com:office:smarttags" w:element="PersonName">
        <w:r>
          <w:rPr>
            <w:rFonts w:ascii="Arial" w:hAnsi="Arial"/>
            <w:sz w:val="24"/>
          </w:rPr>
          <w:t>n c</w:t>
        </w:r>
      </w:smartTag>
      <w:r>
        <w:rPr>
          <w:rFonts w:ascii="Arial" w:hAnsi="Arial"/>
          <w:sz w:val="24"/>
        </w:rPr>
        <w:t>ompared to plastic containers.</w:t>
      </w:r>
      <w:r>
        <w:rPr>
          <w:rFonts w:ascii="Arial" w:hAnsi="Arial"/>
          <w:sz w:val="24"/>
          <w:vertAlign w:val="superscript"/>
        </w:rPr>
        <w:t>9.</w:t>
      </w:r>
      <w:r w:rsidR="00D36FF9">
        <w:rPr>
          <w:rFonts w:ascii="Arial" w:hAnsi="Arial"/>
          <w:sz w:val="24"/>
          <w:vertAlign w:val="superscript"/>
        </w:rPr>
        <w:t>2</w:t>
      </w:r>
    </w:p>
    <w:p w:rsidR="0015756C" w:rsidRDefault="0015756C">
      <w:pPr>
        <w:rPr>
          <w:rFonts w:ascii="Arial" w:hAnsi="Arial"/>
          <w:sz w:val="24"/>
        </w:rPr>
      </w:pPr>
    </w:p>
    <w:p w:rsidR="0015756C" w:rsidRDefault="0015756C" w:rsidP="00BF11B3">
      <w:pPr>
        <w:numPr>
          <w:ilvl w:val="1"/>
          <w:numId w:val="1"/>
        </w:numPr>
        <w:ind w:hanging="731"/>
        <w:rPr>
          <w:rFonts w:ascii="Arial" w:hAnsi="Arial"/>
          <w:sz w:val="24"/>
        </w:rPr>
      </w:pPr>
      <w:r>
        <w:rPr>
          <w:rFonts w:ascii="Arial" w:hAnsi="Arial"/>
          <w:sz w:val="24"/>
        </w:rPr>
        <w:t>Thiol reagents diminish complement-binding activity of antibodies.  If it is important to demonstrate that complement is bound, incubate the DTT-treated plasma with the appropriate RBCs, wash the RBCs and reincubate with fresh normal plasma as a source of complement, and proceed to the antiglobulin test with anti-C3 or anti-human globulin. Alternatively, dialyze the treated and dilution control plasma overnight, and test with and without the addition of fresh normal plasma as a source of complement.</w:t>
      </w:r>
    </w:p>
    <w:p w:rsidR="0015756C" w:rsidRDefault="0015756C">
      <w:pPr>
        <w:pStyle w:val="Header"/>
        <w:tabs>
          <w:tab w:val="clear" w:pos="4320"/>
          <w:tab w:val="clear" w:pos="8640"/>
        </w:tabs>
        <w:rPr>
          <w:rFonts w:ascii="Arial" w:hAnsi="Arial"/>
          <w:sz w:val="24"/>
        </w:rPr>
      </w:pPr>
    </w:p>
    <w:p w:rsidR="0015756C" w:rsidRDefault="0015756C">
      <w:pPr>
        <w:numPr>
          <w:ilvl w:val="0"/>
          <w:numId w:val="1"/>
        </w:numPr>
        <w:rPr>
          <w:rFonts w:ascii="Arial" w:hAnsi="Arial"/>
          <w:b/>
          <w:sz w:val="28"/>
        </w:rPr>
      </w:pPr>
      <w:r>
        <w:rPr>
          <w:rFonts w:ascii="Arial" w:hAnsi="Arial"/>
          <w:b/>
          <w:sz w:val="28"/>
        </w:rPr>
        <w:t>References</w:t>
      </w:r>
    </w:p>
    <w:p w:rsidR="0015756C" w:rsidRDefault="0015756C">
      <w:pPr>
        <w:pStyle w:val="Header"/>
        <w:tabs>
          <w:tab w:val="clear" w:pos="4320"/>
          <w:tab w:val="clear" w:pos="8640"/>
        </w:tabs>
        <w:rPr>
          <w:rFonts w:ascii="Arial" w:hAnsi="Arial"/>
          <w:b/>
          <w:sz w:val="24"/>
        </w:rPr>
      </w:pPr>
    </w:p>
    <w:p w:rsidR="0015756C" w:rsidRPr="00A6439A" w:rsidRDefault="0097554C" w:rsidP="00BF11B3">
      <w:pPr>
        <w:numPr>
          <w:ilvl w:val="1"/>
          <w:numId w:val="1"/>
        </w:numPr>
        <w:suppressAutoHyphens/>
        <w:ind w:hanging="731"/>
        <w:rPr>
          <w:rFonts w:ascii="Arial" w:hAnsi="Arial"/>
          <w:sz w:val="24"/>
          <w:lang w:val="en-GB"/>
        </w:rPr>
      </w:pPr>
      <w:r>
        <w:rPr>
          <w:rFonts w:ascii="Arial" w:hAnsi="Arial"/>
          <w:sz w:val="24"/>
        </w:rPr>
        <w:t>Roback, JD. ed. AABB Technical Manual, 17</w:t>
      </w:r>
      <w:r w:rsidRPr="008E6BA9">
        <w:rPr>
          <w:rFonts w:ascii="Arial" w:hAnsi="Arial"/>
          <w:sz w:val="24"/>
        </w:rPr>
        <w:t>th</w:t>
      </w:r>
      <w:r>
        <w:rPr>
          <w:rFonts w:ascii="Arial" w:hAnsi="Arial"/>
          <w:sz w:val="24"/>
        </w:rPr>
        <w:t xml:space="preserve"> ed. </w:t>
      </w:r>
      <w:smartTag w:uri="urn:schemas-microsoft-com:office:smarttags" w:element="place">
        <w:smartTag w:uri="urn:schemas-microsoft-com:office:smarttags" w:element="City">
          <w:r>
            <w:rPr>
              <w:rFonts w:ascii="Arial" w:hAnsi="Arial"/>
              <w:sz w:val="24"/>
            </w:rPr>
            <w:t>Bethesda</w:t>
          </w:r>
        </w:smartTag>
        <w:r>
          <w:rPr>
            <w:rFonts w:ascii="Arial" w:hAnsi="Arial"/>
            <w:sz w:val="24"/>
          </w:rPr>
          <w:t xml:space="preserve">, </w:t>
        </w:r>
        <w:smartTag w:uri="urn:schemas-microsoft-com:office:smarttags" w:element="State">
          <w:r>
            <w:rPr>
              <w:rFonts w:ascii="Arial" w:hAnsi="Arial"/>
              <w:sz w:val="24"/>
            </w:rPr>
            <w:t>MD</w:t>
          </w:r>
        </w:smartTag>
      </w:smartTag>
      <w:r>
        <w:rPr>
          <w:rFonts w:ascii="Arial" w:hAnsi="Arial"/>
          <w:sz w:val="24"/>
        </w:rPr>
        <w:t>: American Association of Blood Banks, 2011 pg. 912-913</w:t>
      </w:r>
    </w:p>
    <w:p w:rsidR="00D36FF9" w:rsidRPr="00320B98" w:rsidRDefault="00D36FF9" w:rsidP="00A6439A">
      <w:pPr>
        <w:suppressAutoHyphens/>
        <w:ind w:left="720"/>
        <w:rPr>
          <w:rFonts w:ascii="Arial" w:hAnsi="Arial"/>
          <w:sz w:val="24"/>
          <w:lang w:val="en-GB"/>
        </w:rPr>
      </w:pPr>
    </w:p>
    <w:p w:rsidR="008634D0" w:rsidRDefault="00D36FF9" w:rsidP="00BF11B3">
      <w:pPr>
        <w:numPr>
          <w:ilvl w:val="1"/>
          <w:numId w:val="1"/>
        </w:numPr>
        <w:ind w:hanging="731"/>
        <w:rPr>
          <w:rFonts w:ascii="Arial" w:hAnsi="Arial"/>
          <w:sz w:val="24"/>
        </w:rPr>
      </w:pPr>
      <w:r>
        <w:rPr>
          <w:rFonts w:ascii="Arial" w:hAnsi="Arial"/>
          <w:sz w:val="24"/>
        </w:rPr>
        <w:t>Pirofsky B, Rosner ER. A new method to differentiate IgM</w:t>
      </w:r>
      <w:r w:rsidR="008634D0">
        <w:rPr>
          <w:rFonts w:ascii="Arial" w:hAnsi="Arial"/>
          <w:sz w:val="24"/>
        </w:rPr>
        <w:t xml:space="preserve"> </w:t>
      </w:r>
      <w:r w:rsidRPr="008634D0">
        <w:rPr>
          <w:rFonts w:ascii="Arial" w:hAnsi="Arial"/>
          <w:sz w:val="24"/>
        </w:rPr>
        <w:t>and IgG erythrocyte antibodies. Vox Sang 1974;</w:t>
      </w:r>
      <w:r w:rsidR="008634D0">
        <w:rPr>
          <w:rFonts w:ascii="Arial" w:hAnsi="Arial"/>
          <w:sz w:val="24"/>
        </w:rPr>
        <w:t xml:space="preserve"> </w:t>
      </w:r>
      <w:r w:rsidRPr="008634D0">
        <w:rPr>
          <w:rFonts w:ascii="Arial" w:hAnsi="Arial"/>
          <w:sz w:val="24"/>
        </w:rPr>
        <w:t>27:480-8.</w:t>
      </w:r>
    </w:p>
    <w:p w:rsidR="008634D0" w:rsidRDefault="008634D0" w:rsidP="008634D0">
      <w:pPr>
        <w:pStyle w:val="ListParagraph"/>
        <w:rPr>
          <w:rFonts w:ascii="Arial" w:hAnsi="Arial"/>
          <w:sz w:val="24"/>
        </w:rPr>
      </w:pPr>
    </w:p>
    <w:p w:rsidR="008634D0" w:rsidRDefault="008634D0" w:rsidP="008634D0">
      <w:pPr>
        <w:numPr>
          <w:ilvl w:val="0"/>
          <w:numId w:val="1"/>
        </w:numPr>
        <w:rPr>
          <w:rFonts w:ascii="Arial" w:hAnsi="Arial"/>
          <w:b/>
          <w:sz w:val="28"/>
        </w:rPr>
      </w:pPr>
      <w:r w:rsidRPr="008634D0">
        <w:rPr>
          <w:rFonts w:ascii="Arial" w:hAnsi="Arial"/>
          <w:b/>
          <w:sz w:val="28"/>
        </w:rPr>
        <w:t>Revision History</w:t>
      </w:r>
    </w:p>
    <w:p w:rsidR="008634D0" w:rsidRPr="008D2AD7" w:rsidRDefault="008634D0" w:rsidP="008634D0">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913"/>
      </w:tblGrid>
      <w:tr w:rsidR="008634D0" w:rsidRPr="00C96E69" w:rsidTr="00C96E69">
        <w:tc>
          <w:tcPr>
            <w:tcW w:w="2943" w:type="dxa"/>
            <w:shd w:val="clear" w:color="auto" w:fill="BFBFBF"/>
          </w:tcPr>
          <w:p w:rsidR="008634D0" w:rsidRPr="00C96E69" w:rsidRDefault="008634D0" w:rsidP="00C96E69">
            <w:pPr>
              <w:jc w:val="center"/>
              <w:rPr>
                <w:rFonts w:ascii="Arial" w:hAnsi="Arial"/>
                <w:b/>
                <w:sz w:val="22"/>
              </w:rPr>
            </w:pPr>
            <w:r w:rsidRPr="00C96E69">
              <w:rPr>
                <w:rFonts w:ascii="Arial" w:hAnsi="Arial"/>
                <w:b/>
                <w:sz w:val="22"/>
              </w:rPr>
              <w:t>Revision Date</w:t>
            </w:r>
          </w:p>
        </w:tc>
        <w:tc>
          <w:tcPr>
            <w:tcW w:w="5913" w:type="dxa"/>
            <w:shd w:val="clear" w:color="auto" w:fill="BFBFBF"/>
          </w:tcPr>
          <w:p w:rsidR="008634D0" w:rsidRPr="00C96E69" w:rsidRDefault="008634D0" w:rsidP="00C96E69">
            <w:pPr>
              <w:jc w:val="center"/>
              <w:rPr>
                <w:rFonts w:ascii="Arial" w:hAnsi="Arial"/>
                <w:b/>
                <w:sz w:val="22"/>
              </w:rPr>
            </w:pPr>
            <w:r w:rsidRPr="00C96E69">
              <w:rPr>
                <w:rFonts w:ascii="Arial" w:hAnsi="Arial"/>
                <w:b/>
                <w:sz w:val="22"/>
              </w:rPr>
              <w:t>Summary of Revision</w:t>
            </w:r>
          </w:p>
        </w:tc>
      </w:tr>
      <w:tr w:rsidR="008634D0" w:rsidRPr="00C96E69" w:rsidTr="00C96E69">
        <w:tc>
          <w:tcPr>
            <w:tcW w:w="2943" w:type="dxa"/>
            <w:shd w:val="clear" w:color="auto" w:fill="auto"/>
          </w:tcPr>
          <w:p w:rsidR="008634D0" w:rsidRPr="00C96E69" w:rsidRDefault="008634D0" w:rsidP="008634D0">
            <w:pPr>
              <w:rPr>
                <w:rFonts w:ascii="Arial" w:hAnsi="Arial"/>
                <w:sz w:val="28"/>
              </w:rPr>
            </w:pPr>
            <w:r w:rsidRPr="00C96E69">
              <w:rPr>
                <w:rFonts w:ascii="Arial" w:hAnsi="Arial"/>
                <w:sz w:val="22"/>
              </w:rPr>
              <w:t>September 1, 2014</w:t>
            </w:r>
          </w:p>
        </w:tc>
        <w:tc>
          <w:tcPr>
            <w:tcW w:w="5913" w:type="dxa"/>
            <w:shd w:val="clear" w:color="auto" w:fill="auto"/>
          </w:tcPr>
          <w:p w:rsidR="008634D0" w:rsidRPr="00C96E69" w:rsidRDefault="008634D0" w:rsidP="00C96E69">
            <w:pPr>
              <w:numPr>
                <w:ilvl w:val="0"/>
                <w:numId w:val="21"/>
              </w:numPr>
              <w:rPr>
                <w:rFonts w:ascii="Arial" w:hAnsi="Arial"/>
                <w:sz w:val="22"/>
              </w:rPr>
            </w:pPr>
            <w:r w:rsidRPr="00C96E69">
              <w:rPr>
                <w:rFonts w:ascii="Arial" w:hAnsi="Arial"/>
                <w:sz w:val="22"/>
              </w:rPr>
              <w:t>Revised name of manual</w:t>
            </w:r>
          </w:p>
          <w:p w:rsidR="008634D0" w:rsidRPr="00C96E69" w:rsidRDefault="008634D0" w:rsidP="00C96E69">
            <w:pPr>
              <w:numPr>
                <w:ilvl w:val="0"/>
                <w:numId w:val="21"/>
              </w:numPr>
              <w:rPr>
                <w:rFonts w:ascii="Arial" w:hAnsi="Arial"/>
                <w:sz w:val="28"/>
              </w:rPr>
            </w:pPr>
            <w:r w:rsidRPr="00C96E69">
              <w:rPr>
                <w:rFonts w:ascii="Arial" w:hAnsi="Arial"/>
                <w:sz w:val="22"/>
              </w:rPr>
              <w:t>Revised sections 1.0 &amp; 2.0</w:t>
            </w:r>
          </w:p>
          <w:p w:rsidR="008634D0" w:rsidRPr="00C96E69" w:rsidRDefault="008634D0" w:rsidP="00C96E69">
            <w:pPr>
              <w:numPr>
                <w:ilvl w:val="0"/>
                <w:numId w:val="21"/>
              </w:numPr>
              <w:rPr>
                <w:rFonts w:ascii="Arial" w:hAnsi="Arial"/>
                <w:sz w:val="28"/>
              </w:rPr>
            </w:pPr>
            <w:r w:rsidRPr="00C96E69">
              <w:rPr>
                <w:rFonts w:ascii="Arial" w:hAnsi="Arial"/>
                <w:sz w:val="22"/>
              </w:rPr>
              <w:t>Added “and IgG sensitized control cells” to section 4.0-</w:t>
            </w:r>
            <w:r w:rsidRPr="00C96E69">
              <w:rPr>
                <w:rFonts w:ascii="Arial" w:hAnsi="Arial"/>
                <w:i/>
                <w:sz w:val="22"/>
              </w:rPr>
              <w:t xml:space="preserve"> Reagents</w:t>
            </w:r>
          </w:p>
          <w:p w:rsidR="008634D0" w:rsidRPr="00C96E69" w:rsidRDefault="008634D0" w:rsidP="00C96E69">
            <w:pPr>
              <w:numPr>
                <w:ilvl w:val="0"/>
                <w:numId w:val="21"/>
              </w:numPr>
              <w:rPr>
                <w:rFonts w:ascii="Arial" w:hAnsi="Arial"/>
                <w:sz w:val="28"/>
              </w:rPr>
            </w:pPr>
            <w:r w:rsidRPr="00C96E69">
              <w:rPr>
                <w:rFonts w:ascii="Arial" w:hAnsi="Arial"/>
                <w:sz w:val="22"/>
              </w:rPr>
              <w:t xml:space="preserve">Added “e.g. 2 drops of plasma + 2 drops of PBS” in section 6.2 </w:t>
            </w:r>
          </w:p>
          <w:p w:rsidR="008634D0" w:rsidRPr="00C96E69" w:rsidRDefault="008634D0" w:rsidP="00C96E69">
            <w:pPr>
              <w:numPr>
                <w:ilvl w:val="0"/>
                <w:numId w:val="21"/>
              </w:numPr>
              <w:rPr>
                <w:rFonts w:ascii="Arial" w:hAnsi="Arial"/>
                <w:sz w:val="28"/>
              </w:rPr>
            </w:pPr>
            <w:r w:rsidRPr="00C96E69">
              <w:rPr>
                <w:rFonts w:ascii="Arial" w:hAnsi="Arial"/>
                <w:sz w:val="22"/>
              </w:rPr>
              <w:t>Added the last row to the table in section 7.2</w:t>
            </w:r>
          </w:p>
          <w:p w:rsidR="008634D0" w:rsidRPr="00C96E69" w:rsidRDefault="008634D0" w:rsidP="00C96E69">
            <w:pPr>
              <w:numPr>
                <w:ilvl w:val="0"/>
                <w:numId w:val="21"/>
              </w:numPr>
              <w:rPr>
                <w:rFonts w:ascii="Arial" w:hAnsi="Arial"/>
                <w:sz w:val="28"/>
              </w:rPr>
            </w:pPr>
            <w:r w:rsidRPr="00C96E69">
              <w:rPr>
                <w:rFonts w:ascii="Arial" w:hAnsi="Arial"/>
                <w:sz w:val="22"/>
              </w:rPr>
              <w:t>Updated list of references to include most recent editions</w:t>
            </w:r>
          </w:p>
        </w:tc>
      </w:tr>
    </w:tbl>
    <w:p w:rsidR="0015756C" w:rsidRDefault="0015756C" w:rsidP="008D2AD7">
      <w:pPr>
        <w:rPr>
          <w:rFonts w:ascii="Arial" w:hAnsi="Arial"/>
        </w:rPr>
      </w:pPr>
    </w:p>
    <w:sectPr w:rsidR="0015756C">
      <w:headerReference w:type="default" r:id="rId7"/>
      <w:footerReference w:type="default" r:id="rId8"/>
      <w:headerReference w:type="first" r:id="rId9"/>
      <w:footerReference w:type="first" r:id="rId10"/>
      <w:pgSz w:w="12240" w:h="15840" w:code="1"/>
      <w:pgMar w:top="1440"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41D" w:rsidRDefault="0061741D">
      <w:r>
        <w:separator/>
      </w:r>
    </w:p>
  </w:endnote>
  <w:endnote w:type="continuationSeparator" w:id="0">
    <w:p w:rsidR="0061741D" w:rsidRDefault="0061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252F0F" w:rsidRPr="008D2AD7">
      <w:trPr>
        <w:trHeight w:val="720"/>
      </w:trPr>
      <w:tc>
        <w:tcPr>
          <w:tcW w:w="1368" w:type="dxa"/>
        </w:tcPr>
        <w:p w:rsidR="00252F0F" w:rsidRDefault="00252F0F">
          <w:pPr>
            <w:pStyle w:val="Footer"/>
            <w:jc w:val="center"/>
            <w:rPr>
              <w:sz w:val="8"/>
            </w:rPr>
          </w:pPr>
        </w:p>
        <w:p w:rsidR="00252F0F" w:rsidRDefault="001A2886">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252F0F" w:rsidRDefault="00252F0F">
          <w:pPr>
            <w:pStyle w:val="Footer"/>
            <w:jc w:val="center"/>
            <w:rPr>
              <w:rFonts w:ascii="Arial" w:hAnsi="Arial"/>
              <w:sz w:val="18"/>
            </w:rPr>
          </w:pPr>
        </w:p>
        <w:p w:rsidR="00252F0F" w:rsidRDefault="00252F0F" w:rsidP="000D50A4">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 </w:t>
          </w:r>
        </w:p>
        <w:p w:rsidR="00252F0F" w:rsidRDefault="000678D0">
          <w:pPr>
            <w:pStyle w:val="Footer"/>
            <w:jc w:val="center"/>
            <w:rPr>
              <w:rFonts w:ascii="Arial" w:hAnsi="Arial"/>
              <w:sz w:val="18"/>
            </w:rPr>
          </w:pPr>
          <w:r>
            <w:rPr>
              <w:rFonts w:ascii="Arial" w:hAnsi="Arial"/>
              <w:sz w:val="18"/>
            </w:rPr>
            <w:t>Transfusion Technical Resource</w:t>
          </w:r>
          <w:r w:rsidR="00252F0F">
            <w:rPr>
              <w:rFonts w:ascii="Arial" w:hAnsi="Arial"/>
              <w:sz w:val="18"/>
            </w:rPr>
            <w:t xml:space="preserve"> Manual</w:t>
          </w:r>
        </w:p>
        <w:p w:rsidR="00252F0F" w:rsidRDefault="00252F0F">
          <w:pPr>
            <w:pStyle w:val="Footer"/>
            <w:jc w:val="center"/>
            <w:rPr>
              <w:rFonts w:ascii="Arial" w:hAnsi="Arial"/>
              <w:sz w:val="18"/>
            </w:rPr>
          </w:pPr>
        </w:p>
      </w:tc>
      <w:tc>
        <w:tcPr>
          <w:tcW w:w="1494" w:type="dxa"/>
        </w:tcPr>
        <w:p w:rsidR="00252F0F" w:rsidRDefault="00252F0F">
          <w:pPr>
            <w:pStyle w:val="Footer"/>
            <w:jc w:val="right"/>
            <w:rPr>
              <w:rFonts w:ascii="Arial" w:hAnsi="Arial"/>
              <w:sz w:val="18"/>
            </w:rPr>
          </w:pPr>
        </w:p>
        <w:p w:rsidR="00252F0F" w:rsidRDefault="00252F0F">
          <w:pPr>
            <w:pStyle w:val="Footer"/>
            <w:jc w:val="right"/>
            <w:rPr>
              <w:rFonts w:ascii="Arial" w:hAnsi="Arial"/>
              <w:sz w:val="18"/>
            </w:rPr>
          </w:pPr>
          <w:r>
            <w:rPr>
              <w:rFonts w:ascii="Arial" w:hAnsi="Arial"/>
              <w:sz w:val="18"/>
            </w:rPr>
            <w:t xml:space="preserve">SP.029 </w:t>
          </w:r>
          <w:r>
            <w:rPr>
              <w:rFonts w:ascii="Arial" w:hAnsi="Arial"/>
              <w:sz w:val="18"/>
            </w:rPr>
            <w:br/>
          </w:r>
        </w:p>
        <w:p w:rsidR="00252F0F" w:rsidRPr="008D2AD7" w:rsidRDefault="00252F0F">
          <w:pPr>
            <w:pStyle w:val="Footer"/>
            <w:jc w:val="right"/>
            <w:rPr>
              <w:rFonts w:ascii="Arial" w:hAnsi="Arial"/>
              <w:sz w:val="2"/>
              <w:szCs w:val="2"/>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566F49">
            <w:rPr>
              <w:rFonts w:ascii="Arial" w:hAnsi="Arial"/>
              <w:noProof/>
              <w:snapToGrid w:val="0"/>
              <w:sz w:val="18"/>
            </w:rPr>
            <w:t>4</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566F49">
            <w:rPr>
              <w:rFonts w:ascii="Arial" w:hAnsi="Arial"/>
              <w:noProof/>
              <w:snapToGrid w:val="0"/>
              <w:sz w:val="18"/>
            </w:rPr>
            <w:t>4</w:t>
          </w:r>
          <w:r>
            <w:rPr>
              <w:rFonts w:ascii="Arial" w:hAnsi="Arial"/>
              <w:snapToGrid w:val="0"/>
              <w:sz w:val="18"/>
            </w:rPr>
            <w:fldChar w:fldCharType="end"/>
          </w:r>
        </w:p>
      </w:tc>
    </w:tr>
  </w:tbl>
  <w:p w:rsidR="00252F0F" w:rsidRDefault="00252F0F" w:rsidP="008D2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252F0F">
      <w:trPr>
        <w:trHeight w:val="720"/>
      </w:trPr>
      <w:tc>
        <w:tcPr>
          <w:tcW w:w="1368" w:type="dxa"/>
        </w:tcPr>
        <w:p w:rsidR="00252F0F" w:rsidRDefault="00252F0F">
          <w:pPr>
            <w:pStyle w:val="Footer"/>
            <w:jc w:val="center"/>
            <w:rPr>
              <w:rFonts w:ascii="Verdana" w:hAnsi="Verdana"/>
              <w:sz w:val="8"/>
            </w:rPr>
          </w:pPr>
        </w:p>
        <w:p w:rsidR="00252F0F" w:rsidRDefault="001A2886">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252F0F" w:rsidRDefault="00252F0F">
          <w:pPr>
            <w:pStyle w:val="Footer"/>
            <w:jc w:val="center"/>
            <w:rPr>
              <w:rFonts w:ascii="Arial" w:hAnsi="Arial"/>
              <w:sz w:val="18"/>
            </w:rPr>
          </w:pPr>
        </w:p>
        <w:p w:rsidR="00252F0F" w:rsidRDefault="00252F0F" w:rsidP="000D50A4">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 </w:t>
          </w:r>
        </w:p>
        <w:p w:rsidR="00252F0F" w:rsidRDefault="000678D0">
          <w:pPr>
            <w:pStyle w:val="Footer"/>
            <w:jc w:val="center"/>
            <w:rPr>
              <w:rFonts w:ascii="Arial" w:hAnsi="Arial"/>
              <w:sz w:val="18"/>
            </w:rPr>
          </w:pPr>
          <w:r>
            <w:rPr>
              <w:rFonts w:ascii="Arial" w:hAnsi="Arial"/>
              <w:sz w:val="18"/>
            </w:rPr>
            <w:t>Transfusion Technical Resource</w:t>
          </w:r>
          <w:r w:rsidR="00252F0F">
            <w:rPr>
              <w:rFonts w:ascii="Arial" w:hAnsi="Arial"/>
              <w:sz w:val="18"/>
            </w:rPr>
            <w:t xml:space="preserve"> Manual</w:t>
          </w:r>
        </w:p>
        <w:p w:rsidR="00252F0F" w:rsidRDefault="00252F0F">
          <w:pPr>
            <w:pStyle w:val="Footer"/>
            <w:jc w:val="center"/>
            <w:rPr>
              <w:rFonts w:ascii="Arial" w:hAnsi="Arial"/>
              <w:sz w:val="18"/>
            </w:rPr>
          </w:pPr>
        </w:p>
      </w:tc>
      <w:tc>
        <w:tcPr>
          <w:tcW w:w="1494" w:type="dxa"/>
        </w:tcPr>
        <w:p w:rsidR="00252F0F" w:rsidRDefault="00252F0F">
          <w:pPr>
            <w:pStyle w:val="Footer"/>
            <w:jc w:val="right"/>
            <w:rPr>
              <w:rFonts w:ascii="Arial" w:hAnsi="Arial"/>
              <w:sz w:val="18"/>
            </w:rPr>
          </w:pPr>
        </w:p>
        <w:p w:rsidR="00252F0F" w:rsidRDefault="00252F0F">
          <w:pPr>
            <w:pStyle w:val="Footer"/>
            <w:jc w:val="right"/>
            <w:rPr>
              <w:rFonts w:ascii="Arial" w:hAnsi="Arial"/>
              <w:sz w:val="18"/>
            </w:rPr>
          </w:pPr>
          <w:r>
            <w:rPr>
              <w:rFonts w:ascii="Arial" w:hAnsi="Arial"/>
              <w:sz w:val="18"/>
            </w:rPr>
            <w:t xml:space="preserve">SP.029 </w:t>
          </w:r>
          <w:r>
            <w:rPr>
              <w:rFonts w:ascii="Arial" w:hAnsi="Arial"/>
              <w:sz w:val="18"/>
            </w:rPr>
            <w:br/>
          </w:r>
        </w:p>
        <w:p w:rsidR="00252F0F" w:rsidRDefault="00252F0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566F49">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566F49">
            <w:rPr>
              <w:rFonts w:ascii="Arial" w:hAnsi="Arial"/>
              <w:noProof/>
              <w:snapToGrid w:val="0"/>
              <w:sz w:val="18"/>
            </w:rPr>
            <w:t>1</w:t>
          </w:r>
          <w:r>
            <w:rPr>
              <w:rFonts w:ascii="Arial" w:hAnsi="Arial"/>
              <w:snapToGrid w:val="0"/>
              <w:sz w:val="18"/>
            </w:rPr>
            <w:fldChar w:fldCharType="end"/>
          </w:r>
        </w:p>
      </w:tc>
    </w:tr>
  </w:tbl>
  <w:p w:rsidR="00252F0F" w:rsidRDefault="0025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41D" w:rsidRDefault="0061741D">
      <w:r>
        <w:separator/>
      </w:r>
    </w:p>
  </w:footnote>
  <w:footnote w:type="continuationSeparator" w:id="0">
    <w:p w:rsidR="0061741D" w:rsidRDefault="0061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F0F" w:rsidRDefault="00252F0F">
    <w:pPr>
      <w:pStyle w:val="Title"/>
      <w:rPr>
        <w:rFonts w:ascii="Arial" w:hAnsi="Arial"/>
        <w:sz w:val="28"/>
      </w:rPr>
    </w:pPr>
    <w:r>
      <w:rPr>
        <w:rFonts w:ascii="Arial" w:hAnsi="Arial"/>
        <w:sz w:val="28"/>
      </w:rPr>
      <w:t xml:space="preserve">Differentiating IgM from IgG Antibodies Using Dithiothreitol (DTT)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F0F" w:rsidRDefault="001A2886">
    <w:pPr>
      <w:pStyle w:val="Header"/>
      <w:rPr>
        <w:rFonts w:ascii="Arial" w:hAnsi="Arial" w:cs="Arial"/>
        <w:b/>
        <w:bCs/>
        <w:sz w:val="22"/>
      </w:rPr>
    </w:pPr>
    <w:r>
      <w:rPr>
        <w:rFonts w:ascii="Arial" w:hAnsi="Arial" w:cs="Arial"/>
        <w:b/>
        <w:bCs/>
        <w:noProof/>
        <w:sz w:val="22"/>
      </w:rPr>
      <w:drawing>
        <wp:inline distT="0" distB="0" distL="0" distR="0">
          <wp:extent cx="1133475" cy="457200"/>
          <wp:effectExtent l="0" t="0" r="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A6439A" w:rsidRDefault="00A6439A" w:rsidP="00A6439A">
    <w:pPr>
      <w:pStyle w:val="Header"/>
      <w:jc w:val="center"/>
      <w:rPr>
        <w:rFonts w:ascii="Arial" w:hAnsi="Arial" w:cs="Arial"/>
        <w:b/>
        <w:bCs/>
        <w:sz w:val="22"/>
      </w:rPr>
    </w:pPr>
    <w:r>
      <w:rPr>
        <w:rFonts w:ascii="Arial" w:hAnsi="Arial" w:cs="Arial"/>
        <w:b/>
        <w:bCs/>
        <w:sz w:val="22"/>
      </w:rPr>
      <w:t>Ontario Regional Blood Coordinating Network</w:t>
    </w:r>
  </w:p>
  <w:p w:rsidR="00A6439A" w:rsidRDefault="00A6439A" w:rsidP="00A6439A">
    <w:pPr>
      <w:pStyle w:val="Header"/>
      <w:jc w:val="center"/>
      <w:rPr>
        <w:rFonts w:ascii="Arial" w:hAnsi="Arial" w:cs="Arial"/>
        <w:b/>
        <w:bCs/>
        <w:sz w:val="22"/>
      </w:rPr>
    </w:pPr>
    <w:r>
      <w:rPr>
        <w:rFonts w:ascii="Arial" w:hAnsi="Arial" w:cs="Arial"/>
        <w:b/>
        <w:bCs/>
        <w:sz w:val="22"/>
      </w:rPr>
      <w:t>Transfusion Technical Resource Manual</w:t>
    </w:r>
  </w:p>
  <w:p w:rsidR="00252F0F" w:rsidRDefault="00252F0F">
    <w:pPr>
      <w:pStyle w:val="Header"/>
      <w:jc w:val="center"/>
      <w:rPr>
        <w:rFonts w:ascii="Arial" w:hAnsi="Arial" w:cs="Arial"/>
        <w:b/>
        <w:bCs/>
        <w:sz w:val="22"/>
      </w:rPr>
    </w:pPr>
  </w:p>
  <w:p w:rsidR="00252F0F" w:rsidRDefault="00252F0F" w:rsidP="00320B98">
    <w:pPr>
      <w:pStyle w:val="Title"/>
      <w:rPr>
        <w:rFonts w:ascii="Arial" w:hAnsi="Arial"/>
        <w:sz w:val="28"/>
      </w:rPr>
    </w:pPr>
    <w:r>
      <w:rPr>
        <w:rFonts w:ascii="Arial" w:hAnsi="Arial"/>
        <w:sz w:val="28"/>
      </w:rPr>
      <w:t xml:space="preserve">Differentiating IgM from IgG Antibodies Using Dithiothreitol (DTT) </w:t>
    </w:r>
  </w:p>
  <w:p w:rsidR="00252F0F" w:rsidRDefault="00252F0F">
    <w:pPr>
      <w:pStyle w:val="Title"/>
      <w:rPr>
        <w:rFonts w:ascii="Arial" w:hAnsi="Arial"/>
        <w:sz w:val="28"/>
      </w:rPr>
    </w:pPr>
  </w:p>
  <w:p w:rsidR="00252F0F" w:rsidRDefault="001A2886">
    <w:pPr>
      <w:pStyle w:val="Header"/>
      <w:jc w:val="center"/>
      <w:rPr>
        <w:rFonts w:ascii="Arial" w:hAnsi="Arial" w:cs="Arial"/>
        <w:b/>
        <w:bCs/>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469D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252F0F">
      <w:tc>
        <w:tcPr>
          <w:tcW w:w="4428" w:type="dxa"/>
        </w:tcPr>
        <w:p w:rsidR="00252F0F" w:rsidRDefault="00252F0F">
          <w:pPr>
            <w:pStyle w:val="Header"/>
            <w:rPr>
              <w:rFonts w:ascii="Arial" w:hAnsi="Arial" w:cs="Arial"/>
            </w:rPr>
          </w:pPr>
          <w:r>
            <w:rPr>
              <w:rFonts w:ascii="Arial" w:hAnsi="Arial" w:cs="Arial"/>
            </w:rPr>
            <w:t xml:space="preserve">Approved By:  </w:t>
          </w:r>
        </w:p>
      </w:tc>
      <w:tc>
        <w:tcPr>
          <w:tcW w:w="4428" w:type="dxa"/>
        </w:tcPr>
        <w:p w:rsidR="00252F0F" w:rsidRDefault="00252F0F">
          <w:pPr>
            <w:pStyle w:val="Header"/>
            <w:rPr>
              <w:rFonts w:ascii="Arial" w:hAnsi="Arial" w:cs="Arial"/>
            </w:rPr>
          </w:pPr>
          <w:r>
            <w:rPr>
              <w:rFonts w:ascii="Arial" w:hAnsi="Arial" w:cs="Arial"/>
            </w:rPr>
            <w:t>Document No: SP.029</w:t>
          </w:r>
        </w:p>
      </w:tc>
    </w:tr>
    <w:tr w:rsidR="00252F0F">
      <w:tc>
        <w:tcPr>
          <w:tcW w:w="4428" w:type="dxa"/>
        </w:tcPr>
        <w:p w:rsidR="00252F0F" w:rsidRDefault="00252F0F">
          <w:pPr>
            <w:pStyle w:val="Header"/>
            <w:rPr>
              <w:rFonts w:ascii="Arial" w:hAnsi="Arial" w:cs="Arial"/>
            </w:rPr>
          </w:pPr>
          <w:r>
            <w:rPr>
              <w:rFonts w:ascii="Arial" w:hAnsi="Arial" w:cs="Arial"/>
            </w:rPr>
            <w:t>Date Issued:  2004/04/05</w:t>
          </w:r>
        </w:p>
      </w:tc>
      <w:tc>
        <w:tcPr>
          <w:tcW w:w="4428" w:type="dxa"/>
        </w:tcPr>
        <w:p w:rsidR="00252F0F" w:rsidRDefault="00252F0F">
          <w:pPr>
            <w:pStyle w:val="Header"/>
            <w:rPr>
              <w:rFonts w:ascii="Arial" w:hAnsi="Arial" w:cs="Arial"/>
            </w:rPr>
          </w:pPr>
          <w:r>
            <w:rPr>
              <w:rFonts w:ascii="Arial" w:hAnsi="Arial" w:cs="Arial"/>
            </w:rPr>
            <w:t>Category:  Special Procedures</w:t>
          </w:r>
        </w:p>
      </w:tc>
    </w:tr>
    <w:tr w:rsidR="00252F0F">
      <w:tc>
        <w:tcPr>
          <w:tcW w:w="4428" w:type="dxa"/>
        </w:tcPr>
        <w:p w:rsidR="00252F0F" w:rsidRDefault="00252F0F">
          <w:pPr>
            <w:pStyle w:val="Header"/>
            <w:rPr>
              <w:rFonts w:ascii="Arial" w:hAnsi="Arial" w:cs="Arial"/>
            </w:rPr>
          </w:pPr>
          <w:r>
            <w:rPr>
              <w:rFonts w:ascii="Arial" w:hAnsi="Arial" w:cs="Arial"/>
            </w:rPr>
            <w:t>Date Revised:  2009/09/01; 2014/09/01</w:t>
          </w:r>
        </w:p>
      </w:tc>
      <w:tc>
        <w:tcPr>
          <w:tcW w:w="4428" w:type="dxa"/>
        </w:tcPr>
        <w:p w:rsidR="00252F0F" w:rsidRDefault="00252F0F">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66F49">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66F49">
            <w:rPr>
              <w:rFonts w:ascii="Arial" w:hAnsi="Arial" w:cs="Arial"/>
              <w:noProof/>
            </w:rPr>
            <w:t>1</w:t>
          </w:r>
          <w:r>
            <w:rPr>
              <w:rFonts w:ascii="Arial" w:hAnsi="Arial" w:cs="Arial"/>
            </w:rPr>
            <w:fldChar w:fldCharType="end"/>
          </w:r>
        </w:p>
      </w:tc>
    </w:tr>
  </w:tbl>
  <w:p w:rsidR="00252F0F" w:rsidRDefault="001A2886">
    <w:pPr>
      <w:pStyle w:val="Head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4DBF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252F0F">
      <w:rPr>
        <w:rFonts w:ascii="Arial" w:hAnsi="Arial" w:cs="Arial"/>
      </w:rPr>
      <w:tab/>
    </w:r>
  </w:p>
  <w:p w:rsidR="00252F0F" w:rsidRDefault="00252F0F">
    <w:pPr>
      <w:pStyle w:val="Heade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11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3107F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BAB5FC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1192E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6CD7970"/>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76E1D3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3604DB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9"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0" w15:restartNumberingAfterBreak="0">
    <w:nsid w:val="34567BF1"/>
    <w:multiLevelType w:val="multilevel"/>
    <w:tmpl w:val="4BDED0C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7CA73B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C52771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4" w15:restartNumberingAfterBreak="0">
    <w:nsid w:val="663C514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6B60F3F"/>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7A66D95"/>
    <w:multiLevelType w:val="hybridMultilevel"/>
    <w:tmpl w:val="B8ECC840"/>
    <w:lvl w:ilvl="0" w:tplc="81E6EEB2">
      <w:start w:val="1"/>
      <w:numFmt w:val="bullet"/>
      <w:suff w:val="space"/>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B431872"/>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13"/>
  </w:num>
  <w:num w:numId="3">
    <w:abstractNumId w:val="9"/>
  </w:num>
  <w:num w:numId="4">
    <w:abstractNumId w:val="8"/>
  </w:num>
  <w:num w:numId="5">
    <w:abstractNumId w:val="18"/>
  </w:num>
  <w:num w:numId="6">
    <w:abstractNumId w:val="17"/>
  </w:num>
  <w:num w:numId="7">
    <w:abstractNumId w:val="16"/>
  </w:num>
  <w:num w:numId="8">
    <w:abstractNumId w:val="6"/>
  </w:num>
  <w:num w:numId="9">
    <w:abstractNumId w:val="11"/>
  </w:num>
  <w:num w:numId="10">
    <w:abstractNumId w:val="0"/>
  </w:num>
  <w:num w:numId="11">
    <w:abstractNumId w:val="2"/>
  </w:num>
  <w:num w:numId="12">
    <w:abstractNumId w:val="20"/>
  </w:num>
  <w:num w:numId="13">
    <w:abstractNumId w:val="5"/>
  </w:num>
  <w:num w:numId="14">
    <w:abstractNumId w:val="10"/>
  </w:num>
  <w:num w:numId="15">
    <w:abstractNumId w:val="14"/>
  </w:num>
  <w:num w:numId="16">
    <w:abstractNumId w:val="4"/>
  </w:num>
  <w:num w:numId="17">
    <w:abstractNumId w:val="10"/>
  </w:num>
  <w:num w:numId="18">
    <w:abstractNumId w:val="7"/>
  </w:num>
  <w:num w:numId="19">
    <w:abstractNumId w:val="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98"/>
    <w:rsid w:val="000678D0"/>
    <w:rsid w:val="000D50A4"/>
    <w:rsid w:val="000E120B"/>
    <w:rsid w:val="0015756C"/>
    <w:rsid w:val="001A2886"/>
    <w:rsid w:val="00203A2C"/>
    <w:rsid w:val="00252F0F"/>
    <w:rsid w:val="00320B98"/>
    <w:rsid w:val="003B7AE9"/>
    <w:rsid w:val="00566F49"/>
    <w:rsid w:val="005C4F9B"/>
    <w:rsid w:val="0061741D"/>
    <w:rsid w:val="006A04BD"/>
    <w:rsid w:val="006F3859"/>
    <w:rsid w:val="008634D0"/>
    <w:rsid w:val="008D2AD7"/>
    <w:rsid w:val="0097554C"/>
    <w:rsid w:val="00A61451"/>
    <w:rsid w:val="00A6439A"/>
    <w:rsid w:val="00AA543A"/>
    <w:rsid w:val="00B70D2F"/>
    <w:rsid w:val="00BF11B3"/>
    <w:rsid w:val="00C96E69"/>
    <w:rsid w:val="00D36FF9"/>
    <w:rsid w:val="00FC09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F7CB06C-6E03-4A87-8007-4C01F6FE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ind w:left="288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Subtitle">
    <w:name w:val="Subtitle"/>
    <w:basedOn w:val="Normal"/>
    <w:qFormat/>
    <w:rPr>
      <w:b/>
      <w:sz w:val="24"/>
    </w:rPr>
  </w:style>
  <w:style w:type="paragraph" w:styleId="Title">
    <w:name w:val="Title"/>
    <w:basedOn w:val="Normal"/>
    <w:qFormat/>
    <w:pPr>
      <w:jc w:val="center"/>
    </w:pPr>
    <w:rPr>
      <w:b/>
      <w:sz w:val="24"/>
    </w:rPr>
  </w:style>
  <w:style w:type="paragraph" w:styleId="BodyText2">
    <w:name w:val="Body Text 2"/>
    <w:basedOn w:val="Normal"/>
    <w:rPr>
      <w:rFonts w:ascii="Arial" w:hAnsi="Arial"/>
      <w:sz w:val="24"/>
    </w:rPr>
  </w:style>
  <w:style w:type="paragraph" w:styleId="BodyTextIndent">
    <w:name w:val="Body Text Indent"/>
    <w:basedOn w:val="Normal"/>
    <w:pPr>
      <w:ind w:left="720"/>
    </w:pPr>
    <w:rPr>
      <w:sz w:val="24"/>
    </w:rPr>
  </w:style>
  <w:style w:type="paragraph" w:styleId="BodyTextIndent2">
    <w:name w:val="Body Text Indent 2"/>
    <w:basedOn w:val="Normal"/>
    <w:pPr>
      <w:ind w:left="2880"/>
    </w:pPr>
    <w:rPr>
      <w:rFonts w:ascii="Arial" w:hAnsi="Arial"/>
      <w:sz w:val="24"/>
    </w:rPr>
  </w:style>
  <w:style w:type="paragraph" w:styleId="BalloonText">
    <w:name w:val="Balloon Text"/>
    <w:basedOn w:val="Normal"/>
    <w:semiHidden/>
    <w:rsid w:val="0097554C"/>
    <w:rPr>
      <w:rFonts w:ascii="Tahoma" w:hAnsi="Tahoma" w:cs="Tahoma"/>
      <w:sz w:val="16"/>
      <w:szCs w:val="16"/>
    </w:rPr>
  </w:style>
  <w:style w:type="character" w:styleId="CommentReference">
    <w:name w:val="annotation reference"/>
    <w:rsid w:val="000678D0"/>
    <w:rPr>
      <w:sz w:val="16"/>
      <w:szCs w:val="16"/>
    </w:rPr>
  </w:style>
  <w:style w:type="paragraph" w:styleId="CommentText">
    <w:name w:val="annotation text"/>
    <w:basedOn w:val="Normal"/>
    <w:link w:val="CommentTextChar"/>
    <w:rsid w:val="000678D0"/>
  </w:style>
  <w:style w:type="character" w:customStyle="1" w:styleId="CommentTextChar">
    <w:name w:val="Comment Text Char"/>
    <w:link w:val="CommentText"/>
    <w:rsid w:val="000678D0"/>
    <w:rPr>
      <w:lang w:val="en-US" w:eastAsia="en-US"/>
    </w:rPr>
  </w:style>
  <w:style w:type="paragraph" w:styleId="CommentSubject">
    <w:name w:val="annotation subject"/>
    <w:basedOn w:val="CommentText"/>
    <w:next w:val="CommentText"/>
    <w:link w:val="CommentSubjectChar"/>
    <w:rsid w:val="000678D0"/>
    <w:rPr>
      <w:b/>
      <w:bCs/>
    </w:rPr>
  </w:style>
  <w:style w:type="character" w:customStyle="1" w:styleId="CommentSubjectChar">
    <w:name w:val="Comment Subject Char"/>
    <w:link w:val="CommentSubject"/>
    <w:rsid w:val="000678D0"/>
    <w:rPr>
      <w:b/>
      <w:bCs/>
      <w:lang w:val="en-US" w:eastAsia="en-US"/>
    </w:rPr>
  </w:style>
  <w:style w:type="table" w:styleId="TableGrid">
    <w:name w:val="Table Grid"/>
    <w:basedOn w:val="TableNormal"/>
    <w:rsid w:val="00A64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4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19717">
      <w:bodyDiv w:val="1"/>
      <w:marLeft w:val="0"/>
      <w:marRight w:val="0"/>
      <w:marTop w:val="0"/>
      <w:marBottom w:val="0"/>
      <w:divBdr>
        <w:top w:val="none" w:sz="0" w:space="0" w:color="auto"/>
        <w:left w:val="none" w:sz="0" w:space="0" w:color="auto"/>
        <w:bottom w:val="none" w:sz="0" w:space="0" w:color="auto"/>
        <w:right w:val="none" w:sz="0" w:space="0" w:color="auto"/>
      </w:divBdr>
    </w:div>
    <w:div w:id="18069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SP.029 - Treatment of Plasma with Dithiothreitol(DTT)</vt:lpstr>
    </vt:vector>
  </TitlesOfParts>
  <Company>The Ottawa Hospital</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SP.029 - Treatment of Plasma with Dithiothreitol(DTT)</dc:title>
  <dc:subject/>
  <dc:creator>Transfusion Ontario Program Office</dc:creator>
  <cp:keywords/>
  <cp:lastModifiedBy>Nesrallah, Heather</cp:lastModifiedBy>
  <cp:revision>2</cp:revision>
  <cp:lastPrinted>2015-01-06T18:46:00Z</cp:lastPrinted>
  <dcterms:created xsi:type="dcterms:W3CDTF">2020-08-11T15:25:00Z</dcterms:created>
  <dcterms:modified xsi:type="dcterms:W3CDTF">2020-08-11T15:25:00Z</dcterms:modified>
</cp:coreProperties>
</file>