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8B4" w:rsidRDefault="009E28B4">
      <w:pPr>
        <w:numPr>
          <w:ilvl w:val="0"/>
          <w:numId w:val="1"/>
        </w:numPr>
        <w:rPr>
          <w:rFonts w:ascii="Arial" w:hAnsi="Arial"/>
          <w:b/>
          <w:sz w:val="28"/>
        </w:rPr>
      </w:pPr>
      <w:bookmarkStart w:id="0" w:name="_GoBack"/>
      <w:bookmarkEnd w:id="0"/>
      <w:r>
        <w:rPr>
          <w:rFonts w:ascii="Arial" w:hAnsi="Arial"/>
          <w:b/>
          <w:sz w:val="28"/>
        </w:rPr>
        <w:t>Principle</w:t>
      </w:r>
    </w:p>
    <w:p w:rsidR="009E28B4" w:rsidRDefault="009E28B4">
      <w:pPr>
        <w:suppressAutoHyphens/>
        <w:ind w:left="720" w:right="360"/>
        <w:rPr>
          <w:rFonts w:ascii="Arial" w:hAnsi="Arial"/>
          <w:spacing w:val="-2"/>
          <w:sz w:val="24"/>
          <w:lang w:val="en-GB"/>
        </w:rPr>
      </w:pPr>
    </w:p>
    <w:p w:rsidR="0028486F" w:rsidRDefault="0028486F" w:rsidP="00C1688D">
      <w:pPr>
        <w:numPr>
          <w:ilvl w:val="1"/>
          <w:numId w:val="1"/>
        </w:numPr>
        <w:suppressAutoHyphens/>
        <w:ind w:hanging="731"/>
        <w:rPr>
          <w:rFonts w:ascii="Arial" w:hAnsi="Arial"/>
          <w:spacing w:val="-2"/>
          <w:sz w:val="24"/>
          <w:lang w:val="en-GB"/>
        </w:rPr>
      </w:pPr>
      <w:r>
        <w:rPr>
          <w:rFonts w:ascii="Arial" w:hAnsi="Arial"/>
          <w:spacing w:val="-2"/>
          <w:sz w:val="24"/>
          <w:lang w:val="en-GB"/>
        </w:rPr>
        <w:t xml:space="preserve">Newly formed autologous red cells </w:t>
      </w:r>
      <w:r w:rsidR="00154C21">
        <w:rPr>
          <w:rFonts w:ascii="Arial" w:hAnsi="Arial"/>
          <w:spacing w:val="-2"/>
          <w:sz w:val="24"/>
          <w:lang w:val="en-GB"/>
        </w:rPr>
        <w:t xml:space="preserve">having a lower specific gravity </w:t>
      </w:r>
      <w:r>
        <w:rPr>
          <w:rFonts w:ascii="Arial" w:hAnsi="Arial"/>
          <w:spacing w:val="-2"/>
          <w:sz w:val="24"/>
          <w:lang w:val="en-GB"/>
        </w:rPr>
        <w:t>than transfused red cells may be separated from the transfused population by simple centrifugation in microhematocrit tubes. The autologous red cells will concentrate at the top of a centrifuged microhematocrit capillary tube.</w:t>
      </w:r>
    </w:p>
    <w:p w:rsidR="009E28B4" w:rsidRDefault="009E28B4">
      <w:pPr>
        <w:ind w:left="720"/>
        <w:rPr>
          <w:rFonts w:ascii="Arial" w:hAnsi="Arial"/>
          <w:sz w:val="24"/>
        </w:rPr>
      </w:pPr>
    </w:p>
    <w:p w:rsidR="009E28B4" w:rsidRDefault="009E28B4">
      <w:pPr>
        <w:numPr>
          <w:ilvl w:val="0"/>
          <w:numId w:val="1"/>
        </w:numPr>
        <w:rPr>
          <w:rFonts w:ascii="Arial" w:hAnsi="Arial"/>
          <w:b/>
          <w:sz w:val="28"/>
        </w:rPr>
      </w:pPr>
      <w:r>
        <w:rPr>
          <w:rFonts w:ascii="Arial" w:hAnsi="Arial"/>
          <w:b/>
          <w:sz w:val="28"/>
        </w:rPr>
        <w:t>Scope and Related Policies</w:t>
      </w:r>
    </w:p>
    <w:p w:rsidR="009E28B4" w:rsidRDefault="009E28B4">
      <w:pPr>
        <w:rPr>
          <w:rFonts w:ascii="Arial" w:hAnsi="Arial"/>
          <w:b/>
          <w:sz w:val="24"/>
        </w:rPr>
      </w:pPr>
    </w:p>
    <w:p w:rsidR="00154C21" w:rsidRDefault="009E28B4" w:rsidP="00C1688D">
      <w:pPr>
        <w:numPr>
          <w:ilvl w:val="1"/>
          <w:numId w:val="1"/>
        </w:numPr>
        <w:suppressAutoHyphens/>
        <w:ind w:hanging="731"/>
        <w:rPr>
          <w:rFonts w:ascii="Arial" w:hAnsi="Arial"/>
          <w:spacing w:val="-2"/>
          <w:sz w:val="24"/>
          <w:lang w:val="en-GB"/>
        </w:rPr>
      </w:pPr>
      <w:r>
        <w:rPr>
          <w:rFonts w:ascii="Arial" w:hAnsi="Arial"/>
          <w:spacing w:val="-2"/>
          <w:sz w:val="24"/>
          <w:lang w:val="en-GB"/>
        </w:rPr>
        <w:t xml:space="preserve">To </w:t>
      </w:r>
      <w:r w:rsidR="0028486F">
        <w:rPr>
          <w:rFonts w:ascii="Arial" w:hAnsi="Arial"/>
          <w:spacing w:val="-2"/>
          <w:sz w:val="24"/>
          <w:lang w:val="en-GB"/>
        </w:rPr>
        <w:t>separate</w:t>
      </w:r>
      <w:r>
        <w:rPr>
          <w:rFonts w:ascii="Arial" w:hAnsi="Arial"/>
          <w:spacing w:val="-2"/>
          <w:sz w:val="24"/>
          <w:lang w:val="en-GB"/>
        </w:rPr>
        <w:t xml:space="preserve"> the reticulocyte rich portion (RR) and reticulocyte poor portion (RP) from a red cell sample</w:t>
      </w:r>
      <w:r w:rsidR="0028486F">
        <w:rPr>
          <w:rFonts w:ascii="Arial" w:hAnsi="Arial"/>
          <w:spacing w:val="-2"/>
          <w:sz w:val="24"/>
          <w:lang w:val="en-GB"/>
        </w:rPr>
        <w:t>.</w:t>
      </w:r>
    </w:p>
    <w:p w:rsidR="0028486F" w:rsidRDefault="0028486F" w:rsidP="00154C21">
      <w:pPr>
        <w:suppressAutoHyphens/>
        <w:ind w:left="1440"/>
        <w:rPr>
          <w:rFonts w:ascii="Arial" w:hAnsi="Arial"/>
          <w:spacing w:val="-2"/>
          <w:sz w:val="24"/>
          <w:lang w:val="en-GB"/>
        </w:rPr>
      </w:pPr>
      <w:r>
        <w:rPr>
          <w:rFonts w:ascii="Arial" w:hAnsi="Arial"/>
          <w:spacing w:val="-2"/>
          <w:sz w:val="24"/>
          <w:lang w:val="en-GB"/>
        </w:rPr>
        <w:t xml:space="preserve"> </w:t>
      </w:r>
    </w:p>
    <w:p w:rsidR="00154C21" w:rsidRDefault="0028486F" w:rsidP="00C1688D">
      <w:pPr>
        <w:numPr>
          <w:ilvl w:val="1"/>
          <w:numId w:val="1"/>
        </w:numPr>
        <w:suppressAutoHyphens/>
        <w:ind w:hanging="731"/>
        <w:rPr>
          <w:rFonts w:ascii="Arial" w:hAnsi="Arial"/>
          <w:spacing w:val="-2"/>
          <w:sz w:val="24"/>
          <w:lang w:val="en-GB"/>
        </w:rPr>
      </w:pPr>
      <w:r w:rsidRPr="0028486F">
        <w:rPr>
          <w:rFonts w:ascii="Arial" w:hAnsi="Arial"/>
          <w:spacing w:val="-2"/>
          <w:sz w:val="24"/>
          <w:lang w:val="en-GB"/>
        </w:rPr>
        <w:t>Separation of autologous RBC's should be attempted when:</w:t>
      </w:r>
    </w:p>
    <w:p w:rsidR="00154C21" w:rsidRDefault="00154C21" w:rsidP="00154C21">
      <w:pPr>
        <w:pStyle w:val="ListParagraph"/>
        <w:rPr>
          <w:rFonts w:ascii="Arial" w:hAnsi="Arial"/>
          <w:spacing w:val="-2"/>
          <w:sz w:val="24"/>
          <w:lang w:val="en-GB"/>
        </w:rPr>
      </w:pPr>
    </w:p>
    <w:p w:rsidR="00154C21" w:rsidRDefault="0028486F" w:rsidP="00154C21">
      <w:pPr>
        <w:numPr>
          <w:ilvl w:val="0"/>
          <w:numId w:val="15"/>
        </w:numPr>
        <w:suppressAutoHyphens/>
        <w:rPr>
          <w:rFonts w:ascii="Arial" w:hAnsi="Arial"/>
          <w:spacing w:val="-2"/>
          <w:sz w:val="24"/>
          <w:lang w:val="en-GB"/>
        </w:rPr>
      </w:pPr>
      <w:r w:rsidRPr="00154C21">
        <w:rPr>
          <w:rFonts w:ascii="Arial" w:hAnsi="Arial"/>
          <w:spacing w:val="-2"/>
          <w:sz w:val="24"/>
          <w:lang w:val="en-GB"/>
        </w:rPr>
        <w:t>phenotyping of autologous cells is necessary</w:t>
      </w:r>
    </w:p>
    <w:p w:rsidR="00154C21" w:rsidRDefault="00154C21" w:rsidP="00154C21">
      <w:pPr>
        <w:suppressAutoHyphens/>
        <w:ind w:left="2160"/>
        <w:rPr>
          <w:rFonts w:ascii="Arial" w:hAnsi="Arial"/>
          <w:spacing w:val="-2"/>
          <w:sz w:val="24"/>
          <w:lang w:val="en-GB"/>
        </w:rPr>
      </w:pPr>
    </w:p>
    <w:p w:rsidR="00154C21" w:rsidRDefault="0028486F" w:rsidP="00154C21">
      <w:pPr>
        <w:numPr>
          <w:ilvl w:val="0"/>
          <w:numId w:val="15"/>
        </w:numPr>
        <w:suppressAutoHyphens/>
        <w:rPr>
          <w:rFonts w:ascii="Arial" w:hAnsi="Arial"/>
          <w:spacing w:val="-2"/>
          <w:sz w:val="24"/>
          <w:lang w:val="en-GB"/>
        </w:rPr>
      </w:pPr>
      <w:r w:rsidRPr="00154C21">
        <w:rPr>
          <w:rFonts w:ascii="Arial" w:hAnsi="Arial"/>
          <w:spacing w:val="-2"/>
          <w:sz w:val="24"/>
          <w:lang w:val="en-GB"/>
        </w:rPr>
        <w:t>to determine whether a positive DAT is due to a delaye</w:t>
      </w:r>
      <w:r w:rsidR="00154C21" w:rsidRPr="00154C21">
        <w:rPr>
          <w:rFonts w:ascii="Arial" w:hAnsi="Arial"/>
          <w:spacing w:val="-2"/>
          <w:sz w:val="24"/>
          <w:lang w:val="en-GB"/>
        </w:rPr>
        <w:t xml:space="preserve">d </w:t>
      </w:r>
      <w:r w:rsidRPr="00154C21">
        <w:rPr>
          <w:rFonts w:ascii="Arial" w:hAnsi="Arial"/>
          <w:spacing w:val="-2"/>
          <w:sz w:val="24"/>
          <w:lang w:val="en-GB"/>
        </w:rPr>
        <w:t>hemolytic transfusion reaction (DHTR) or an Autoimmune process</w:t>
      </w:r>
    </w:p>
    <w:p w:rsidR="00154C21" w:rsidRDefault="00154C21" w:rsidP="00154C21">
      <w:pPr>
        <w:suppressAutoHyphens/>
        <w:ind w:left="2160"/>
        <w:rPr>
          <w:rFonts w:ascii="Arial" w:hAnsi="Arial"/>
          <w:spacing w:val="-2"/>
          <w:sz w:val="24"/>
          <w:lang w:val="en-GB"/>
        </w:rPr>
      </w:pPr>
    </w:p>
    <w:p w:rsidR="00154C21" w:rsidRDefault="0028486F" w:rsidP="00154C21">
      <w:pPr>
        <w:numPr>
          <w:ilvl w:val="0"/>
          <w:numId w:val="15"/>
        </w:numPr>
        <w:suppressAutoHyphens/>
        <w:rPr>
          <w:rFonts w:ascii="Arial" w:hAnsi="Arial"/>
          <w:spacing w:val="-2"/>
          <w:sz w:val="24"/>
          <w:lang w:val="en-GB"/>
        </w:rPr>
      </w:pPr>
      <w:r w:rsidRPr="00154C21">
        <w:rPr>
          <w:rFonts w:ascii="Arial" w:hAnsi="Arial"/>
          <w:spacing w:val="-2"/>
          <w:sz w:val="24"/>
          <w:lang w:val="en-GB"/>
        </w:rPr>
        <w:t>when DAT positive cells cannot be reduced to negative by routine procedure and phenotyping by IDAT is required</w:t>
      </w:r>
    </w:p>
    <w:p w:rsidR="00154C21" w:rsidRDefault="00154C21" w:rsidP="00154C21">
      <w:pPr>
        <w:suppressAutoHyphens/>
        <w:ind w:left="2160"/>
        <w:rPr>
          <w:rFonts w:ascii="Arial" w:hAnsi="Arial"/>
          <w:spacing w:val="-2"/>
          <w:sz w:val="24"/>
          <w:lang w:val="en-GB"/>
        </w:rPr>
      </w:pPr>
    </w:p>
    <w:p w:rsidR="00154C21" w:rsidRDefault="0028486F" w:rsidP="00154C21">
      <w:pPr>
        <w:numPr>
          <w:ilvl w:val="0"/>
          <w:numId w:val="15"/>
        </w:numPr>
        <w:suppressAutoHyphens/>
        <w:rPr>
          <w:rFonts w:ascii="Arial" w:hAnsi="Arial"/>
          <w:spacing w:val="-2"/>
          <w:sz w:val="24"/>
          <w:lang w:val="en-GB"/>
        </w:rPr>
      </w:pPr>
      <w:r w:rsidRPr="00154C21">
        <w:rPr>
          <w:rFonts w:ascii="Arial" w:hAnsi="Arial"/>
          <w:spacing w:val="-2"/>
          <w:sz w:val="24"/>
          <w:lang w:val="en-GB"/>
        </w:rPr>
        <w:t>when it can be demonstrated that the patient reticulocyte count is normal or high</w:t>
      </w:r>
    </w:p>
    <w:p w:rsidR="00154C21" w:rsidRDefault="00154C21" w:rsidP="00154C21">
      <w:pPr>
        <w:pStyle w:val="ListParagraph"/>
        <w:rPr>
          <w:rFonts w:ascii="Arial" w:hAnsi="Arial"/>
          <w:spacing w:val="-2"/>
          <w:sz w:val="24"/>
          <w:lang w:val="en-GB"/>
        </w:rPr>
      </w:pPr>
    </w:p>
    <w:p w:rsidR="0028486F" w:rsidRPr="00154C21" w:rsidRDefault="0028486F" w:rsidP="00C1688D">
      <w:pPr>
        <w:numPr>
          <w:ilvl w:val="1"/>
          <w:numId w:val="1"/>
        </w:numPr>
        <w:suppressAutoHyphens/>
        <w:ind w:hanging="731"/>
        <w:rPr>
          <w:rFonts w:ascii="Arial" w:hAnsi="Arial"/>
          <w:spacing w:val="-2"/>
          <w:sz w:val="24"/>
          <w:lang w:val="en-GB"/>
        </w:rPr>
      </w:pPr>
      <w:r w:rsidRPr="00154C21">
        <w:rPr>
          <w:rFonts w:ascii="Arial" w:hAnsi="Arial"/>
          <w:spacing w:val="-2"/>
          <w:sz w:val="24"/>
          <w:lang w:val="en-GB"/>
        </w:rPr>
        <w:t>The method chosen for cell separation to isolate autologous cells from transfused cells will depend upon the volume of the sample available and the time frame.</w:t>
      </w:r>
    </w:p>
    <w:p w:rsidR="0028486F" w:rsidRDefault="0028486F" w:rsidP="00154C21">
      <w:pPr>
        <w:suppressAutoHyphens/>
        <w:rPr>
          <w:rFonts w:ascii="Arial" w:hAnsi="Arial"/>
          <w:spacing w:val="-2"/>
          <w:sz w:val="24"/>
          <w:lang w:val="en-GB"/>
        </w:rPr>
      </w:pPr>
    </w:p>
    <w:p w:rsidR="009E28B4" w:rsidRDefault="009E28B4">
      <w:pPr>
        <w:suppressAutoHyphens/>
        <w:ind w:left="720"/>
        <w:rPr>
          <w:rFonts w:ascii="Arial" w:hAnsi="Arial"/>
          <w:spacing w:val="-2"/>
          <w:sz w:val="24"/>
          <w:lang w:val="en-GB"/>
        </w:rPr>
      </w:pPr>
    </w:p>
    <w:p w:rsidR="009E28B4" w:rsidRDefault="009E28B4">
      <w:pPr>
        <w:numPr>
          <w:ilvl w:val="0"/>
          <w:numId w:val="1"/>
        </w:numPr>
        <w:rPr>
          <w:rFonts w:ascii="Arial" w:hAnsi="Arial"/>
          <w:b/>
          <w:sz w:val="28"/>
        </w:rPr>
      </w:pPr>
      <w:r>
        <w:rPr>
          <w:rFonts w:ascii="Arial" w:hAnsi="Arial"/>
          <w:b/>
          <w:sz w:val="28"/>
        </w:rPr>
        <w:lastRenderedPageBreak/>
        <w:t>Specimen</w:t>
      </w:r>
    </w:p>
    <w:p w:rsidR="009E28B4" w:rsidRDefault="009E28B4">
      <w:pPr>
        <w:rPr>
          <w:rFonts w:ascii="Arial" w:hAnsi="Arial"/>
          <w:sz w:val="24"/>
        </w:rPr>
      </w:pPr>
    </w:p>
    <w:p w:rsidR="009E28B4" w:rsidRDefault="009E28B4">
      <w:pPr>
        <w:ind w:left="720"/>
        <w:rPr>
          <w:rFonts w:ascii="Arial" w:hAnsi="Arial"/>
          <w:sz w:val="24"/>
        </w:rPr>
      </w:pPr>
      <w:r>
        <w:rPr>
          <w:rFonts w:ascii="Arial" w:hAnsi="Arial"/>
          <w:sz w:val="24"/>
        </w:rPr>
        <w:t xml:space="preserve">EDTA anticoagulated </w:t>
      </w:r>
      <w:r w:rsidR="0028486F">
        <w:rPr>
          <w:rFonts w:ascii="Arial" w:hAnsi="Arial"/>
          <w:sz w:val="24"/>
        </w:rPr>
        <w:t xml:space="preserve">whole blood </w:t>
      </w:r>
      <w:r>
        <w:rPr>
          <w:rFonts w:ascii="Arial" w:hAnsi="Arial"/>
          <w:sz w:val="24"/>
        </w:rPr>
        <w:t xml:space="preserve">preferably less than </w:t>
      </w:r>
      <w:r w:rsidRPr="00136BEF">
        <w:rPr>
          <w:rFonts w:ascii="Arial" w:hAnsi="Arial"/>
          <w:sz w:val="24"/>
        </w:rPr>
        <w:t>24</w:t>
      </w:r>
      <w:r>
        <w:rPr>
          <w:rFonts w:ascii="Arial" w:hAnsi="Arial"/>
          <w:b/>
          <w:sz w:val="24"/>
        </w:rPr>
        <w:t xml:space="preserve"> </w:t>
      </w:r>
      <w:r>
        <w:rPr>
          <w:rFonts w:ascii="Arial" w:hAnsi="Arial"/>
          <w:sz w:val="24"/>
        </w:rPr>
        <w:t>hours old.</w:t>
      </w:r>
    </w:p>
    <w:p w:rsidR="009E28B4" w:rsidRDefault="009E28B4">
      <w:pPr>
        <w:ind w:left="720"/>
        <w:rPr>
          <w:rFonts w:ascii="Arial" w:hAnsi="Arial"/>
          <w:sz w:val="24"/>
        </w:rPr>
      </w:pPr>
    </w:p>
    <w:p w:rsidR="009E28B4" w:rsidRDefault="009E28B4">
      <w:pPr>
        <w:numPr>
          <w:ilvl w:val="0"/>
          <w:numId w:val="1"/>
        </w:numPr>
        <w:rPr>
          <w:rFonts w:ascii="Arial" w:hAnsi="Arial"/>
          <w:b/>
          <w:sz w:val="28"/>
        </w:rPr>
      </w:pPr>
      <w:r>
        <w:rPr>
          <w:rFonts w:ascii="Arial" w:hAnsi="Arial"/>
          <w:b/>
          <w:sz w:val="28"/>
        </w:rPr>
        <w:t>Material</w:t>
      </w:r>
    </w:p>
    <w:p w:rsidR="009E28B4" w:rsidRDefault="009E28B4">
      <w:pPr>
        <w:rPr>
          <w:rFonts w:ascii="Arial" w:hAnsi="Arial"/>
          <w:sz w:val="24"/>
        </w:rPr>
      </w:pPr>
    </w:p>
    <w:p w:rsidR="009E28B4" w:rsidRDefault="009E28B4">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Microhematocrit equipment</w:t>
      </w:r>
    </w:p>
    <w:p w:rsidR="009E28B4" w:rsidRDefault="009E28B4">
      <w:pPr>
        <w:numPr>
          <w:ilvl w:val="0"/>
          <w:numId w:val="10"/>
        </w:numPr>
        <w:tabs>
          <w:tab w:val="clear" w:pos="360"/>
          <w:tab w:val="num" w:pos="3240"/>
        </w:tabs>
        <w:ind w:left="3240"/>
        <w:rPr>
          <w:rFonts w:ascii="Arial" w:hAnsi="Arial"/>
          <w:sz w:val="24"/>
        </w:rPr>
      </w:pPr>
      <w:r>
        <w:rPr>
          <w:rFonts w:ascii="Arial" w:hAnsi="Arial"/>
          <w:sz w:val="24"/>
        </w:rPr>
        <w:t>Centrifuge</w:t>
      </w:r>
    </w:p>
    <w:p w:rsidR="009E28B4" w:rsidRDefault="009E28B4">
      <w:pPr>
        <w:numPr>
          <w:ilvl w:val="0"/>
          <w:numId w:val="10"/>
        </w:numPr>
        <w:tabs>
          <w:tab w:val="clear" w:pos="360"/>
          <w:tab w:val="num" w:pos="3240"/>
        </w:tabs>
        <w:ind w:left="3240"/>
        <w:rPr>
          <w:rFonts w:ascii="Arial" w:hAnsi="Arial"/>
          <w:sz w:val="24"/>
        </w:rPr>
      </w:pPr>
      <w:r>
        <w:rPr>
          <w:rFonts w:ascii="Arial" w:hAnsi="Arial"/>
          <w:sz w:val="24"/>
        </w:rPr>
        <w:t>Sealant</w:t>
      </w:r>
    </w:p>
    <w:p w:rsidR="009E28B4" w:rsidRDefault="009E28B4">
      <w:pPr>
        <w:numPr>
          <w:ilvl w:val="0"/>
          <w:numId w:val="10"/>
        </w:numPr>
        <w:tabs>
          <w:tab w:val="clear" w:pos="360"/>
          <w:tab w:val="num" w:pos="3240"/>
        </w:tabs>
        <w:ind w:left="3240"/>
        <w:rPr>
          <w:rFonts w:ascii="Arial" w:hAnsi="Arial"/>
          <w:sz w:val="24"/>
        </w:rPr>
      </w:pPr>
      <w:r>
        <w:rPr>
          <w:rFonts w:ascii="Arial" w:hAnsi="Arial"/>
          <w:sz w:val="24"/>
        </w:rPr>
        <w:t xml:space="preserve">Plain glass microhematocrit capillary tubes (not heparinized) </w:t>
      </w:r>
    </w:p>
    <w:p w:rsidR="0028486F" w:rsidRDefault="0028486F">
      <w:pPr>
        <w:numPr>
          <w:ilvl w:val="0"/>
          <w:numId w:val="10"/>
        </w:numPr>
        <w:tabs>
          <w:tab w:val="clear" w:pos="360"/>
          <w:tab w:val="num" w:pos="3240"/>
        </w:tabs>
        <w:ind w:left="3240"/>
        <w:rPr>
          <w:rFonts w:ascii="Arial" w:hAnsi="Arial"/>
          <w:sz w:val="24"/>
        </w:rPr>
      </w:pPr>
      <w:r>
        <w:rPr>
          <w:rFonts w:ascii="Arial" w:hAnsi="Arial"/>
          <w:sz w:val="24"/>
        </w:rPr>
        <w:t>Metal file (to cut glass capillary tubes)</w:t>
      </w:r>
    </w:p>
    <w:p w:rsidR="009E28B4" w:rsidRDefault="009E28B4">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9E28B4" w:rsidRDefault="009E28B4">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136BEF">
        <w:rPr>
          <w:rFonts w:ascii="Arial" w:hAnsi="Arial"/>
          <w:sz w:val="24"/>
        </w:rPr>
        <w:t xml:space="preserve"> </w:t>
      </w:r>
      <w:r>
        <w:rPr>
          <w:rFonts w:ascii="Arial" w:hAnsi="Arial"/>
          <w:sz w:val="24"/>
        </w:rPr>
        <w:t>mm</w:t>
      </w:r>
    </w:p>
    <w:p w:rsidR="009E28B4" w:rsidRDefault="009E28B4">
      <w:pPr>
        <w:ind w:left="720"/>
        <w:rPr>
          <w:rFonts w:ascii="Arial" w:hAnsi="Arial"/>
          <w:spacing w:val="-2"/>
          <w:sz w:val="24"/>
          <w:lang w:val="en-GB"/>
        </w:rPr>
      </w:pPr>
      <w:r>
        <w:rPr>
          <w:rFonts w:ascii="Arial" w:hAnsi="Arial"/>
          <w:sz w:val="24"/>
        </w:rPr>
        <w:tab/>
      </w:r>
      <w:r>
        <w:rPr>
          <w:rFonts w:ascii="Arial" w:hAnsi="Arial"/>
          <w:sz w:val="24"/>
        </w:rPr>
        <w:tab/>
      </w:r>
      <w:r>
        <w:rPr>
          <w:rFonts w:ascii="Arial" w:hAnsi="Arial"/>
          <w:sz w:val="24"/>
        </w:rPr>
        <w:tab/>
      </w:r>
      <w:r>
        <w:rPr>
          <w:rFonts w:ascii="Arial" w:hAnsi="Arial"/>
          <w:spacing w:val="-2"/>
          <w:sz w:val="24"/>
          <w:lang w:val="en-GB"/>
        </w:rPr>
        <w:t>2</w:t>
      </w:r>
      <w:r w:rsidR="00136BEF">
        <w:rPr>
          <w:rFonts w:ascii="Arial" w:hAnsi="Arial"/>
          <w:spacing w:val="-2"/>
          <w:sz w:val="24"/>
          <w:lang w:val="en-GB"/>
        </w:rPr>
        <w:t xml:space="preserve"> </w:t>
      </w:r>
      <w:r>
        <w:rPr>
          <w:rFonts w:ascii="Arial" w:hAnsi="Arial"/>
          <w:spacing w:val="-2"/>
          <w:sz w:val="24"/>
          <w:lang w:val="en-GB"/>
        </w:rPr>
        <w:t xml:space="preserve">mL syringe and 23 gauge needle or Pasteur </w:t>
      </w:r>
      <w:r w:rsidR="006F20F9">
        <w:rPr>
          <w:rFonts w:ascii="Arial" w:hAnsi="Arial"/>
          <w:spacing w:val="-2"/>
          <w:sz w:val="24"/>
          <w:lang w:val="en-GB"/>
        </w:rPr>
        <w:t xml:space="preserve">   </w:t>
      </w:r>
    </w:p>
    <w:p w:rsidR="006F20F9" w:rsidRDefault="006F20F9">
      <w:pPr>
        <w:ind w:left="720"/>
        <w:rPr>
          <w:rFonts w:ascii="Arial" w:hAnsi="Arial"/>
          <w:sz w:val="24"/>
        </w:rPr>
      </w:pPr>
      <w:r>
        <w:rPr>
          <w:rFonts w:ascii="Arial" w:hAnsi="Arial"/>
          <w:spacing w:val="-2"/>
          <w:sz w:val="24"/>
          <w:lang w:val="en-GB"/>
        </w:rPr>
        <w:tab/>
      </w:r>
      <w:r>
        <w:rPr>
          <w:rFonts w:ascii="Arial" w:hAnsi="Arial"/>
          <w:spacing w:val="-2"/>
          <w:sz w:val="24"/>
          <w:lang w:val="en-GB"/>
        </w:rPr>
        <w:tab/>
      </w:r>
      <w:r>
        <w:rPr>
          <w:rFonts w:ascii="Arial" w:hAnsi="Arial"/>
          <w:spacing w:val="-2"/>
          <w:sz w:val="24"/>
          <w:lang w:val="en-GB"/>
        </w:rPr>
        <w:tab/>
        <w:t>pipettes</w:t>
      </w:r>
      <w:r>
        <w:rPr>
          <w:rFonts w:ascii="Arial" w:hAnsi="Arial"/>
          <w:spacing w:val="-2"/>
          <w:sz w:val="24"/>
          <w:lang w:val="en-GB"/>
        </w:rPr>
        <w:tab/>
      </w:r>
    </w:p>
    <w:p w:rsidR="009E28B4" w:rsidRDefault="009E28B4">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r w:rsidR="0028486F">
        <w:rPr>
          <w:rFonts w:ascii="Arial" w:hAnsi="Arial"/>
          <w:sz w:val="24"/>
        </w:rPr>
        <w:t>0.9%</w:t>
      </w:r>
      <w:r w:rsidR="00136BEF">
        <w:rPr>
          <w:rFonts w:ascii="Arial" w:hAnsi="Arial"/>
          <w:sz w:val="24"/>
        </w:rPr>
        <w:t xml:space="preserve"> s</w:t>
      </w:r>
      <w:r>
        <w:rPr>
          <w:rFonts w:ascii="Arial" w:hAnsi="Arial"/>
          <w:sz w:val="24"/>
        </w:rPr>
        <w:t>aline</w:t>
      </w:r>
    </w:p>
    <w:p w:rsidR="009E28B4" w:rsidRDefault="009E28B4">
      <w:pPr>
        <w:ind w:left="720"/>
        <w:rPr>
          <w:rFonts w:ascii="Arial" w:hAnsi="Arial"/>
          <w:sz w:val="24"/>
        </w:rPr>
      </w:pPr>
    </w:p>
    <w:p w:rsidR="009E28B4" w:rsidRDefault="009E28B4">
      <w:pPr>
        <w:numPr>
          <w:ilvl w:val="0"/>
          <w:numId w:val="1"/>
        </w:numPr>
        <w:rPr>
          <w:rFonts w:ascii="Arial" w:hAnsi="Arial"/>
          <w:b/>
          <w:sz w:val="28"/>
        </w:rPr>
      </w:pPr>
      <w:r>
        <w:rPr>
          <w:rFonts w:ascii="Arial" w:hAnsi="Arial"/>
          <w:b/>
          <w:sz w:val="28"/>
        </w:rPr>
        <w:t>Quality Control – N/A</w:t>
      </w:r>
    </w:p>
    <w:p w:rsidR="009E28B4" w:rsidRDefault="009E28B4">
      <w:pPr>
        <w:ind w:left="720"/>
        <w:rPr>
          <w:rFonts w:ascii="Arial" w:hAnsi="Arial"/>
          <w:sz w:val="24"/>
        </w:rPr>
      </w:pPr>
    </w:p>
    <w:p w:rsidR="009E28B4" w:rsidRDefault="009E28B4">
      <w:pPr>
        <w:numPr>
          <w:ilvl w:val="0"/>
          <w:numId w:val="1"/>
        </w:numPr>
        <w:spacing w:line="228" w:lineRule="auto"/>
        <w:rPr>
          <w:rFonts w:ascii="Arial" w:hAnsi="Arial"/>
          <w:b/>
          <w:sz w:val="28"/>
        </w:rPr>
      </w:pPr>
      <w:r>
        <w:rPr>
          <w:rFonts w:ascii="Arial" w:hAnsi="Arial"/>
          <w:b/>
          <w:sz w:val="28"/>
        </w:rPr>
        <w:t>Procedure</w:t>
      </w:r>
    </w:p>
    <w:p w:rsidR="00154C21" w:rsidRDefault="00154C21">
      <w:pPr>
        <w:spacing w:line="228" w:lineRule="auto"/>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Centrifuge blood sample at 3000 rpm for 10 minutes. Remove plasma as completely as possible without aspirating any red cells.</w:t>
            </w:r>
          </w:p>
        </w:tc>
      </w:tr>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Thoroughly mix the packed red cells by inversion or by pipetting.</w:t>
            </w:r>
          </w:p>
        </w:tc>
      </w:tr>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Fill four capillary tubes with packed red cells. Seal with putty.</w:t>
            </w:r>
          </w:p>
        </w:tc>
      </w:tr>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Centrifuge in a microhematocrit centrifuge for 15 minutes.</w:t>
            </w:r>
          </w:p>
        </w:tc>
      </w:tr>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Cut the top 2-5 mm and the bottom 2-5 mm from each of the 4 capillary tubes to obtain the top RR and bottom RP cell populations.</w:t>
            </w:r>
          </w:p>
        </w:tc>
      </w:tr>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Flush the red cells from the tube segments into appropriately labelled 10x75 mm test tubes using a saline filled syringe and 23-gauge needle or a disposable Pasteur pipette.</w:t>
            </w:r>
          </w:p>
        </w:tc>
      </w:tr>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Wash the RR and RP twice with 0.9% saline and resuspend to 3% in 0.9% saline.</w:t>
            </w:r>
          </w:p>
        </w:tc>
      </w:tr>
      <w:tr w:rsidR="00154C21" w:rsidRPr="000D117E" w:rsidTr="000D117E">
        <w:tc>
          <w:tcPr>
            <w:tcW w:w="8748" w:type="dxa"/>
            <w:shd w:val="clear" w:color="auto" w:fill="auto"/>
          </w:tcPr>
          <w:p w:rsidR="00154C21" w:rsidRPr="000D117E" w:rsidRDefault="00154C21" w:rsidP="000D117E">
            <w:pPr>
              <w:numPr>
                <w:ilvl w:val="1"/>
                <w:numId w:val="1"/>
              </w:numPr>
              <w:tabs>
                <w:tab w:val="clear" w:pos="1440"/>
                <w:tab w:val="num" w:pos="743"/>
              </w:tabs>
              <w:suppressAutoHyphens/>
              <w:spacing w:line="228" w:lineRule="auto"/>
              <w:ind w:left="743"/>
              <w:rPr>
                <w:rFonts w:ascii="Arial" w:hAnsi="Arial"/>
                <w:spacing w:val="-2"/>
                <w:sz w:val="24"/>
                <w:lang w:val="en-GB"/>
              </w:rPr>
            </w:pPr>
            <w:r w:rsidRPr="000D117E">
              <w:rPr>
                <w:rFonts w:ascii="Arial" w:hAnsi="Arial"/>
                <w:spacing w:val="-2"/>
                <w:sz w:val="24"/>
                <w:lang w:val="en-GB"/>
              </w:rPr>
              <w:t>Test the RR, RP and unseparated red cells in parallel for comparison of DAT and red cell phenotypes. Careful observation of the RR cells for mixed field agglutination is necessary to ensure that the cell separation was effective in isolating autologous red cells.</w:t>
            </w:r>
          </w:p>
        </w:tc>
      </w:tr>
    </w:tbl>
    <w:p w:rsidR="009E28B4" w:rsidRDefault="009E28B4">
      <w:pPr>
        <w:suppressAutoHyphens/>
        <w:spacing w:line="228" w:lineRule="auto"/>
        <w:rPr>
          <w:spacing w:val="-2"/>
          <w:lang w:val="en-GB"/>
        </w:rPr>
      </w:pPr>
    </w:p>
    <w:p w:rsidR="009E28B4" w:rsidRDefault="009E28B4">
      <w:pPr>
        <w:numPr>
          <w:ilvl w:val="0"/>
          <w:numId w:val="1"/>
        </w:numPr>
        <w:spacing w:line="228" w:lineRule="auto"/>
        <w:rPr>
          <w:rFonts w:ascii="Arial" w:hAnsi="Arial"/>
          <w:b/>
          <w:sz w:val="28"/>
        </w:rPr>
      </w:pPr>
      <w:r>
        <w:rPr>
          <w:rFonts w:ascii="Arial" w:hAnsi="Arial"/>
          <w:b/>
          <w:sz w:val="28"/>
        </w:rPr>
        <w:t>Reporting – N/A</w:t>
      </w:r>
    </w:p>
    <w:p w:rsidR="00154C21" w:rsidRDefault="00154C21">
      <w:pPr>
        <w:spacing w:line="228" w:lineRule="auto"/>
        <w:ind w:left="720"/>
        <w:rPr>
          <w:rFonts w:ascii="Arial" w:hAnsi="Arial"/>
          <w:sz w:val="24"/>
        </w:rPr>
      </w:pPr>
    </w:p>
    <w:p w:rsidR="00154C21" w:rsidRDefault="00154C21">
      <w:pPr>
        <w:spacing w:line="228" w:lineRule="auto"/>
        <w:ind w:left="720"/>
        <w:rPr>
          <w:rFonts w:ascii="Arial" w:hAnsi="Arial"/>
          <w:sz w:val="24"/>
        </w:rPr>
      </w:pPr>
    </w:p>
    <w:p w:rsidR="00154C21" w:rsidRDefault="00154C21">
      <w:pPr>
        <w:spacing w:line="228" w:lineRule="auto"/>
        <w:ind w:left="720"/>
        <w:rPr>
          <w:rFonts w:ascii="Arial" w:hAnsi="Arial"/>
          <w:sz w:val="24"/>
        </w:rPr>
      </w:pPr>
    </w:p>
    <w:p w:rsidR="00154C21" w:rsidRDefault="00154C21">
      <w:pPr>
        <w:spacing w:line="228" w:lineRule="auto"/>
        <w:ind w:left="720"/>
        <w:rPr>
          <w:rFonts w:ascii="Arial" w:hAnsi="Arial"/>
          <w:sz w:val="24"/>
        </w:rPr>
      </w:pPr>
    </w:p>
    <w:p w:rsidR="009E28B4" w:rsidRDefault="009E28B4">
      <w:pPr>
        <w:numPr>
          <w:ilvl w:val="0"/>
          <w:numId w:val="1"/>
        </w:numPr>
        <w:spacing w:line="228" w:lineRule="auto"/>
        <w:rPr>
          <w:rFonts w:ascii="Arial" w:hAnsi="Arial"/>
          <w:b/>
          <w:sz w:val="28"/>
        </w:rPr>
      </w:pPr>
      <w:r>
        <w:rPr>
          <w:rFonts w:ascii="Arial" w:hAnsi="Arial"/>
          <w:b/>
          <w:sz w:val="28"/>
        </w:rPr>
        <w:t>Procedural Notes</w:t>
      </w:r>
    </w:p>
    <w:p w:rsidR="00154C21" w:rsidRDefault="00154C21" w:rsidP="00154C21">
      <w:pPr>
        <w:spacing w:line="228" w:lineRule="auto"/>
        <w:ind w:left="720"/>
        <w:rPr>
          <w:rFonts w:ascii="Arial" w:hAnsi="Arial"/>
          <w:b/>
          <w:sz w:val="28"/>
        </w:rPr>
      </w:pPr>
    </w:p>
    <w:p w:rsidR="00154C21" w:rsidRDefault="009E28B4" w:rsidP="00C1688D">
      <w:pPr>
        <w:numPr>
          <w:ilvl w:val="1"/>
          <w:numId w:val="1"/>
        </w:numPr>
        <w:suppressAutoHyphens/>
        <w:spacing w:line="228" w:lineRule="auto"/>
        <w:ind w:left="1418" w:hanging="709"/>
        <w:rPr>
          <w:rFonts w:ascii="Arial" w:hAnsi="Arial"/>
          <w:spacing w:val="-2"/>
          <w:sz w:val="24"/>
          <w:lang w:val="en-GB"/>
        </w:rPr>
      </w:pPr>
      <w:r>
        <w:rPr>
          <w:rFonts w:ascii="Arial" w:hAnsi="Arial"/>
          <w:spacing w:val="-2"/>
          <w:sz w:val="24"/>
          <w:lang w:val="en-GB"/>
        </w:rPr>
        <w:t>Separation is better when blood samples are obtained 3 or more days after transfusion so that substantial numbers of reticulocytes have time to accumulate.</w:t>
      </w:r>
    </w:p>
    <w:p w:rsidR="00154C21" w:rsidRDefault="00154C21" w:rsidP="00154C21">
      <w:pPr>
        <w:suppressAutoHyphens/>
        <w:spacing w:line="228" w:lineRule="auto"/>
        <w:ind w:left="1418"/>
        <w:rPr>
          <w:rFonts w:ascii="Arial" w:hAnsi="Arial"/>
          <w:spacing w:val="-2"/>
          <w:sz w:val="24"/>
          <w:lang w:val="en-GB"/>
        </w:rPr>
      </w:pPr>
    </w:p>
    <w:p w:rsidR="009E28B4" w:rsidRPr="00154C21" w:rsidRDefault="008B12CC" w:rsidP="00C1688D">
      <w:pPr>
        <w:numPr>
          <w:ilvl w:val="1"/>
          <w:numId w:val="1"/>
        </w:numPr>
        <w:suppressAutoHyphens/>
        <w:spacing w:line="228" w:lineRule="auto"/>
        <w:ind w:left="1418" w:hanging="709"/>
        <w:rPr>
          <w:rFonts w:ascii="Arial" w:hAnsi="Arial"/>
          <w:spacing w:val="-2"/>
          <w:sz w:val="24"/>
          <w:lang w:val="en-GB"/>
        </w:rPr>
      </w:pPr>
      <w:r>
        <w:rPr>
          <w:rFonts w:ascii="Arial" w:hAnsi="Arial"/>
          <w:spacing w:val="-2"/>
          <w:sz w:val="24"/>
          <w:lang w:val="en-GB"/>
        </w:rPr>
        <w:t>T</w:t>
      </w:r>
      <w:r w:rsidR="009E28B4" w:rsidRPr="00154C21">
        <w:rPr>
          <w:rFonts w:ascii="Arial" w:hAnsi="Arial"/>
          <w:spacing w:val="-2"/>
          <w:sz w:val="24"/>
          <w:lang w:val="en-GB"/>
        </w:rPr>
        <w:t xml:space="preserve">he packed red cells should be mixed continuously </w:t>
      </w:r>
      <w:r w:rsidR="00015E4C" w:rsidRPr="00154C21">
        <w:rPr>
          <w:rFonts w:ascii="Arial" w:hAnsi="Arial"/>
          <w:spacing w:val="-2"/>
          <w:sz w:val="24"/>
          <w:lang w:val="en-GB"/>
        </w:rPr>
        <w:t>just prior to</w:t>
      </w:r>
      <w:r w:rsidR="009E28B4" w:rsidRPr="00154C21">
        <w:rPr>
          <w:rFonts w:ascii="Arial" w:hAnsi="Arial"/>
          <w:spacing w:val="-2"/>
          <w:sz w:val="24"/>
          <w:lang w:val="en-GB"/>
        </w:rPr>
        <w:t xml:space="preserve"> filling of the microhematocrit tubes.</w:t>
      </w:r>
    </w:p>
    <w:p w:rsidR="009E28B4" w:rsidRDefault="009E28B4">
      <w:pPr>
        <w:spacing w:line="228" w:lineRule="auto"/>
        <w:rPr>
          <w:rFonts w:ascii="Arial" w:hAnsi="Arial"/>
          <w:sz w:val="24"/>
        </w:rPr>
      </w:pPr>
    </w:p>
    <w:p w:rsidR="009E28B4" w:rsidRDefault="009E28B4">
      <w:pPr>
        <w:numPr>
          <w:ilvl w:val="0"/>
          <w:numId w:val="1"/>
        </w:numPr>
        <w:spacing w:line="228" w:lineRule="auto"/>
        <w:rPr>
          <w:rFonts w:ascii="Arial" w:hAnsi="Arial"/>
          <w:b/>
          <w:sz w:val="28"/>
        </w:rPr>
      </w:pPr>
      <w:r>
        <w:rPr>
          <w:rFonts w:ascii="Arial" w:hAnsi="Arial"/>
          <w:b/>
          <w:sz w:val="28"/>
        </w:rPr>
        <w:t>References</w:t>
      </w:r>
    </w:p>
    <w:p w:rsidR="009E28B4" w:rsidRDefault="009E28B4">
      <w:pPr>
        <w:spacing w:line="228" w:lineRule="auto"/>
        <w:rPr>
          <w:rFonts w:ascii="Arial" w:hAnsi="Arial"/>
          <w:sz w:val="28"/>
        </w:rPr>
      </w:pPr>
    </w:p>
    <w:p w:rsidR="00147C24" w:rsidRDefault="00147C24" w:rsidP="00C1688D">
      <w:pPr>
        <w:numPr>
          <w:ilvl w:val="1"/>
          <w:numId w:val="1"/>
        </w:numPr>
        <w:suppressAutoHyphens/>
        <w:ind w:hanging="731"/>
        <w:rPr>
          <w:rFonts w:ascii="Arial" w:hAnsi="Arial"/>
          <w:spacing w:val="-2"/>
          <w:sz w:val="24"/>
          <w:lang w:val="en-GB"/>
        </w:rPr>
      </w:pPr>
      <w:r w:rsidRPr="003A3C43">
        <w:rPr>
          <w:rFonts w:ascii="Arial" w:hAnsi="Arial"/>
          <w:spacing w:val="-2"/>
          <w:sz w:val="24"/>
          <w:lang w:val="en-GB"/>
        </w:rPr>
        <w:t xml:space="preserve">Judd, WJ ed. Judd’s Methods in Immunohematology, 3rd ed,   </w:t>
      </w:r>
      <w:smartTag w:uri="urn:schemas-microsoft-com:office:smarttags" w:element="place">
        <w:smartTag w:uri="urn:schemas-microsoft-com:office:smarttags" w:element="City">
          <w:r w:rsidRPr="003A3C43">
            <w:rPr>
              <w:rFonts w:ascii="Arial" w:hAnsi="Arial"/>
              <w:spacing w:val="-2"/>
              <w:sz w:val="24"/>
              <w:lang w:val="en-GB"/>
            </w:rPr>
            <w:t>Bethesda</w:t>
          </w:r>
        </w:smartTag>
        <w:r w:rsidRPr="003A3C43">
          <w:rPr>
            <w:rFonts w:ascii="Arial" w:hAnsi="Arial"/>
            <w:spacing w:val="-2"/>
            <w:sz w:val="24"/>
            <w:lang w:val="en-GB"/>
          </w:rPr>
          <w:t xml:space="preserve">, </w:t>
        </w:r>
        <w:smartTag w:uri="urn:schemas-microsoft-com:office:smarttags" w:element="State">
          <w:r w:rsidRPr="003A3C43">
            <w:rPr>
              <w:rFonts w:ascii="Arial" w:hAnsi="Arial"/>
              <w:spacing w:val="-2"/>
              <w:sz w:val="24"/>
              <w:lang w:val="en-GB"/>
            </w:rPr>
            <w:t>MD</w:t>
          </w:r>
        </w:smartTag>
      </w:smartTag>
      <w:r>
        <w:rPr>
          <w:rFonts w:ascii="Arial" w:hAnsi="Arial"/>
          <w:spacing w:val="-2"/>
          <w:sz w:val="24"/>
          <w:lang w:val="en-GB"/>
        </w:rPr>
        <w:t>: pg. 174-176.</w:t>
      </w:r>
    </w:p>
    <w:p w:rsidR="008B12CC" w:rsidRDefault="008B12CC" w:rsidP="008B12CC">
      <w:pPr>
        <w:suppressAutoHyphens/>
        <w:ind w:left="1440"/>
        <w:rPr>
          <w:rFonts w:ascii="Arial" w:hAnsi="Arial"/>
          <w:spacing w:val="-2"/>
          <w:sz w:val="24"/>
          <w:lang w:val="en-GB"/>
        </w:rPr>
      </w:pPr>
    </w:p>
    <w:p w:rsidR="008B12CC" w:rsidRPr="008B12CC" w:rsidRDefault="008B12CC" w:rsidP="008B12CC">
      <w:pPr>
        <w:numPr>
          <w:ilvl w:val="0"/>
          <w:numId w:val="1"/>
        </w:numPr>
        <w:suppressAutoHyphens/>
        <w:rPr>
          <w:rFonts w:ascii="Arial" w:hAnsi="Arial"/>
          <w:b/>
          <w:spacing w:val="-2"/>
          <w:sz w:val="28"/>
          <w:lang w:val="en-GB"/>
        </w:rPr>
      </w:pPr>
      <w:r w:rsidRPr="008B12CC">
        <w:rPr>
          <w:rFonts w:ascii="Arial" w:hAnsi="Arial"/>
          <w:b/>
          <w:spacing w:val="-2"/>
          <w:sz w:val="28"/>
          <w:lang w:val="en-GB"/>
        </w:rPr>
        <w:t>Revision History</w:t>
      </w:r>
    </w:p>
    <w:p w:rsidR="00147C24" w:rsidRDefault="00147C24" w:rsidP="00147C24">
      <w:pPr>
        <w:suppressAutoHyphens/>
        <w:rPr>
          <w:rFonts w:ascii="Arial" w:hAnsi="Arial"/>
          <w:spacing w:val="-2"/>
          <w:sz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062"/>
      </w:tblGrid>
      <w:tr w:rsidR="008B12CC" w:rsidRPr="000D117E" w:rsidTr="000D26E0">
        <w:tc>
          <w:tcPr>
            <w:tcW w:w="3074" w:type="dxa"/>
            <w:shd w:val="clear" w:color="auto" w:fill="BFBFBF"/>
          </w:tcPr>
          <w:p w:rsidR="008B12CC" w:rsidRPr="000D117E" w:rsidRDefault="008B12CC" w:rsidP="000D117E">
            <w:pPr>
              <w:spacing w:line="228" w:lineRule="auto"/>
              <w:jc w:val="center"/>
              <w:rPr>
                <w:rFonts w:ascii="Arial" w:hAnsi="Arial"/>
                <w:b/>
                <w:sz w:val="22"/>
                <w:szCs w:val="22"/>
                <w:lang w:val="en-GB"/>
              </w:rPr>
            </w:pPr>
            <w:r w:rsidRPr="000D117E">
              <w:rPr>
                <w:rFonts w:ascii="Arial" w:hAnsi="Arial"/>
                <w:b/>
                <w:sz w:val="22"/>
                <w:szCs w:val="22"/>
                <w:lang w:val="en-GB"/>
              </w:rPr>
              <w:t>Revision Date</w:t>
            </w:r>
          </w:p>
        </w:tc>
        <w:tc>
          <w:tcPr>
            <w:tcW w:w="5062" w:type="dxa"/>
            <w:shd w:val="clear" w:color="auto" w:fill="BFBFBF"/>
          </w:tcPr>
          <w:p w:rsidR="008B12CC" w:rsidRPr="000D117E" w:rsidRDefault="008B12CC" w:rsidP="000D117E">
            <w:pPr>
              <w:spacing w:line="228" w:lineRule="auto"/>
              <w:jc w:val="center"/>
              <w:rPr>
                <w:rFonts w:ascii="Arial" w:hAnsi="Arial"/>
                <w:b/>
                <w:sz w:val="22"/>
                <w:szCs w:val="22"/>
                <w:lang w:val="en-GB"/>
              </w:rPr>
            </w:pPr>
            <w:r w:rsidRPr="000D117E">
              <w:rPr>
                <w:rFonts w:ascii="Arial" w:hAnsi="Arial"/>
                <w:b/>
                <w:sz w:val="22"/>
                <w:szCs w:val="22"/>
                <w:lang w:val="en-GB"/>
              </w:rPr>
              <w:t>Summary of Revision</w:t>
            </w:r>
          </w:p>
        </w:tc>
      </w:tr>
      <w:tr w:rsidR="008B12CC" w:rsidRPr="000D117E" w:rsidTr="000D26E0">
        <w:tc>
          <w:tcPr>
            <w:tcW w:w="3074" w:type="dxa"/>
            <w:shd w:val="clear" w:color="auto" w:fill="auto"/>
          </w:tcPr>
          <w:p w:rsidR="008B12CC" w:rsidRPr="000D117E" w:rsidRDefault="008B12CC" w:rsidP="000D117E">
            <w:pPr>
              <w:spacing w:line="228" w:lineRule="auto"/>
              <w:rPr>
                <w:rFonts w:ascii="Arial" w:hAnsi="Arial"/>
                <w:sz w:val="22"/>
                <w:szCs w:val="22"/>
                <w:lang w:val="en-GB"/>
              </w:rPr>
            </w:pPr>
            <w:r w:rsidRPr="000D117E">
              <w:rPr>
                <w:rFonts w:ascii="Arial" w:hAnsi="Arial"/>
                <w:sz w:val="22"/>
                <w:szCs w:val="22"/>
                <w:lang w:val="en-GB"/>
              </w:rPr>
              <w:t>September 1, 2014</w:t>
            </w:r>
          </w:p>
        </w:tc>
        <w:tc>
          <w:tcPr>
            <w:tcW w:w="5062" w:type="dxa"/>
            <w:shd w:val="clear" w:color="auto" w:fill="auto"/>
          </w:tcPr>
          <w:p w:rsidR="008B12CC" w:rsidRPr="000D117E" w:rsidRDefault="008B12CC" w:rsidP="000D117E">
            <w:pPr>
              <w:numPr>
                <w:ilvl w:val="0"/>
                <w:numId w:val="17"/>
              </w:numPr>
              <w:spacing w:line="228" w:lineRule="auto"/>
              <w:rPr>
                <w:rFonts w:ascii="Arial" w:hAnsi="Arial"/>
                <w:sz w:val="22"/>
                <w:szCs w:val="22"/>
                <w:lang w:val="en-GB"/>
              </w:rPr>
            </w:pPr>
            <w:r w:rsidRPr="000D117E">
              <w:rPr>
                <w:rFonts w:ascii="Arial" w:hAnsi="Arial"/>
                <w:sz w:val="22"/>
                <w:szCs w:val="22"/>
                <w:lang w:val="en-GB"/>
              </w:rPr>
              <w:t>Revised name of manual</w:t>
            </w:r>
          </w:p>
          <w:p w:rsidR="008B12CC" w:rsidRPr="000D117E" w:rsidRDefault="008B12CC" w:rsidP="000D117E">
            <w:pPr>
              <w:numPr>
                <w:ilvl w:val="0"/>
                <w:numId w:val="17"/>
              </w:numPr>
              <w:spacing w:line="228" w:lineRule="auto"/>
              <w:rPr>
                <w:rFonts w:ascii="Arial" w:hAnsi="Arial"/>
                <w:sz w:val="22"/>
                <w:szCs w:val="22"/>
                <w:lang w:val="en-GB"/>
              </w:rPr>
            </w:pPr>
            <w:r w:rsidRPr="000D117E">
              <w:rPr>
                <w:rFonts w:ascii="Arial" w:hAnsi="Arial"/>
                <w:sz w:val="22"/>
                <w:szCs w:val="22"/>
                <w:lang w:val="en-GB"/>
              </w:rPr>
              <w:t>Revised wording of section 1.0</w:t>
            </w:r>
          </w:p>
          <w:p w:rsidR="008B12CC" w:rsidRPr="000D117E" w:rsidRDefault="008B12CC" w:rsidP="000D117E">
            <w:pPr>
              <w:numPr>
                <w:ilvl w:val="0"/>
                <w:numId w:val="17"/>
              </w:numPr>
              <w:spacing w:line="228" w:lineRule="auto"/>
              <w:rPr>
                <w:rFonts w:ascii="Arial" w:hAnsi="Arial"/>
                <w:sz w:val="22"/>
                <w:szCs w:val="22"/>
                <w:lang w:val="en-GB"/>
              </w:rPr>
            </w:pPr>
            <w:r w:rsidRPr="000D117E">
              <w:rPr>
                <w:rFonts w:ascii="Arial" w:hAnsi="Arial"/>
                <w:sz w:val="22"/>
                <w:szCs w:val="22"/>
                <w:lang w:val="en-GB"/>
              </w:rPr>
              <w:t>Revised wording and renumbered section 2.0</w:t>
            </w:r>
          </w:p>
          <w:p w:rsidR="008B12CC" w:rsidRPr="000D117E" w:rsidRDefault="008B12CC" w:rsidP="000D117E">
            <w:pPr>
              <w:numPr>
                <w:ilvl w:val="0"/>
                <w:numId w:val="17"/>
              </w:numPr>
              <w:spacing w:line="228" w:lineRule="auto"/>
              <w:rPr>
                <w:rFonts w:ascii="Arial" w:hAnsi="Arial"/>
                <w:sz w:val="22"/>
                <w:szCs w:val="22"/>
                <w:lang w:val="en-GB"/>
              </w:rPr>
            </w:pPr>
            <w:r w:rsidRPr="000D117E">
              <w:rPr>
                <w:rFonts w:ascii="Arial" w:hAnsi="Arial"/>
                <w:sz w:val="22"/>
                <w:szCs w:val="22"/>
                <w:lang w:val="en-GB"/>
              </w:rPr>
              <w:t>Replaced “red cells” with “whole blood” in section 3.0</w:t>
            </w:r>
          </w:p>
          <w:p w:rsidR="008B12CC" w:rsidRPr="000D117E" w:rsidRDefault="008B12CC" w:rsidP="000D117E">
            <w:pPr>
              <w:numPr>
                <w:ilvl w:val="0"/>
                <w:numId w:val="17"/>
              </w:numPr>
              <w:spacing w:line="228" w:lineRule="auto"/>
              <w:rPr>
                <w:rFonts w:ascii="Arial" w:hAnsi="Arial"/>
                <w:sz w:val="22"/>
                <w:szCs w:val="22"/>
                <w:lang w:val="en-GB"/>
              </w:rPr>
            </w:pPr>
            <w:r w:rsidRPr="000D117E">
              <w:rPr>
                <w:rFonts w:ascii="Arial" w:hAnsi="Arial"/>
                <w:sz w:val="22"/>
                <w:szCs w:val="22"/>
                <w:lang w:val="en-GB"/>
              </w:rPr>
              <w:t xml:space="preserve">Added “metal file (to cut glass capillary tubes)” to section 4.0- </w:t>
            </w:r>
            <w:r w:rsidRPr="000D117E">
              <w:rPr>
                <w:rFonts w:ascii="Arial" w:hAnsi="Arial"/>
                <w:i/>
                <w:sz w:val="22"/>
                <w:szCs w:val="22"/>
                <w:lang w:val="en-GB"/>
              </w:rPr>
              <w:t>Equipment</w:t>
            </w:r>
            <w:r w:rsidRPr="000D117E">
              <w:rPr>
                <w:rFonts w:ascii="Arial" w:hAnsi="Arial"/>
                <w:sz w:val="22"/>
                <w:szCs w:val="22"/>
                <w:lang w:val="en-GB"/>
              </w:rPr>
              <w:t>; Replaced “normal saline” with “0.9% saline” in section 4.0-</w:t>
            </w:r>
            <w:r w:rsidRPr="000D117E">
              <w:rPr>
                <w:rFonts w:ascii="Arial" w:hAnsi="Arial"/>
                <w:i/>
                <w:sz w:val="22"/>
                <w:szCs w:val="22"/>
                <w:lang w:val="en-GB"/>
              </w:rPr>
              <w:t>Reagents</w:t>
            </w:r>
          </w:p>
          <w:p w:rsidR="008B12CC" w:rsidRPr="000D117E" w:rsidRDefault="008B12CC" w:rsidP="000D117E">
            <w:pPr>
              <w:numPr>
                <w:ilvl w:val="0"/>
                <w:numId w:val="17"/>
              </w:numPr>
              <w:spacing w:line="228" w:lineRule="auto"/>
              <w:rPr>
                <w:rFonts w:ascii="Arial" w:hAnsi="Arial"/>
                <w:sz w:val="22"/>
                <w:szCs w:val="22"/>
                <w:lang w:val="en-GB"/>
              </w:rPr>
            </w:pPr>
            <w:r w:rsidRPr="000D117E">
              <w:rPr>
                <w:rFonts w:ascii="Arial" w:hAnsi="Arial"/>
                <w:sz w:val="22"/>
                <w:szCs w:val="22"/>
                <w:lang w:val="en-GB"/>
              </w:rPr>
              <w:t>Revised wording to include “10x75mm test tubes” in section 6.6</w:t>
            </w:r>
          </w:p>
        </w:tc>
      </w:tr>
    </w:tbl>
    <w:p w:rsidR="009E28B4" w:rsidRPr="008B12CC" w:rsidRDefault="009E28B4">
      <w:pPr>
        <w:spacing w:line="228" w:lineRule="auto"/>
        <w:ind w:left="720"/>
        <w:rPr>
          <w:rFonts w:ascii="Arial" w:hAnsi="Arial"/>
          <w:sz w:val="22"/>
          <w:szCs w:val="22"/>
          <w:lang w:val="en-GB"/>
        </w:rPr>
      </w:pPr>
    </w:p>
    <w:p w:rsidR="009E28B4" w:rsidRDefault="009E28B4">
      <w:pPr>
        <w:spacing w:line="228" w:lineRule="auto"/>
        <w:ind w:left="720"/>
        <w:rPr>
          <w:rFonts w:ascii="Arial" w:hAnsi="Arial"/>
          <w:sz w:val="24"/>
        </w:rPr>
      </w:pPr>
    </w:p>
    <w:p w:rsidR="009E28B4" w:rsidRDefault="009E28B4">
      <w:pPr>
        <w:spacing w:line="228" w:lineRule="auto"/>
      </w:pPr>
    </w:p>
    <w:sectPr w:rsidR="009E28B4">
      <w:headerReference w:type="default" r:id="rId7"/>
      <w:footerReference w:type="default" r:id="rId8"/>
      <w:headerReference w:type="first" r:id="rId9"/>
      <w:footerReference w:type="first" r:id="rId10"/>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016" w:rsidRDefault="00B51016">
      <w:r>
        <w:separator/>
      </w:r>
    </w:p>
  </w:endnote>
  <w:endnote w:type="continuationSeparator" w:id="0">
    <w:p w:rsidR="00B51016" w:rsidRDefault="00B5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28" w:type="dxa"/>
      <w:tblBorders>
        <w:top w:val="single" w:sz="4" w:space="0" w:color="auto"/>
      </w:tblBorders>
      <w:tblLayout w:type="fixed"/>
      <w:tblLook w:val="0000" w:firstRow="0" w:lastRow="0" w:firstColumn="0" w:lastColumn="0" w:noHBand="0" w:noVBand="0"/>
    </w:tblPr>
    <w:tblGrid>
      <w:gridCol w:w="1368"/>
      <w:gridCol w:w="5976"/>
      <w:gridCol w:w="1584"/>
    </w:tblGrid>
    <w:tr w:rsidR="0028486F">
      <w:trPr>
        <w:trHeight w:val="720"/>
      </w:trPr>
      <w:tc>
        <w:tcPr>
          <w:tcW w:w="1368" w:type="dxa"/>
        </w:tcPr>
        <w:p w:rsidR="0028486F" w:rsidRDefault="0028486F">
          <w:pPr>
            <w:pStyle w:val="Footer"/>
            <w:jc w:val="center"/>
            <w:rPr>
              <w:sz w:val="8"/>
            </w:rPr>
          </w:pPr>
        </w:p>
        <w:p w:rsidR="0028486F" w:rsidRDefault="005D2DD4">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28486F" w:rsidRDefault="0028486F">
          <w:pPr>
            <w:pStyle w:val="Footer"/>
            <w:jc w:val="center"/>
            <w:rPr>
              <w:rFonts w:ascii="Arial" w:hAnsi="Arial"/>
              <w:sz w:val="18"/>
            </w:rPr>
          </w:pPr>
        </w:p>
        <w:p w:rsidR="0028486F" w:rsidRDefault="0028486F" w:rsidP="00136BEF">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 </w:t>
          </w:r>
        </w:p>
        <w:p w:rsidR="0028486F" w:rsidRDefault="00015E4C">
          <w:pPr>
            <w:pStyle w:val="Footer"/>
            <w:jc w:val="center"/>
            <w:rPr>
              <w:rFonts w:ascii="Arial" w:hAnsi="Arial"/>
              <w:sz w:val="18"/>
            </w:rPr>
          </w:pPr>
          <w:r>
            <w:rPr>
              <w:rFonts w:ascii="Arial" w:hAnsi="Arial"/>
              <w:sz w:val="18"/>
            </w:rPr>
            <w:t>Transfusion Technical Resource</w:t>
          </w:r>
          <w:r w:rsidR="0028486F">
            <w:rPr>
              <w:rFonts w:ascii="Arial" w:hAnsi="Arial"/>
              <w:sz w:val="18"/>
            </w:rPr>
            <w:t xml:space="preserve"> Manual</w:t>
          </w:r>
        </w:p>
        <w:p w:rsidR="0028486F" w:rsidRDefault="0028486F">
          <w:pPr>
            <w:pStyle w:val="Footer"/>
            <w:jc w:val="center"/>
            <w:rPr>
              <w:rFonts w:ascii="Arial" w:hAnsi="Arial"/>
              <w:sz w:val="18"/>
            </w:rPr>
          </w:pPr>
        </w:p>
        <w:p w:rsidR="0028486F" w:rsidRDefault="0028486F">
          <w:pPr>
            <w:pStyle w:val="Footer"/>
            <w:rPr>
              <w:rFonts w:ascii="Arial" w:hAnsi="Arial"/>
              <w:sz w:val="18"/>
            </w:rPr>
          </w:pPr>
        </w:p>
      </w:tc>
      <w:tc>
        <w:tcPr>
          <w:tcW w:w="1584" w:type="dxa"/>
        </w:tcPr>
        <w:p w:rsidR="0028486F" w:rsidRDefault="0028486F">
          <w:pPr>
            <w:pStyle w:val="Footer"/>
            <w:jc w:val="right"/>
            <w:rPr>
              <w:rFonts w:ascii="Arial" w:hAnsi="Arial"/>
              <w:sz w:val="18"/>
            </w:rPr>
          </w:pPr>
        </w:p>
        <w:p w:rsidR="0028486F" w:rsidRDefault="0028486F">
          <w:pPr>
            <w:pStyle w:val="Footer"/>
            <w:jc w:val="right"/>
            <w:rPr>
              <w:rFonts w:ascii="Arial" w:hAnsi="Arial"/>
              <w:sz w:val="18"/>
            </w:rPr>
          </w:pPr>
          <w:r>
            <w:rPr>
              <w:rFonts w:ascii="Arial" w:hAnsi="Arial"/>
              <w:sz w:val="18"/>
            </w:rPr>
            <w:t xml:space="preserve">SP.026 </w:t>
          </w:r>
          <w:r>
            <w:rPr>
              <w:rFonts w:ascii="Arial" w:hAnsi="Arial"/>
              <w:sz w:val="18"/>
            </w:rPr>
            <w:br/>
          </w:r>
        </w:p>
        <w:p w:rsidR="0028486F" w:rsidRDefault="0028486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92CB7">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92CB7">
            <w:rPr>
              <w:rFonts w:ascii="Arial" w:hAnsi="Arial"/>
              <w:noProof/>
              <w:snapToGrid w:val="0"/>
              <w:sz w:val="18"/>
            </w:rPr>
            <w:t>3</w:t>
          </w:r>
          <w:r>
            <w:rPr>
              <w:rFonts w:ascii="Arial" w:hAnsi="Arial"/>
              <w:snapToGrid w:val="0"/>
              <w:sz w:val="18"/>
            </w:rPr>
            <w:fldChar w:fldCharType="end"/>
          </w:r>
        </w:p>
      </w:tc>
    </w:tr>
  </w:tbl>
  <w:p w:rsidR="0028486F" w:rsidRDefault="0028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28" w:type="dxa"/>
      <w:tblBorders>
        <w:top w:val="single" w:sz="4" w:space="0" w:color="auto"/>
      </w:tblBorders>
      <w:tblLayout w:type="fixed"/>
      <w:tblLook w:val="0000" w:firstRow="0" w:lastRow="0" w:firstColumn="0" w:lastColumn="0" w:noHBand="0" w:noVBand="0"/>
    </w:tblPr>
    <w:tblGrid>
      <w:gridCol w:w="1368"/>
      <w:gridCol w:w="5976"/>
      <w:gridCol w:w="1584"/>
    </w:tblGrid>
    <w:tr w:rsidR="0028486F">
      <w:trPr>
        <w:trHeight w:val="720"/>
      </w:trPr>
      <w:tc>
        <w:tcPr>
          <w:tcW w:w="1368" w:type="dxa"/>
        </w:tcPr>
        <w:p w:rsidR="0028486F" w:rsidRDefault="0028486F">
          <w:pPr>
            <w:pStyle w:val="Footer"/>
            <w:jc w:val="center"/>
            <w:rPr>
              <w:rFonts w:ascii="Verdana" w:hAnsi="Verdana"/>
              <w:sz w:val="8"/>
            </w:rPr>
          </w:pPr>
        </w:p>
        <w:p w:rsidR="0028486F" w:rsidRDefault="005D2DD4">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28486F" w:rsidRDefault="0028486F">
          <w:pPr>
            <w:pStyle w:val="Footer"/>
            <w:jc w:val="center"/>
            <w:rPr>
              <w:rFonts w:ascii="Arial" w:hAnsi="Arial"/>
              <w:sz w:val="18"/>
            </w:rPr>
          </w:pPr>
        </w:p>
        <w:p w:rsidR="0028486F" w:rsidRDefault="0028486F" w:rsidP="00136BEF">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28486F" w:rsidRDefault="00154C21">
          <w:pPr>
            <w:pStyle w:val="Footer"/>
            <w:jc w:val="center"/>
            <w:rPr>
              <w:rFonts w:ascii="Arial" w:hAnsi="Arial"/>
              <w:sz w:val="18"/>
            </w:rPr>
          </w:pPr>
          <w:r>
            <w:rPr>
              <w:rFonts w:ascii="Arial" w:hAnsi="Arial"/>
              <w:sz w:val="18"/>
            </w:rPr>
            <w:t>Transfusion Technical Resource Manual</w:t>
          </w:r>
        </w:p>
        <w:p w:rsidR="0028486F" w:rsidRDefault="0028486F">
          <w:pPr>
            <w:pStyle w:val="Footer"/>
            <w:jc w:val="center"/>
            <w:rPr>
              <w:rFonts w:ascii="Arial" w:hAnsi="Arial"/>
              <w:sz w:val="18"/>
            </w:rPr>
          </w:pPr>
        </w:p>
        <w:p w:rsidR="0028486F" w:rsidRDefault="0028486F">
          <w:pPr>
            <w:pStyle w:val="Footer"/>
            <w:rPr>
              <w:rFonts w:ascii="Arial" w:hAnsi="Arial"/>
              <w:sz w:val="18"/>
            </w:rPr>
          </w:pPr>
        </w:p>
      </w:tc>
      <w:tc>
        <w:tcPr>
          <w:tcW w:w="1584" w:type="dxa"/>
        </w:tcPr>
        <w:p w:rsidR="0028486F" w:rsidRDefault="0028486F">
          <w:pPr>
            <w:pStyle w:val="Footer"/>
            <w:jc w:val="right"/>
            <w:rPr>
              <w:rFonts w:ascii="Arial" w:hAnsi="Arial"/>
              <w:sz w:val="18"/>
            </w:rPr>
          </w:pPr>
        </w:p>
        <w:p w:rsidR="0028486F" w:rsidRDefault="0028486F">
          <w:pPr>
            <w:pStyle w:val="Footer"/>
            <w:jc w:val="right"/>
            <w:rPr>
              <w:rFonts w:ascii="Arial" w:hAnsi="Arial"/>
              <w:sz w:val="18"/>
            </w:rPr>
          </w:pPr>
          <w:r>
            <w:rPr>
              <w:rFonts w:ascii="Arial" w:hAnsi="Arial"/>
              <w:sz w:val="18"/>
            </w:rPr>
            <w:t xml:space="preserve">SP.026 </w:t>
          </w:r>
          <w:r>
            <w:rPr>
              <w:rFonts w:ascii="Arial" w:hAnsi="Arial"/>
              <w:sz w:val="18"/>
            </w:rPr>
            <w:br/>
          </w:r>
        </w:p>
        <w:p w:rsidR="0028486F" w:rsidRDefault="0028486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92CB7">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92CB7">
            <w:rPr>
              <w:rFonts w:ascii="Arial" w:hAnsi="Arial"/>
              <w:noProof/>
              <w:snapToGrid w:val="0"/>
              <w:sz w:val="18"/>
            </w:rPr>
            <w:t>1</w:t>
          </w:r>
          <w:r>
            <w:rPr>
              <w:rFonts w:ascii="Arial" w:hAnsi="Arial"/>
              <w:snapToGrid w:val="0"/>
              <w:sz w:val="18"/>
            </w:rPr>
            <w:fldChar w:fldCharType="end"/>
          </w:r>
        </w:p>
      </w:tc>
    </w:tr>
  </w:tbl>
  <w:p w:rsidR="0028486F" w:rsidRDefault="0028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016" w:rsidRDefault="00B51016">
      <w:r>
        <w:separator/>
      </w:r>
    </w:p>
  </w:footnote>
  <w:footnote w:type="continuationSeparator" w:id="0">
    <w:p w:rsidR="00B51016" w:rsidRDefault="00B5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6F" w:rsidRDefault="0028486F">
    <w:pPr>
      <w:pStyle w:val="Header"/>
      <w:jc w:val="center"/>
      <w:rPr>
        <w:rFonts w:ascii="Arial" w:hAnsi="Arial"/>
        <w:b/>
        <w:sz w:val="28"/>
      </w:rPr>
    </w:pPr>
    <w:r>
      <w:rPr>
        <w:rFonts w:ascii="Arial" w:hAnsi="Arial"/>
        <w:b/>
        <w:sz w:val="28"/>
      </w:rPr>
      <w:t>Cell Separation – Autologous Transfused</w:t>
    </w:r>
  </w:p>
  <w:p w:rsidR="0028486F" w:rsidRDefault="0028486F">
    <w:pPr>
      <w:pStyle w:val="Header"/>
      <w:jc w:val="center"/>
      <w:rPr>
        <w:rFonts w:ascii="Arial" w:hAnsi="Arial"/>
        <w:b/>
        <w:sz w:val="28"/>
      </w:rPr>
    </w:pPr>
    <w:r>
      <w:rPr>
        <w:rFonts w:ascii="Arial" w:hAnsi="Arial"/>
        <w:b/>
        <w:sz w:val="28"/>
      </w:rPr>
      <w:t>Micro-Hematocrit Centrifugation</w:t>
    </w:r>
  </w:p>
  <w:p w:rsidR="0028486F" w:rsidRDefault="0028486F">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6F" w:rsidRDefault="005D2DD4">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154C21" w:rsidRDefault="00154C21">
    <w:pPr>
      <w:pStyle w:val="Header"/>
      <w:rPr>
        <w:rFonts w:ascii="Arial" w:hAnsi="Arial" w:cs="Arial"/>
        <w:b/>
        <w:bCs/>
        <w:sz w:val="22"/>
      </w:rPr>
    </w:pPr>
  </w:p>
  <w:p w:rsidR="00154C21" w:rsidRDefault="00154C21" w:rsidP="00154C21">
    <w:pPr>
      <w:pStyle w:val="Header"/>
      <w:jc w:val="center"/>
      <w:rPr>
        <w:rFonts w:ascii="Arial" w:hAnsi="Arial" w:cs="Arial"/>
        <w:b/>
        <w:bCs/>
        <w:sz w:val="22"/>
      </w:rPr>
    </w:pPr>
    <w:r>
      <w:rPr>
        <w:rFonts w:ascii="Arial" w:hAnsi="Arial" w:cs="Arial"/>
        <w:b/>
        <w:bCs/>
        <w:sz w:val="22"/>
      </w:rPr>
      <w:t>Ontario Regional Blood Coordinating Network</w:t>
    </w:r>
  </w:p>
  <w:p w:rsidR="00154C21" w:rsidRDefault="00154C21" w:rsidP="00154C21">
    <w:pPr>
      <w:pStyle w:val="Header"/>
      <w:jc w:val="center"/>
      <w:rPr>
        <w:rFonts w:ascii="Arial" w:hAnsi="Arial" w:cs="Arial"/>
        <w:b/>
        <w:bCs/>
        <w:sz w:val="22"/>
      </w:rPr>
    </w:pPr>
    <w:r>
      <w:rPr>
        <w:rFonts w:ascii="Arial" w:hAnsi="Arial" w:cs="Arial"/>
        <w:b/>
        <w:bCs/>
        <w:sz w:val="22"/>
      </w:rPr>
      <w:t xml:space="preserve">Transfusion Technical Resource Manual </w:t>
    </w:r>
  </w:p>
  <w:p w:rsidR="00154C21" w:rsidRDefault="00154C21" w:rsidP="00154C21">
    <w:pPr>
      <w:pStyle w:val="Header"/>
      <w:jc w:val="center"/>
      <w:rPr>
        <w:rFonts w:ascii="Arial" w:hAnsi="Arial" w:cs="Arial"/>
        <w:b/>
        <w:bCs/>
        <w:sz w:val="22"/>
      </w:rPr>
    </w:pPr>
  </w:p>
  <w:p w:rsidR="0028486F" w:rsidRDefault="0028486F">
    <w:pPr>
      <w:pStyle w:val="Header"/>
      <w:jc w:val="center"/>
      <w:rPr>
        <w:rFonts w:ascii="Arial" w:hAnsi="Arial"/>
        <w:b/>
        <w:sz w:val="28"/>
      </w:rPr>
    </w:pPr>
    <w:r>
      <w:rPr>
        <w:rFonts w:ascii="Arial" w:hAnsi="Arial"/>
        <w:b/>
        <w:sz w:val="28"/>
      </w:rPr>
      <w:t>Cell Separation – Autologous Transfused</w:t>
    </w:r>
  </w:p>
  <w:p w:rsidR="0028486F" w:rsidRDefault="0028486F">
    <w:pPr>
      <w:pStyle w:val="Header"/>
      <w:jc w:val="center"/>
      <w:rPr>
        <w:rFonts w:ascii="Arial" w:hAnsi="Arial"/>
        <w:b/>
        <w:sz w:val="28"/>
      </w:rPr>
    </w:pPr>
    <w:r>
      <w:rPr>
        <w:rFonts w:ascii="Arial" w:hAnsi="Arial"/>
        <w:b/>
        <w:sz w:val="28"/>
      </w:rPr>
      <w:t>Micro-Hematocrit Centrifugation</w:t>
    </w:r>
  </w:p>
  <w:p w:rsidR="0028486F" w:rsidRDefault="0028486F">
    <w:pPr>
      <w:pStyle w:val="Header"/>
      <w:jc w:val="center"/>
      <w:rPr>
        <w:rFonts w:ascii="Arial" w:hAnsi="Arial"/>
        <w:b/>
        <w:sz w:val="28"/>
      </w:rPr>
    </w:pPr>
  </w:p>
  <w:p w:rsidR="0028486F" w:rsidRDefault="005D2DD4">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461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28486F">
      <w:tc>
        <w:tcPr>
          <w:tcW w:w="4428" w:type="dxa"/>
        </w:tcPr>
        <w:p w:rsidR="0028486F" w:rsidRDefault="0028486F">
          <w:pPr>
            <w:pStyle w:val="Header"/>
            <w:rPr>
              <w:rFonts w:ascii="Arial" w:hAnsi="Arial" w:cs="Arial"/>
            </w:rPr>
          </w:pPr>
          <w:r>
            <w:rPr>
              <w:rFonts w:ascii="Arial" w:hAnsi="Arial" w:cs="Arial"/>
            </w:rPr>
            <w:t xml:space="preserve">Approved By:  </w:t>
          </w:r>
        </w:p>
      </w:tc>
      <w:tc>
        <w:tcPr>
          <w:tcW w:w="4428" w:type="dxa"/>
        </w:tcPr>
        <w:p w:rsidR="0028486F" w:rsidRDefault="0028486F">
          <w:pPr>
            <w:pStyle w:val="Header"/>
            <w:rPr>
              <w:rFonts w:ascii="Arial" w:hAnsi="Arial" w:cs="Arial"/>
            </w:rPr>
          </w:pPr>
          <w:r>
            <w:rPr>
              <w:rFonts w:ascii="Arial" w:hAnsi="Arial" w:cs="Arial"/>
            </w:rPr>
            <w:t>Document No: SP.026</w:t>
          </w:r>
        </w:p>
      </w:tc>
    </w:tr>
    <w:tr w:rsidR="0028486F">
      <w:tc>
        <w:tcPr>
          <w:tcW w:w="4428" w:type="dxa"/>
        </w:tcPr>
        <w:p w:rsidR="0028486F" w:rsidRDefault="0028486F">
          <w:pPr>
            <w:pStyle w:val="Header"/>
            <w:rPr>
              <w:rFonts w:ascii="Arial" w:hAnsi="Arial" w:cs="Arial"/>
            </w:rPr>
          </w:pPr>
          <w:r>
            <w:rPr>
              <w:rFonts w:ascii="Arial" w:hAnsi="Arial" w:cs="Arial"/>
            </w:rPr>
            <w:t>Date Issued:  2004/04/05</w:t>
          </w:r>
        </w:p>
      </w:tc>
      <w:tc>
        <w:tcPr>
          <w:tcW w:w="4428" w:type="dxa"/>
        </w:tcPr>
        <w:p w:rsidR="0028486F" w:rsidRDefault="0028486F">
          <w:pPr>
            <w:pStyle w:val="Header"/>
            <w:rPr>
              <w:rFonts w:ascii="Arial" w:hAnsi="Arial" w:cs="Arial"/>
            </w:rPr>
          </w:pPr>
          <w:r>
            <w:rPr>
              <w:rFonts w:ascii="Arial" w:hAnsi="Arial" w:cs="Arial"/>
            </w:rPr>
            <w:t>Category:  Special Procedures</w:t>
          </w:r>
        </w:p>
      </w:tc>
    </w:tr>
    <w:tr w:rsidR="0028486F">
      <w:tc>
        <w:tcPr>
          <w:tcW w:w="4428" w:type="dxa"/>
        </w:tcPr>
        <w:p w:rsidR="0028486F" w:rsidRDefault="0028486F">
          <w:pPr>
            <w:pStyle w:val="Header"/>
            <w:rPr>
              <w:rFonts w:ascii="Arial" w:hAnsi="Arial" w:cs="Arial"/>
            </w:rPr>
          </w:pPr>
          <w:r>
            <w:rPr>
              <w:rFonts w:ascii="Arial" w:hAnsi="Arial" w:cs="Arial"/>
            </w:rPr>
            <w:t>Date Revised:  2009/09/01; 2014/09/01</w:t>
          </w:r>
        </w:p>
      </w:tc>
      <w:tc>
        <w:tcPr>
          <w:tcW w:w="4428" w:type="dxa"/>
        </w:tcPr>
        <w:p w:rsidR="0028486F" w:rsidRDefault="0028486F">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92CB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92CB7">
            <w:rPr>
              <w:rFonts w:ascii="Arial" w:hAnsi="Arial" w:cs="Arial"/>
              <w:noProof/>
            </w:rPr>
            <w:t>1</w:t>
          </w:r>
          <w:r>
            <w:rPr>
              <w:rFonts w:ascii="Arial" w:hAnsi="Arial" w:cs="Arial"/>
            </w:rPr>
            <w:fldChar w:fldCharType="end"/>
          </w:r>
        </w:p>
      </w:tc>
    </w:tr>
  </w:tbl>
  <w:p w:rsidR="0028486F" w:rsidRDefault="005D2DD4">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51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28486F">
      <w:rPr>
        <w:rFonts w:ascii="Arial" w:hAnsi="Arial" w:cs="Arial"/>
      </w:rPr>
      <w:tab/>
    </w:r>
  </w:p>
  <w:p w:rsidR="0028486F" w:rsidRDefault="0028486F">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23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A6AE4"/>
    <w:multiLevelType w:val="hybridMultilevel"/>
    <w:tmpl w:val="D794C7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5A81DB0"/>
    <w:multiLevelType w:val="hybridMultilevel"/>
    <w:tmpl w:val="62165C5E"/>
    <w:lvl w:ilvl="0" w:tplc="DF288186">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7" w15:restartNumberingAfterBreak="0">
    <w:nsid w:val="5E983D28"/>
    <w:multiLevelType w:val="hybridMultilevel"/>
    <w:tmpl w:val="CB9EE7B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685B28CC"/>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B5E3982"/>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B054F17"/>
    <w:multiLevelType w:val="singleLevel"/>
    <w:tmpl w:val="56F8F50E"/>
    <w:lvl w:ilvl="0">
      <w:numFmt w:val="bullet"/>
      <w:lvlText w:val="-"/>
      <w:lvlJc w:val="left"/>
      <w:pPr>
        <w:tabs>
          <w:tab w:val="num" w:pos="360"/>
        </w:tabs>
        <w:ind w:left="360" w:hanging="360"/>
      </w:pPr>
      <w:rPr>
        <w:rFonts w:hint="default"/>
      </w:rPr>
    </w:lvl>
  </w:abstractNum>
  <w:num w:numId="1">
    <w:abstractNumId w:val="5"/>
  </w:num>
  <w:num w:numId="2">
    <w:abstractNumId w:val="8"/>
  </w:num>
  <w:num w:numId="3">
    <w:abstractNumId w:val="4"/>
  </w:num>
  <w:num w:numId="4">
    <w:abstractNumId w:val="3"/>
  </w:num>
  <w:num w:numId="5">
    <w:abstractNumId w:val="13"/>
  </w:num>
  <w:num w:numId="6">
    <w:abstractNumId w:val="12"/>
  </w:num>
  <w:num w:numId="7">
    <w:abstractNumId w:val="11"/>
  </w:num>
  <w:num w:numId="8">
    <w:abstractNumId w:val="0"/>
    <w:lvlOverride w:ilvl="0">
      <w:lvl w:ilvl="0">
        <w:start w:val="1"/>
        <w:numFmt w:val="bullet"/>
        <w:lvlText w:val=""/>
        <w:legacy w:legacy="1" w:legacySpace="0" w:legacyIndent="360"/>
        <w:lvlJc w:val="left"/>
        <w:pPr>
          <w:ind w:left="1637" w:hanging="360"/>
        </w:pPr>
        <w:rPr>
          <w:rFonts w:ascii="Symbol" w:hAnsi="Symbol" w:hint="default"/>
        </w:rPr>
      </w:lvl>
    </w:lvlOverride>
  </w:num>
  <w:num w:numId="9">
    <w:abstractNumId w:val="1"/>
  </w:num>
  <w:num w:numId="10">
    <w:abstractNumId w:val="14"/>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9"/>
  </w:num>
  <w:num w:numId="14">
    <w:abstractNumId w:val="9"/>
    <w:lvlOverride w:ilvl="0">
      <w:lvl w:ilvl="0">
        <w:start w:val="1"/>
        <w:numFmt w:val="decimal"/>
        <w:lvlText w:val="%1."/>
        <w:legacy w:legacy="1" w:legacySpace="0" w:legacyIndent="360"/>
        <w:lvlJc w:val="left"/>
        <w:pPr>
          <w:ind w:left="360" w:hanging="360"/>
        </w:pPr>
      </w:lvl>
    </w:lvlOverride>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24"/>
    <w:rsid w:val="00015E4C"/>
    <w:rsid w:val="000D117E"/>
    <w:rsid w:val="000D26E0"/>
    <w:rsid w:val="000F657F"/>
    <w:rsid w:val="00136BEF"/>
    <w:rsid w:val="00147C24"/>
    <w:rsid w:val="00154C21"/>
    <w:rsid w:val="00155E13"/>
    <w:rsid w:val="00224DE3"/>
    <w:rsid w:val="00277240"/>
    <w:rsid w:val="0028486F"/>
    <w:rsid w:val="00492CB7"/>
    <w:rsid w:val="004C0184"/>
    <w:rsid w:val="005D2DD4"/>
    <w:rsid w:val="006F20F9"/>
    <w:rsid w:val="007C2E8D"/>
    <w:rsid w:val="007F211D"/>
    <w:rsid w:val="00874CDB"/>
    <w:rsid w:val="008B12CC"/>
    <w:rsid w:val="00934217"/>
    <w:rsid w:val="009E28B4"/>
    <w:rsid w:val="00B51016"/>
    <w:rsid w:val="00C1688D"/>
    <w:rsid w:val="00D52D6A"/>
    <w:rsid w:val="00D90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490538D-0405-4586-9A1F-167ED8DC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6F20F9"/>
    <w:rPr>
      <w:rFonts w:ascii="Tahoma" w:hAnsi="Tahoma" w:cs="Tahoma"/>
      <w:sz w:val="16"/>
      <w:szCs w:val="16"/>
    </w:rPr>
  </w:style>
  <w:style w:type="paragraph" w:styleId="ListParagraph">
    <w:name w:val="List Paragraph"/>
    <w:basedOn w:val="Normal"/>
    <w:uiPriority w:val="34"/>
    <w:qFormat/>
    <w:rsid w:val="0028486F"/>
    <w:pPr>
      <w:ind w:left="720"/>
    </w:pPr>
  </w:style>
  <w:style w:type="table" w:styleId="TableGrid">
    <w:name w:val="Table Grid"/>
    <w:basedOn w:val="TableNormal"/>
    <w:rsid w:val="0015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22396">
      <w:bodyDiv w:val="1"/>
      <w:marLeft w:val="0"/>
      <w:marRight w:val="0"/>
      <w:marTop w:val="0"/>
      <w:marBottom w:val="0"/>
      <w:divBdr>
        <w:top w:val="none" w:sz="0" w:space="0" w:color="auto"/>
        <w:left w:val="none" w:sz="0" w:space="0" w:color="auto"/>
        <w:bottom w:val="none" w:sz="0" w:space="0" w:color="auto"/>
        <w:right w:val="none" w:sz="0" w:space="0" w:color="auto"/>
      </w:divBdr>
    </w:div>
    <w:div w:id="18802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SP.026 - Cell Separation - Micro-Hematocrit</vt:lpstr>
    </vt:vector>
  </TitlesOfParts>
  <Company>The Ottawa Hospital</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SP.026 - Cell Separation - Micro-Hematocrit</dc:title>
  <dc:subject/>
  <dc:creator>Transfusion Ontario Program Office</dc:creator>
  <cp:keywords/>
  <cp:lastModifiedBy>Nesrallah, Heather</cp:lastModifiedBy>
  <cp:revision>2</cp:revision>
  <cp:lastPrinted>2015-01-06T18:46:00Z</cp:lastPrinted>
  <dcterms:created xsi:type="dcterms:W3CDTF">2020-08-11T15:22:00Z</dcterms:created>
  <dcterms:modified xsi:type="dcterms:W3CDTF">2020-08-11T15:22:00Z</dcterms:modified>
</cp:coreProperties>
</file>