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F3" w:rsidRDefault="00E079F3">
      <w:pPr>
        <w:numPr>
          <w:ilvl w:val="0"/>
          <w:numId w:val="1"/>
        </w:numPr>
        <w:spacing w:line="228" w:lineRule="auto"/>
        <w:rPr>
          <w:rFonts w:ascii="Arial" w:hAnsi="Arial"/>
          <w:b/>
          <w:sz w:val="28"/>
        </w:rPr>
      </w:pPr>
      <w:bookmarkStart w:id="0" w:name="_GoBack"/>
      <w:bookmarkEnd w:id="0"/>
      <w:r>
        <w:rPr>
          <w:rFonts w:ascii="Arial" w:hAnsi="Arial"/>
          <w:b/>
          <w:sz w:val="28"/>
        </w:rPr>
        <w:t>Principle</w:t>
      </w:r>
    </w:p>
    <w:p w:rsidR="00E079F3" w:rsidRDefault="00E079F3">
      <w:pPr>
        <w:spacing w:line="228" w:lineRule="auto"/>
        <w:rPr>
          <w:rFonts w:ascii="Arial" w:hAnsi="Arial"/>
          <w:b/>
          <w:sz w:val="24"/>
        </w:rPr>
      </w:pPr>
    </w:p>
    <w:p w:rsidR="00E079F3" w:rsidRDefault="00E079F3">
      <w:pPr>
        <w:suppressAutoHyphens/>
        <w:spacing w:line="228" w:lineRule="auto"/>
        <w:ind w:left="720"/>
        <w:rPr>
          <w:rFonts w:ascii="Arial" w:hAnsi="Arial"/>
          <w:spacing w:val="-2"/>
          <w:sz w:val="24"/>
          <w:lang w:val="en-GB"/>
        </w:rPr>
      </w:pPr>
      <w:r>
        <w:rPr>
          <w:rFonts w:ascii="Arial" w:hAnsi="Arial"/>
          <w:spacing w:val="-2"/>
          <w:sz w:val="24"/>
          <w:lang w:val="en-GB"/>
        </w:rPr>
        <w:t>Characteristically, HTLA antibodies react at high dilutions in antiglobu</w:t>
      </w:r>
      <w:r>
        <w:rPr>
          <w:rFonts w:ascii="Arial" w:hAnsi="Arial"/>
          <w:spacing w:val="-2"/>
          <w:sz w:val="24"/>
          <w:lang w:val="en-GB"/>
        </w:rPr>
        <w:softHyphen/>
        <w:t>lin tests, but the reactions are not strong (grade 2 or less)</w:t>
      </w:r>
      <w:r w:rsidR="00CD0A5A">
        <w:rPr>
          <w:rFonts w:ascii="Arial" w:hAnsi="Arial"/>
          <w:spacing w:val="-2"/>
          <w:sz w:val="24"/>
          <w:lang w:val="en-GB"/>
        </w:rPr>
        <w:t>.</w:t>
      </w:r>
      <w:r>
        <w:rPr>
          <w:rFonts w:ascii="Arial" w:hAnsi="Arial"/>
          <w:spacing w:val="-2"/>
          <w:sz w:val="24"/>
          <w:lang w:val="en-GB"/>
        </w:rPr>
        <w:t xml:space="preserve"> </w:t>
      </w:r>
      <w:r w:rsidR="00CD0A5A">
        <w:rPr>
          <w:rFonts w:ascii="Arial" w:hAnsi="Arial"/>
          <w:spacing w:val="-2"/>
          <w:sz w:val="24"/>
          <w:lang w:val="en-GB"/>
        </w:rPr>
        <w:t>I</w:t>
      </w:r>
      <w:r>
        <w:rPr>
          <w:rFonts w:ascii="Arial" w:hAnsi="Arial"/>
          <w:spacing w:val="-2"/>
          <w:sz w:val="24"/>
          <w:lang w:val="en-GB"/>
        </w:rPr>
        <w:t>n contrast</w:t>
      </w:r>
      <w:r w:rsidR="00CD0A5A">
        <w:rPr>
          <w:rFonts w:ascii="Arial" w:hAnsi="Arial"/>
          <w:spacing w:val="-2"/>
          <w:sz w:val="24"/>
          <w:lang w:val="en-GB"/>
        </w:rPr>
        <w:t>,</w:t>
      </w:r>
      <w:r w:rsidR="000E363A">
        <w:rPr>
          <w:rFonts w:ascii="Arial" w:hAnsi="Arial"/>
          <w:spacing w:val="-2"/>
          <w:sz w:val="24"/>
          <w:lang w:val="en-GB"/>
        </w:rPr>
        <w:t xml:space="preserve"> other undiluted antibodies</w:t>
      </w:r>
      <w:r>
        <w:rPr>
          <w:rFonts w:ascii="Arial" w:hAnsi="Arial"/>
          <w:spacing w:val="-2"/>
          <w:sz w:val="24"/>
          <w:lang w:val="en-GB"/>
        </w:rPr>
        <w:t xml:space="preserve"> </w:t>
      </w:r>
      <w:r w:rsidR="000E363A">
        <w:rPr>
          <w:rFonts w:ascii="Arial" w:hAnsi="Arial"/>
          <w:spacing w:val="-2"/>
          <w:sz w:val="24"/>
          <w:lang w:val="en-GB"/>
        </w:rPr>
        <w:t>(</w:t>
      </w:r>
      <w:r>
        <w:rPr>
          <w:rFonts w:ascii="Arial" w:hAnsi="Arial"/>
          <w:spacing w:val="-2"/>
          <w:sz w:val="24"/>
          <w:lang w:val="en-GB"/>
        </w:rPr>
        <w:t>e.g. anti-D and anti-Fy</w:t>
      </w:r>
      <w:r>
        <w:rPr>
          <w:rFonts w:ascii="Arial" w:hAnsi="Arial"/>
          <w:spacing w:val="-3"/>
          <w:sz w:val="24"/>
          <w:vertAlign w:val="superscript"/>
          <w:lang w:val="en-GB"/>
        </w:rPr>
        <w:t>a</w:t>
      </w:r>
      <w:r>
        <w:rPr>
          <w:rFonts w:ascii="Arial" w:hAnsi="Arial"/>
          <w:spacing w:val="-2"/>
          <w:sz w:val="24"/>
          <w:lang w:val="en-GB"/>
        </w:rPr>
        <w:t xml:space="preserve"> that react grade 2 or less in antiglobulin tests</w:t>
      </w:r>
      <w:r w:rsidR="000E363A">
        <w:rPr>
          <w:rFonts w:ascii="Arial" w:hAnsi="Arial"/>
          <w:spacing w:val="-2"/>
          <w:sz w:val="24"/>
          <w:lang w:val="en-GB"/>
        </w:rPr>
        <w:t>)</w:t>
      </w:r>
      <w:r>
        <w:rPr>
          <w:rFonts w:ascii="Arial" w:hAnsi="Arial"/>
          <w:spacing w:val="-2"/>
          <w:sz w:val="24"/>
          <w:lang w:val="en-GB"/>
        </w:rPr>
        <w:t xml:space="preserve"> will usually have titres less than 8.</w:t>
      </w:r>
    </w:p>
    <w:p w:rsidR="00E079F3" w:rsidRDefault="00E079F3">
      <w:pPr>
        <w:spacing w:line="228" w:lineRule="auto"/>
        <w:ind w:left="720"/>
        <w:rPr>
          <w:rFonts w:ascii="Arial" w:hAnsi="Arial"/>
          <w:sz w:val="24"/>
        </w:rPr>
      </w:pPr>
    </w:p>
    <w:p w:rsidR="00E079F3" w:rsidRDefault="00E079F3">
      <w:pPr>
        <w:numPr>
          <w:ilvl w:val="0"/>
          <w:numId w:val="1"/>
        </w:numPr>
        <w:spacing w:line="228" w:lineRule="auto"/>
        <w:rPr>
          <w:rFonts w:ascii="Arial" w:hAnsi="Arial"/>
          <w:b/>
          <w:sz w:val="28"/>
        </w:rPr>
      </w:pPr>
      <w:r>
        <w:rPr>
          <w:rFonts w:ascii="Arial" w:hAnsi="Arial"/>
          <w:b/>
          <w:sz w:val="28"/>
        </w:rPr>
        <w:t>Scope and Related Policies</w:t>
      </w:r>
    </w:p>
    <w:p w:rsidR="00E079F3" w:rsidRDefault="00E079F3">
      <w:pPr>
        <w:spacing w:line="228" w:lineRule="auto"/>
        <w:rPr>
          <w:rFonts w:ascii="Arial" w:hAnsi="Arial"/>
          <w:b/>
          <w:sz w:val="24"/>
        </w:rPr>
      </w:pPr>
    </w:p>
    <w:p w:rsidR="00E079F3" w:rsidRDefault="00E079F3" w:rsidP="008265C4">
      <w:pPr>
        <w:numPr>
          <w:ilvl w:val="1"/>
          <w:numId w:val="1"/>
        </w:numPr>
        <w:suppressAutoHyphens/>
        <w:spacing w:line="228" w:lineRule="auto"/>
        <w:ind w:right="720" w:hanging="731"/>
        <w:rPr>
          <w:rFonts w:ascii="Arial" w:hAnsi="Arial"/>
          <w:spacing w:val="-2"/>
          <w:sz w:val="24"/>
          <w:lang w:val="en-GB"/>
        </w:rPr>
      </w:pPr>
      <w:r>
        <w:rPr>
          <w:rFonts w:ascii="Arial" w:hAnsi="Arial"/>
          <w:spacing w:val="-2"/>
          <w:sz w:val="24"/>
          <w:lang w:val="en-GB"/>
        </w:rPr>
        <w:t>As an initial screen test for HTLA antibodies a 1/10 dilution of plasma will be tested against weakly reactive red cells by IDAT.</w:t>
      </w:r>
    </w:p>
    <w:p w:rsidR="00E079F3" w:rsidRDefault="00E079F3">
      <w:pPr>
        <w:spacing w:line="228" w:lineRule="auto"/>
        <w:rPr>
          <w:rFonts w:ascii="Arial" w:hAnsi="Arial"/>
          <w:sz w:val="24"/>
        </w:rPr>
      </w:pPr>
    </w:p>
    <w:p w:rsidR="00E079F3" w:rsidRDefault="00E079F3">
      <w:pPr>
        <w:numPr>
          <w:ilvl w:val="0"/>
          <w:numId w:val="1"/>
        </w:numPr>
        <w:spacing w:line="228" w:lineRule="auto"/>
        <w:rPr>
          <w:rFonts w:ascii="Arial" w:hAnsi="Arial"/>
          <w:b/>
          <w:sz w:val="28"/>
        </w:rPr>
      </w:pPr>
      <w:r>
        <w:rPr>
          <w:rFonts w:ascii="Arial" w:hAnsi="Arial"/>
          <w:b/>
          <w:sz w:val="28"/>
        </w:rPr>
        <w:t>Specimen</w:t>
      </w:r>
    </w:p>
    <w:p w:rsidR="00E079F3" w:rsidRDefault="00E079F3">
      <w:pPr>
        <w:spacing w:line="228" w:lineRule="auto"/>
        <w:rPr>
          <w:rFonts w:ascii="Arial" w:hAnsi="Arial"/>
          <w:sz w:val="24"/>
        </w:rPr>
      </w:pPr>
    </w:p>
    <w:p w:rsidR="00E079F3" w:rsidRDefault="00E079F3">
      <w:pPr>
        <w:spacing w:line="228" w:lineRule="auto"/>
        <w:ind w:left="720"/>
        <w:rPr>
          <w:rFonts w:ascii="Arial" w:hAnsi="Arial"/>
          <w:sz w:val="24"/>
        </w:rPr>
      </w:pPr>
      <w:r>
        <w:rPr>
          <w:rFonts w:ascii="Arial" w:hAnsi="Arial"/>
          <w:sz w:val="24"/>
        </w:rPr>
        <w:t xml:space="preserve">Patient plasma diluted 1/10 with </w:t>
      </w:r>
      <w:r w:rsidR="006B7026">
        <w:rPr>
          <w:rFonts w:ascii="Arial" w:hAnsi="Arial"/>
          <w:sz w:val="24"/>
        </w:rPr>
        <w:t>bovine serum albumin (</w:t>
      </w:r>
      <w:r>
        <w:rPr>
          <w:rFonts w:ascii="Arial" w:hAnsi="Arial"/>
          <w:sz w:val="24"/>
        </w:rPr>
        <w:t>BSA</w:t>
      </w:r>
      <w:r w:rsidR="006B7026">
        <w:rPr>
          <w:rFonts w:ascii="Arial" w:hAnsi="Arial"/>
          <w:sz w:val="24"/>
        </w:rPr>
        <w:t>)</w:t>
      </w:r>
    </w:p>
    <w:p w:rsidR="00E079F3" w:rsidRDefault="00E079F3">
      <w:pPr>
        <w:spacing w:line="228" w:lineRule="auto"/>
        <w:ind w:left="720"/>
        <w:rPr>
          <w:rFonts w:ascii="Arial" w:hAnsi="Arial"/>
          <w:sz w:val="24"/>
        </w:rPr>
      </w:pPr>
    </w:p>
    <w:p w:rsidR="00E079F3" w:rsidRDefault="00E079F3">
      <w:pPr>
        <w:numPr>
          <w:ilvl w:val="0"/>
          <w:numId w:val="1"/>
        </w:numPr>
        <w:spacing w:line="228" w:lineRule="auto"/>
        <w:rPr>
          <w:rFonts w:ascii="Arial" w:hAnsi="Arial"/>
          <w:b/>
          <w:sz w:val="28"/>
        </w:rPr>
      </w:pPr>
      <w:r>
        <w:rPr>
          <w:rFonts w:ascii="Arial" w:hAnsi="Arial"/>
          <w:b/>
          <w:sz w:val="28"/>
        </w:rPr>
        <w:t>Materials</w:t>
      </w:r>
    </w:p>
    <w:p w:rsidR="00E079F3" w:rsidRDefault="00E079F3">
      <w:pPr>
        <w:spacing w:line="228" w:lineRule="auto"/>
        <w:rPr>
          <w:rFonts w:ascii="Arial" w:hAnsi="Arial"/>
          <w:sz w:val="24"/>
        </w:rPr>
      </w:pPr>
    </w:p>
    <w:p w:rsidR="00E079F3" w:rsidRDefault="00E079F3">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E079F3" w:rsidRDefault="00E079F3">
      <w:pPr>
        <w:spacing w:line="228" w:lineRule="auto"/>
        <w:ind w:left="2880"/>
        <w:rPr>
          <w:rFonts w:ascii="Arial" w:hAnsi="Arial"/>
          <w:sz w:val="24"/>
        </w:rPr>
      </w:pPr>
      <w:r>
        <w:rPr>
          <w:rFonts w:ascii="Arial" w:hAnsi="Arial"/>
          <w:sz w:val="24"/>
        </w:rPr>
        <w:t>Microscope</w:t>
      </w:r>
    </w:p>
    <w:p w:rsidR="00E079F3" w:rsidRDefault="00BC23B0">
      <w:pPr>
        <w:spacing w:line="228" w:lineRule="auto"/>
        <w:ind w:left="2880"/>
        <w:rPr>
          <w:rFonts w:ascii="Arial" w:hAnsi="Arial"/>
          <w:sz w:val="24"/>
        </w:rPr>
      </w:pPr>
      <w:r>
        <w:rPr>
          <w:rFonts w:ascii="Arial" w:hAnsi="Arial"/>
          <w:sz w:val="24"/>
        </w:rPr>
        <w:t>Water</w:t>
      </w:r>
      <w:r w:rsidR="00E02E6B">
        <w:rPr>
          <w:rFonts w:ascii="Arial" w:hAnsi="Arial"/>
          <w:sz w:val="24"/>
        </w:rPr>
        <w:t xml:space="preserve"> </w:t>
      </w:r>
      <w:r w:rsidR="00E079F3">
        <w:rPr>
          <w:rFonts w:ascii="Arial" w:hAnsi="Arial"/>
          <w:sz w:val="24"/>
        </w:rPr>
        <w:t>bath/Heating block at 37</w:t>
      </w:r>
      <w:r>
        <w:rPr>
          <w:rFonts w:ascii="Arial" w:hAnsi="Arial" w:cs="Arial"/>
          <w:sz w:val="24"/>
        </w:rPr>
        <w:t>°</w:t>
      </w:r>
      <w:r w:rsidR="00E079F3">
        <w:rPr>
          <w:rFonts w:ascii="Arial" w:hAnsi="Arial"/>
          <w:sz w:val="24"/>
        </w:rPr>
        <w:t>C</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E079F3" w:rsidRDefault="00E079F3">
      <w:pPr>
        <w:spacing w:line="228" w:lineRule="auto"/>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BC23B0">
        <w:rPr>
          <w:rFonts w:ascii="Arial" w:hAnsi="Arial"/>
          <w:sz w:val="24"/>
        </w:rPr>
        <w:t xml:space="preserve"> </w:t>
      </w:r>
      <w:r>
        <w:rPr>
          <w:rFonts w:ascii="Arial" w:hAnsi="Arial"/>
          <w:sz w:val="24"/>
        </w:rPr>
        <w:t>mm</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E079F3" w:rsidRDefault="00E079F3">
      <w:pPr>
        <w:spacing w:line="228" w:lineRule="auto"/>
        <w:ind w:left="720"/>
        <w:rPr>
          <w:rFonts w:ascii="Arial" w:hAnsi="Arial"/>
          <w:sz w:val="24"/>
        </w:rPr>
      </w:pPr>
      <w:r>
        <w:rPr>
          <w:rFonts w:ascii="Arial" w:hAnsi="Arial"/>
          <w:b/>
          <w:sz w:val="24"/>
        </w:rPr>
        <w:t>Reagents:</w:t>
      </w:r>
      <w:r>
        <w:rPr>
          <w:rFonts w:ascii="Arial" w:hAnsi="Arial"/>
          <w:sz w:val="24"/>
        </w:rPr>
        <w:tab/>
      </w:r>
      <w:r>
        <w:rPr>
          <w:rFonts w:ascii="Arial" w:hAnsi="Arial"/>
          <w:sz w:val="24"/>
        </w:rPr>
        <w:tab/>
        <w:t>Minimum of 3 test cells</w:t>
      </w:r>
    </w:p>
    <w:p w:rsidR="00E079F3" w:rsidRDefault="00E079F3">
      <w:pPr>
        <w:spacing w:line="228" w:lineRule="auto"/>
        <w:ind w:left="720"/>
        <w:rPr>
          <w:rFonts w:ascii="Arial" w:hAnsi="Arial"/>
          <w:sz w:val="24"/>
        </w:rPr>
      </w:pPr>
      <w:r>
        <w:rPr>
          <w:rFonts w:ascii="Arial" w:hAnsi="Arial"/>
          <w:b/>
          <w:sz w:val="24"/>
        </w:rPr>
        <w:tab/>
      </w:r>
      <w:r>
        <w:rPr>
          <w:rFonts w:ascii="Arial" w:hAnsi="Arial"/>
          <w:b/>
          <w:sz w:val="24"/>
        </w:rPr>
        <w:tab/>
      </w:r>
      <w:r>
        <w:rPr>
          <w:rFonts w:ascii="Arial" w:hAnsi="Arial"/>
          <w:b/>
          <w:sz w:val="24"/>
        </w:rPr>
        <w:tab/>
      </w:r>
      <w:r w:rsidR="006B7026">
        <w:rPr>
          <w:rFonts w:ascii="Arial" w:hAnsi="Arial"/>
          <w:sz w:val="24"/>
        </w:rPr>
        <w:t>0.9%</w:t>
      </w:r>
      <w:r w:rsidR="00BC23B0">
        <w:rPr>
          <w:rFonts w:ascii="Arial" w:hAnsi="Arial"/>
          <w:sz w:val="24"/>
        </w:rPr>
        <w:t xml:space="preserve"> s</w:t>
      </w:r>
      <w:r>
        <w:rPr>
          <w:rFonts w:ascii="Arial" w:hAnsi="Arial"/>
          <w:sz w:val="24"/>
        </w:rPr>
        <w:t>aline</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E079F3" w:rsidRDefault="00E079F3">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6% BSA</w:t>
      </w:r>
    </w:p>
    <w:p w:rsidR="00E079F3" w:rsidRDefault="00E079F3">
      <w:pPr>
        <w:spacing w:line="228" w:lineRule="auto"/>
        <w:ind w:left="720"/>
        <w:rPr>
          <w:rFonts w:ascii="Arial" w:hAnsi="Arial"/>
          <w:sz w:val="24"/>
        </w:rPr>
      </w:pPr>
    </w:p>
    <w:p w:rsidR="00A575DD" w:rsidRDefault="00A575DD">
      <w:pPr>
        <w:spacing w:line="228" w:lineRule="auto"/>
        <w:ind w:left="720"/>
        <w:rPr>
          <w:rFonts w:ascii="Arial" w:hAnsi="Arial"/>
          <w:sz w:val="24"/>
        </w:rPr>
      </w:pPr>
    </w:p>
    <w:p w:rsidR="00E079F3" w:rsidRDefault="00E079F3">
      <w:pPr>
        <w:numPr>
          <w:ilvl w:val="0"/>
          <w:numId w:val="1"/>
        </w:numPr>
        <w:rPr>
          <w:rFonts w:ascii="Arial" w:hAnsi="Arial"/>
          <w:b/>
          <w:sz w:val="28"/>
        </w:rPr>
      </w:pPr>
      <w:r>
        <w:rPr>
          <w:rFonts w:ascii="Arial" w:hAnsi="Arial"/>
          <w:b/>
          <w:sz w:val="28"/>
        </w:rPr>
        <w:lastRenderedPageBreak/>
        <w:t>Quality Control</w:t>
      </w:r>
    </w:p>
    <w:p w:rsidR="00E079F3" w:rsidRDefault="00E079F3">
      <w:pPr>
        <w:ind w:left="720"/>
        <w:rPr>
          <w:rFonts w:ascii="Arial" w:hAnsi="Arial"/>
          <w:sz w:val="24"/>
        </w:rPr>
      </w:pPr>
    </w:p>
    <w:p w:rsidR="00E079F3" w:rsidRDefault="00E079F3" w:rsidP="008265C4">
      <w:pPr>
        <w:numPr>
          <w:ilvl w:val="1"/>
          <w:numId w:val="1"/>
        </w:numPr>
        <w:tabs>
          <w:tab w:val="clear" w:pos="1440"/>
          <w:tab w:val="num" w:pos="1418"/>
        </w:tabs>
        <w:ind w:hanging="731"/>
        <w:rPr>
          <w:rFonts w:ascii="Arial" w:hAnsi="Arial"/>
          <w:sz w:val="24"/>
        </w:rPr>
      </w:pPr>
      <w:r>
        <w:rPr>
          <w:rFonts w:ascii="Arial" w:hAnsi="Arial"/>
          <w:spacing w:val="-2"/>
          <w:sz w:val="24"/>
        </w:rPr>
        <w:t xml:space="preserve">Ideally the three test cells will be </w:t>
      </w:r>
      <w:r>
        <w:rPr>
          <w:rFonts w:ascii="Arial" w:hAnsi="Arial"/>
          <w:sz w:val="24"/>
        </w:rPr>
        <w:t>selected on the basis of their reactivity with test plasma (e.g., grade 2, grade 1, w).</w:t>
      </w:r>
    </w:p>
    <w:p w:rsidR="00E079F3" w:rsidRDefault="00E079F3">
      <w:pPr>
        <w:rPr>
          <w:rFonts w:ascii="Arial" w:hAnsi="Arial"/>
          <w:b/>
          <w:sz w:val="24"/>
        </w:rPr>
      </w:pPr>
    </w:p>
    <w:p w:rsidR="00E079F3" w:rsidRDefault="00E079F3">
      <w:pPr>
        <w:numPr>
          <w:ilvl w:val="0"/>
          <w:numId w:val="1"/>
        </w:numPr>
        <w:rPr>
          <w:rFonts w:ascii="Arial" w:hAnsi="Arial"/>
          <w:b/>
          <w:spacing w:val="-2"/>
          <w:sz w:val="28"/>
          <w:lang w:val="en-GB"/>
        </w:rPr>
      </w:pPr>
      <w:r>
        <w:rPr>
          <w:rFonts w:ascii="Arial" w:hAnsi="Arial"/>
          <w:b/>
          <w:sz w:val="28"/>
        </w:rPr>
        <w:t>Procedure</w:t>
      </w:r>
    </w:p>
    <w:p w:rsidR="00E079F3" w:rsidRDefault="00E079F3">
      <w:pPr>
        <w:rPr>
          <w:rFonts w:ascii="Arial" w:hAnsi="Arial"/>
          <w:spacing w:val="-2"/>
          <w:sz w:val="24"/>
          <w:lang w:val="en-GB"/>
        </w:rPr>
      </w:pPr>
    </w:p>
    <w:p w:rsidR="00E079F3" w:rsidRPr="008265C4" w:rsidRDefault="008265C4">
      <w:pPr>
        <w:suppressAutoHyphens/>
        <w:ind w:left="720"/>
        <w:rPr>
          <w:rFonts w:ascii="Arial" w:hAnsi="Arial"/>
          <w:b/>
          <w:spacing w:val="-2"/>
          <w:sz w:val="24"/>
          <w:lang w:val="en-GB"/>
        </w:rPr>
      </w:pPr>
      <w:r>
        <w:rPr>
          <w:rFonts w:ascii="Arial" w:hAnsi="Arial"/>
          <w:b/>
          <w:spacing w:val="-2"/>
          <w:sz w:val="24"/>
          <w:lang w:val="en-GB"/>
        </w:rPr>
        <w:t>Screen Procedure</w:t>
      </w:r>
    </w:p>
    <w:p w:rsidR="00E079F3" w:rsidRDefault="00E079F3">
      <w:pPr>
        <w:suppressAutoHyphens/>
        <w:ind w:left="720"/>
        <w:rPr>
          <w:rFonts w:ascii="Arial" w:hAnsi="Arial"/>
          <w:spacing w:val="-2"/>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hanging="743"/>
              <w:rPr>
                <w:rFonts w:ascii="Arial" w:hAnsi="Arial"/>
                <w:spacing w:val="-2"/>
                <w:sz w:val="24"/>
                <w:lang w:val="en-GB"/>
              </w:rPr>
            </w:pPr>
            <w:r w:rsidRPr="00223912">
              <w:rPr>
                <w:rFonts w:ascii="Arial" w:hAnsi="Arial"/>
                <w:spacing w:val="-2"/>
                <w:sz w:val="24"/>
                <w:lang w:val="en-GB"/>
              </w:rPr>
              <w:t>For a quick screen procedure for HTLA antibodies, test a 1 in 10 dilution of patient's plasma in 6% BSA with the test cells by an antiglobulin technique. If reactions are the same as undiluted plasma, the presence of HTLA antibody is indicated.</w:t>
            </w:r>
          </w:p>
        </w:tc>
      </w:tr>
    </w:tbl>
    <w:p w:rsidR="00E079F3" w:rsidRDefault="00E079F3">
      <w:pPr>
        <w:suppressAutoHyphens/>
        <w:ind w:left="720"/>
        <w:rPr>
          <w:rFonts w:ascii="Arial" w:hAnsi="Arial"/>
          <w:spacing w:val="-2"/>
          <w:sz w:val="24"/>
          <w:lang w:val="en-GB"/>
        </w:rPr>
      </w:pPr>
    </w:p>
    <w:p w:rsidR="00E079F3" w:rsidRPr="008265C4" w:rsidRDefault="008265C4">
      <w:pPr>
        <w:suppressAutoHyphens/>
        <w:ind w:left="720"/>
        <w:rPr>
          <w:rFonts w:ascii="Arial" w:hAnsi="Arial"/>
          <w:b/>
          <w:spacing w:val="-2"/>
          <w:sz w:val="24"/>
          <w:lang w:val="en-GB"/>
        </w:rPr>
      </w:pPr>
      <w:r>
        <w:rPr>
          <w:rFonts w:ascii="Arial" w:hAnsi="Arial"/>
          <w:b/>
          <w:spacing w:val="-2"/>
          <w:sz w:val="24"/>
          <w:lang w:val="en-GB"/>
        </w:rPr>
        <w:t>Titre Procedure</w:t>
      </w:r>
    </w:p>
    <w:p w:rsidR="00E079F3" w:rsidRDefault="00E079F3">
      <w:pPr>
        <w:suppressAutoHyphens/>
        <w:ind w:left="720"/>
        <w:rPr>
          <w:rFonts w:ascii="Arial" w:hAnsi="Arial"/>
          <w:spacing w:val="-2"/>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Prepare serial two-fold dilutions of test plasma in 0.9% NaCl from 1 in 2 to 1 in 4096 (12 tubes) with a minimum volume of 0.6 mL. Refer to SP.002 – Titrations.</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Place 3 drops of each dilution into each of 3 appropriately labeled 10 x 75 mm test tubes.</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Test each dilution against the three cells by adding 1 drop of a 3% suspension of cells to appropriate tube.</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Mix contents and incubate at 37</w:t>
            </w:r>
            <w:r w:rsidRPr="00223912">
              <w:rPr>
                <w:rFonts w:ascii="Arial" w:hAnsi="Arial" w:cs="Arial"/>
                <w:sz w:val="24"/>
              </w:rPr>
              <w:t>°</w:t>
            </w:r>
            <w:r w:rsidRPr="00223912">
              <w:rPr>
                <w:rFonts w:ascii="Arial" w:hAnsi="Arial"/>
                <w:spacing w:val="-2"/>
                <w:sz w:val="24"/>
                <w:lang w:val="en-GB"/>
              </w:rPr>
              <w:t>C for 1 hour.</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Wash red cells 4 times in 0.9% NaCl and test with anti-IgG.</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Examine microscopically for agglutination.</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Record results.</w:t>
            </w:r>
          </w:p>
        </w:tc>
      </w:tr>
      <w:tr w:rsidR="00A575DD" w:rsidRPr="00223912" w:rsidTr="00223912">
        <w:tc>
          <w:tcPr>
            <w:tcW w:w="8748" w:type="dxa"/>
            <w:shd w:val="clear" w:color="auto" w:fill="auto"/>
          </w:tcPr>
          <w:p w:rsidR="00A575DD" w:rsidRPr="00223912" w:rsidRDefault="00A575DD" w:rsidP="00223912">
            <w:pPr>
              <w:numPr>
                <w:ilvl w:val="1"/>
                <w:numId w:val="1"/>
              </w:numPr>
              <w:tabs>
                <w:tab w:val="clear" w:pos="1440"/>
                <w:tab w:val="num" w:pos="743"/>
              </w:tabs>
              <w:suppressAutoHyphens/>
              <w:ind w:left="743"/>
              <w:rPr>
                <w:rFonts w:ascii="Arial" w:hAnsi="Arial"/>
                <w:spacing w:val="-2"/>
                <w:sz w:val="24"/>
                <w:lang w:val="en-GB"/>
              </w:rPr>
            </w:pPr>
            <w:r w:rsidRPr="00223912">
              <w:rPr>
                <w:rFonts w:ascii="Arial" w:hAnsi="Arial"/>
                <w:spacing w:val="-2"/>
                <w:sz w:val="24"/>
                <w:lang w:val="en-GB"/>
              </w:rPr>
              <w:t>Add IgG coated check cells to any negative tubes, centrifuge and read. The test must be repeated for any negative tubes.</w:t>
            </w:r>
          </w:p>
        </w:tc>
      </w:tr>
    </w:tbl>
    <w:p w:rsidR="00A575DD" w:rsidRDefault="00A575DD" w:rsidP="00A575DD">
      <w:pPr>
        <w:suppressAutoHyphens/>
        <w:ind w:left="1440"/>
        <w:rPr>
          <w:rFonts w:ascii="Arial" w:hAnsi="Arial"/>
          <w:spacing w:val="-2"/>
          <w:sz w:val="24"/>
          <w:lang w:val="en-GB"/>
        </w:rPr>
      </w:pPr>
    </w:p>
    <w:p w:rsidR="006B7026" w:rsidRDefault="00E079F3">
      <w:pPr>
        <w:numPr>
          <w:ilvl w:val="0"/>
          <w:numId w:val="1"/>
        </w:numPr>
        <w:rPr>
          <w:rFonts w:ascii="Arial" w:hAnsi="Arial"/>
          <w:b/>
          <w:sz w:val="28"/>
        </w:rPr>
      </w:pPr>
      <w:r>
        <w:rPr>
          <w:rFonts w:ascii="Arial" w:hAnsi="Arial"/>
          <w:b/>
          <w:sz w:val="28"/>
        </w:rPr>
        <w:t xml:space="preserve">Reporting – </w:t>
      </w:r>
    </w:p>
    <w:p w:rsidR="00A575DD" w:rsidRDefault="00A575DD" w:rsidP="00A575DD">
      <w:pPr>
        <w:suppressAutoHyphens/>
        <w:ind w:left="1440"/>
        <w:rPr>
          <w:rFonts w:ascii="Arial" w:hAnsi="Arial"/>
          <w:spacing w:val="-2"/>
          <w:sz w:val="24"/>
          <w:lang w:val="en-GB"/>
        </w:rPr>
      </w:pPr>
    </w:p>
    <w:p w:rsidR="006B7026" w:rsidRDefault="006B7026" w:rsidP="008265C4">
      <w:pPr>
        <w:numPr>
          <w:ilvl w:val="1"/>
          <w:numId w:val="1"/>
        </w:numPr>
        <w:suppressAutoHyphens/>
        <w:ind w:hanging="731"/>
        <w:rPr>
          <w:rFonts w:ascii="Arial" w:hAnsi="Arial"/>
          <w:spacing w:val="-2"/>
          <w:sz w:val="24"/>
          <w:lang w:val="en-GB"/>
        </w:rPr>
      </w:pPr>
      <w:r>
        <w:rPr>
          <w:rFonts w:ascii="Arial" w:hAnsi="Arial"/>
          <w:spacing w:val="-2"/>
          <w:sz w:val="24"/>
          <w:lang w:val="en-GB"/>
        </w:rPr>
        <w:t xml:space="preserve">Plasma that continues to react at 4 dilutions beyond that which gives a grade 1 reaction can be considered to contain an HTLA antibody.  </w:t>
      </w:r>
    </w:p>
    <w:p w:rsidR="006B7026" w:rsidRDefault="006B7026" w:rsidP="006B7026">
      <w:pPr>
        <w:suppressAutoHyphens/>
        <w:ind w:left="1440"/>
        <w:rPr>
          <w:rFonts w:ascii="Arial" w:hAnsi="Arial"/>
          <w:spacing w:val="-2"/>
          <w:sz w:val="24"/>
          <w:lang w:val="en-GB"/>
        </w:rPr>
      </w:pPr>
      <w:r>
        <w:rPr>
          <w:rFonts w:ascii="Arial" w:hAnsi="Arial"/>
          <w:spacing w:val="-2"/>
          <w:sz w:val="24"/>
          <w:lang w:val="en-GB"/>
        </w:rPr>
        <w:t xml:space="preserve">If identification of the antibody is required additional testing specific for this type of antibody will be required. </w:t>
      </w:r>
    </w:p>
    <w:p w:rsidR="00A575DD" w:rsidRDefault="00A575DD" w:rsidP="006B7026">
      <w:pPr>
        <w:suppressAutoHyphens/>
        <w:ind w:left="1440"/>
        <w:rPr>
          <w:rFonts w:ascii="Arial" w:hAnsi="Arial"/>
          <w:spacing w:val="-2"/>
          <w:sz w:val="24"/>
          <w:lang w:val="en-GB"/>
        </w:rPr>
      </w:pPr>
    </w:p>
    <w:p w:rsidR="00E079F3" w:rsidRPr="00A575DD" w:rsidRDefault="006B7026" w:rsidP="008265C4">
      <w:pPr>
        <w:numPr>
          <w:ilvl w:val="1"/>
          <w:numId w:val="1"/>
        </w:numPr>
        <w:suppressAutoHyphens/>
        <w:ind w:hanging="731"/>
        <w:rPr>
          <w:rFonts w:ascii="Arial" w:hAnsi="Arial"/>
          <w:spacing w:val="-2"/>
          <w:sz w:val="24"/>
          <w:lang w:val="en-GB"/>
        </w:rPr>
      </w:pPr>
      <w:r>
        <w:rPr>
          <w:rFonts w:ascii="Arial" w:hAnsi="Arial"/>
          <w:spacing w:val="-2"/>
          <w:sz w:val="24"/>
          <w:lang w:val="en-GB"/>
        </w:rPr>
        <w:t xml:space="preserve">Cells that give variable reactions with undiluted plasma should be tested to determine whether dilution has the same effect on all reaction strengths. If some red cells react only or preferentially with low plasma dilutions, the plasma may also contain non-HTLA </w:t>
      </w:r>
      <w:r w:rsidRPr="00A575DD">
        <w:rPr>
          <w:rFonts w:ascii="Arial" w:hAnsi="Arial"/>
          <w:spacing w:val="-2"/>
          <w:sz w:val="24"/>
          <w:lang w:val="en-GB"/>
        </w:rPr>
        <w:t>antibodies. Additional testing should be performed with the dilute plasma against a commercial cell panel. See NRT.007</w:t>
      </w:r>
      <w:r w:rsidR="008265C4">
        <w:rPr>
          <w:rFonts w:ascii="Arial" w:hAnsi="Arial"/>
          <w:spacing w:val="-2"/>
          <w:sz w:val="24"/>
          <w:lang w:val="en-GB"/>
        </w:rPr>
        <w:t>-</w:t>
      </w:r>
      <w:r w:rsidRPr="00A575DD">
        <w:rPr>
          <w:rFonts w:ascii="Arial" w:hAnsi="Arial"/>
          <w:spacing w:val="-2"/>
          <w:sz w:val="24"/>
          <w:lang w:val="en-GB"/>
        </w:rPr>
        <w:t xml:space="preserve"> Antibody Identification of Warm Reactive Antibodies.</w:t>
      </w:r>
    </w:p>
    <w:p w:rsidR="00E079F3" w:rsidRDefault="00E079F3">
      <w:pPr>
        <w:numPr>
          <w:ilvl w:val="0"/>
          <w:numId w:val="1"/>
        </w:numPr>
        <w:rPr>
          <w:rFonts w:ascii="Arial" w:hAnsi="Arial"/>
          <w:b/>
          <w:sz w:val="28"/>
        </w:rPr>
      </w:pPr>
      <w:r>
        <w:rPr>
          <w:rFonts w:ascii="Arial" w:hAnsi="Arial"/>
          <w:b/>
          <w:sz w:val="28"/>
        </w:rPr>
        <w:t>Procedural Notes</w:t>
      </w:r>
    </w:p>
    <w:p w:rsidR="00E079F3" w:rsidRDefault="00E079F3">
      <w:pPr>
        <w:rPr>
          <w:rFonts w:ascii="Arial" w:hAnsi="Arial"/>
          <w:sz w:val="24"/>
        </w:rPr>
      </w:pPr>
    </w:p>
    <w:p w:rsidR="00707B25" w:rsidRPr="000E363A" w:rsidRDefault="006B7026" w:rsidP="008265C4">
      <w:pPr>
        <w:numPr>
          <w:ilvl w:val="1"/>
          <w:numId w:val="1"/>
        </w:numPr>
        <w:suppressAutoHyphens/>
        <w:ind w:hanging="731"/>
        <w:rPr>
          <w:rFonts w:ascii="Arial" w:hAnsi="Arial"/>
          <w:spacing w:val="-2"/>
          <w:sz w:val="24"/>
          <w:lang w:val="en-GB"/>
        </w:rPr>
      </w:pPr>
      <w:r>
        <w:rPr>
          <w:rFonts w:ascii="Arial" w:hAnsi="Arial"/>
          <w:spacing w:val="-2"/>
          <w:sz w:val="24"/>
          <w:lang w:val="en-GB"/>
        </w:rPr>
        <w:t>HTLA antibodies will generally demonstrate titres of 64 or greater</w:t>
      </w:r>
      <w:r w:rsidR="00707B25">
        <w:rPr>
          <w:rFonts w:ascii="Arial" w:hAnsi="Arial"/>
          <w:spacing w:val="-2"/>
          <w:sz w:val="24"/>
          <w:lang w:val="en-GB"/>
        </w:rPr>
        <w:t xml:space="preserve"> with consistently weak reactivity.</w:t>
      </w:r>
      <w:r w:rsidR="00707B25">
        <w:rPr>
          <w:rFonts w:ascii="Arial" w:hAnsi="Arial"/>
          <w:spacing w:val="-2"/>
          <w:sz w:val="24"/>
          <w:vertAlign w:val="superscript"/>
          <w:lang w:val="en-GB"/>
        </w:rPr>
        <w:t>9.1</w:t>
      </w:r>
    </w:p>
    <w:p w:rsidR="00E079F3" w:rsidRDefault="00E079F3">
      <w:pPr>
        <w:rPr>
          <w:rFonts w:ascii="Arial" w:hAnsi="Arial"/>
          <w:sz w:val="24"/>
        </w:rPr>
      </w:pPr>
      <w:r>
        <w:rPr>
          <w:rFonts w:ascii="Arial" w:hAnsi="Arial"/>
          <w:sz w:val="24"/>
        </w:rPr>
        <w:t xml:space="preserve">  </w:t>
      </w:r>
    </w:p>
    <w:p w:rsidR="00E079F3" w:rsidRDefault="00E079F3">
      <w:pPr>
        <w:numPr>
          <w:ilvl w:val="0"/>
          <w:numId w:val="1"/>
        </w:numPr>
        <w:rPr>
          <w:rFonts w:ascii="Arial" w:hAnsi="Arial"/>
          <w:b/>
          <w:sz w:val="28"/>
        </w:rPr>
      </w:pPr>
      <w:r>
        <w:rPr>
          <w:rFonts w:ascii="Arial" w:hAnsi="Arial"/>
          <w:b/>
          <w:sz w:val="28"/>
        </w:rPr>
        <w:t>References</w:t>
      </w:r>
    </w:p>
    <w:p w:rsidR="00E079F3" w:rsidRDefault="00E079F3">
      <w:pPr>
        <w:rPr>
          <w:rFonts w:ascii="Arial" w:hAnsi="Arial"/>
          <w:sz w:val="28"/>
        </w:rPr>
      </w:pPr>
    </w:p>
    <w:p w:rsidR="00E079F3" w:rsidRDefault="00CD0A5A" w:rsidP="008265C4">
      <w:pPr>
        <w:numPr>
          <w:ilvl w:val="1"/>
          <w:numId w:val="1"/>
        </w:numPr>
        <w:ind w:hanging="731"/>
        <w:rPr>
          <w:rFonts w:ascii="Arial" w:hAnsi="Arial"/>
          <w:sz w:val="24"/>
        </w:rPr>
      </w:pPr>
      <w:r>
        <w:rPr>
          <w:rFonts w:ascii="Arial" w:hAnsi="Arial"/>
          <w:sz w:val="24"/>
        </w:rPr>
        <w:t>Roback, JD. ed. AABB Technical Manual, 17</w:t>
      </w:r>
      <w:r w:rsidRPr="008E6BA9">
        <w:rPr>
          <w:rFonts w:ascii="Arial" w:hAnsi="Arial"/>
          <w:sz w:val="24"/>
        </w:rPr>
        <w:t>th</w:t>
      </w:r>
      <w:r w:rsidR="008265C4">
        <w:rPr>
          <w:rFonts w:ascii="Arial" w:hAnsi="Arial"/>
          <w:sz w:val="24"/>
        </w:rPr>
        <w:t xml:space="preserve"> ed. </w:t>
      </w:r>
      <w:r>
        <w:rPr>
          <w:rFonts w:ascii="Arial" w:hAnsi="Arial"/>
          <w:sz w:val="24"/>
        </w:rPr>
        <w:t>Bethesda, MD: American Association of Blood Banks, 2011 pg</w:t>
      </w:r>
      <w:r w:rsidR="001541B7">
        <w:rPr>
          <w:rFonts w:ascii="Arial" w:hAnsi="Arial"/>
          <w:sz w:val="24"/>
        </w:rPr>
        <w:t>.</w:t>
      </w:r>
      <w:r>
        <w:rPr>
          <w:rFonts w:ascii="Arial" w:hAnsi="Arial"/>
          <w:sz w:val="24"/>
        </w:rPr>
        <w:t xml:space="preserve"> 480-481, 907-909.</w:t>
      </w:r>
    </w:p>
    <w:p w:rsidR="00A575DD" w:rsidRPr="00A575DD" w:rsidRDefault="00A575DD" w:rsidP="00A575DD">
      <w:pPr>
        <w:ind w:left="1440"/>
        <w:rPr>
          <w:rFonts w:ascii="Arial" w:hAnsi="Arial"/>
          <w:sz w:val="24"/>
        </w:rPr>
      </w:pPr>
    </w:p>
    <w:p w:rsidR="00A575DD" w:rsidRPr="00A575DD" w:rsidRDefault="00A575DD" w:rsidP="00A575DD">
      <w:pPr>
        <w:numPr>
          <w:ilvl w:val="0"/>
          <w:numId w:val="1"/>
        </w:numPr>
        <w:rPr>
          <w:rFonts w:ascii="Arial" w:hAnsi="Arial"/>
          <w:b/>
          <w:sz w:val="24"/>
        </w:rPr>
      </w:pPr>
      <w:r w:rsidRPr="00A575DD">
        <w:rPr>
          <w:rFonts w:ascii="Arial" w:hAnsi="Arial"/>
          <w:b/>
          <w:sz w:val="28"/>
        </w:rPr>
        <w:t>Revision History</w:t>
      </w:r>
    </w:p>
    <w:p w:rsidR="00A575DD" w:rsidRDefault="00A575DD" w:rsidP="00A575DD">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A575DD" w:rsidRPr="00223912" w:rsidTr="008265C4">
        <w:tc>
          <w:tcPr>
            <w:tcW w:w="3085" w:type="dxa"/>
            <w:shd w:val="clear" w:color="auto" w:fill="BFBFBF"/>
          </w:tcPr>
          <w:p w:rsidR="00A575DD" w:rsidRPr="00223912" w:rsidRDefault="00A575DD" w:rsidP="00223912">
            <w:pPr>
              <w:jc w:val="center"/>
              <w:rPr>
                <w:rFonts w:ascii="Arial" w:hAnsi="Arial"/>
                <w:b/>
                <w:sz w:val="22"/>
              </w:rPr>
            </w:pPr>
            <w:r w:rsidRPr="00223912">
              <w:rPr>
                <w:rFonts w:ascii="Arial" w:hAnsi="Arial"/>
                <w:b/>
                <w:sz w:val="22"/>
              </w:rPr>
              <w:t>Revision Date</w:t>
            </w:r>
          </w:p>
        </w:tc>
        <w:tc>
          <w:tcPr>
            <w:tcW w:w="5771" w:type="dxa"/>
            <w:shd w:val="clear" w:color="auto" w:fill="BFBFBF"/>
          </w:tcPr>
          <w:p w:rsidR="00A575DD" w:rsidRPr="00223912" w:rsidRDefault="00A575DD" w:rsidP="00223912">
            <w:pPr>
              <w:jc w:val="center"/>
              <w:rPr>
                <w:rFonts w:ascii="Arial" w:hAnsi="Arial"/>
                <w:b/>
                <w:sz w:val="22"/>
              </w:rPr>
            </w:pPr>
            <w:r w:rsidRPr="00223912">
              <w:rPr>
                <w:rFonts w:ascii="Arial" w:hAnsi="Arial"/>
                <w:b/>
                <w:sz w:val="22"/>
              </w:rPr>
              <w:t>Summary of Revision</w:t>
            </w:r>
          </w:p>
        </w:tc>
      </w:tr>
      <w:tr w:rsidR="00A575DD" w:rsidRPr="00223912" w:rsidTr="008265C4">
        <w:tc>
          <w:tcPr>
            <w:tcW w:w="3085" w:type="dxa"/>
            <w:shd w:val="clear" w:color="auto" w:fill="auto"/>
          </w:tcPr>
          <w:p w:rsidR="00A575DD" w:rsidRPr="00223912" w:rsidRDefault="00A575DD" w:rsidP="00A575DD">
            <w:pPr>
              <w:rPr>
                <w:rFonts w:ascii="Arial" w:hAnsi="Arial"/>
                <w:sz w:val="22"/>
              </w:rPr>
            </w:pPr>
            <w:r w:rsidRPr="00223912">
              <w:rPr>
                <w:rFonts w:ascii="Arial" w:hAnsi="Arial"/>
                <w:sz w:val="22"/>
              </w:rPr>
              <w:t>September 1, 2014</w:t>
            </w:r>
          </w:p>
        </w:tc>
        <w:tc>
          <w:tcPr>
            <w:tcW w:w="5771" w:type="dxa"/>
            <w:shd w:val="clear" w:color="auto" w:fill="auto"/>
          </w:tcPr>
          <w:p w:rsidR="00A575DD" w:rsidRPr="00223912" w:rsidRDefault="00A575DD" w:rsidP="00223912">
            <w:pPr>
              <w:numPr>
                <w:ilvl w:val="0"/>
                <w:numId w:val="15"/>
              </w:numPr>
              <w:rPr>
                <w:rFonts w:ascii="Arial" w:hAnsi="Arial"/>
                <w:sz w:val="22"/>
              </w:rPr>
            </w:pPr>
            <w:r w:rsidRPr="00223912">
              <w:rPr>
                <w:rFonts w:ascii="Arial" w:hAnsi="Arial"/>
                <w:sz w:val="22"/>
              </w:rPr>
              <w:t>Revised name of manual</w:t>
            </w:r>
          </w:p>
          <w:p w:rsidR="00A575DD" w:rsidRPr="00223912" w:rsidRDefault="00A57322" w:rsidP="00223912">
            <w:pPr>
              <w:numPr>
                <w:ilvl w:val="0"/>
                <w:numId w:val="15"/>
              </w:numPr>
              <w:rPr>
                <w:rFonts w:ascii="Arial" w:hAnsi="Arial"/>
                <w:sz w:val="22"/>
              </w:rPr>
            </w:pPr>
            <w:r w:rsidRPr="00223912">
              <w:rPr>
                <w:rFonts w:ascii="Arial" w:hAnsi="Arial"/>
                <w:sz w:val="22"/>
              </w:rPr>
              <w:t xml:space="preserve">Revised wording in section 3.0 to include “bovine serum albumin” </w:t>
            </w:r>
          </w:p>
          <w:p w:rsidR="00A57322" w:rsidRPr="00223912" w:rsidRDefault="00A57322" w:rsidP="00223912">
            <w:pPr>
              <w:numPr>
                <w:ilvl w:val="0"/>
                <w:numId w:val="15"/>
              </w:numPr>
              <w:rPr>
                <w:rFonts w:ascii="Arial" w:hAnsi="Arial"/>
                <w:sz w:val="22"/>
              </w:rPr>
            </w:pPr>
            <w:r w:rsidRPr="00223912">
              <w:rPr>
                <w:rFonts w:ascii="Arial" w:hAnsi="Arial"/>
                <w:sz w:val="22"/>
              </w:rPr>
              <w:t xml:space="preserve">Replaced “Normal saline” with “0.9% saline” </w:t>
            </w:r>
            <w:r w:rsidR="00561B0E">
              <w:rPr>
                <w:rFonts w:ascii="Arial" w:hAnsi="Arial"/>
                <w:sz w:val="22"/>
              </w:rPr>
              <w:t xml:space="preserve">in section 4.0- </w:t>
            </w:r>
            <w:r w:rsidR="00561B0E" w:rsidRPr="00561B0E">
              <w:rPr>
                <w:rFonts w:ascii="Arial" w:hAnsi="Arial"/>
                <w:i/>
                <w:sz w:val="22"/>
              </w:rPr>
              <w:t>Reagents</w:t>
            </w:r>
            <w:r w:rsidR="00561B0E">
              <w:rPr>
                <w:rFonts w:ascii="Arial" w:hAnsi="Arial"/>
                <w:sz w:val="22"/>
              </w:rPr>
              <w:t xml:space="preserve"> </w:t>
            </w:r>
          </w:p>
          <w:p w:rsidR="00A57322" w:rsidRPr="00223912" w:rsidRDefault="00A57322" w:rsidP="00223912">
            <w:pPr>
              <w:numPr>
                <w:ilvl w:val="0"/>
                <w:numId w:val="15"/>
              </w:numPr>
              <w:rPr>
                <w:rFonts w:ascii="Arial" w:hAnsi="Arial"/>
                <w:sz w:val="22"/>
              </w:rPr>
            </w:pPr>
            <w:r w:rsidRPr="00223912">
              <w:rPr>
                <w:rFonts w:ascii="Arial" w:hAnsi="Arial"/>
                <w:sz w:val="22"/>
              </w:rPr>
              <w:t>Added “Refer to SP.002- Titrations” in section 6.2</w:t>
            </w:r>
          </w:p>
          <w:p w:rsidR="00A57322" w:rsidRPr="00223912" w:rsidRDefault="00A57322" w:rsidP="00223912">
            <w:pPr>
              <w:numPr>
                <w:ilvl w:val="0"/>
                <w:numId w:val="15"/>
              </w:numPr>
              <w:rPr>
                <w:rFonts w:ascii="Arial" w:hAnsi="Arial"/>
                <w:sz w:val="22"/>
              </w:rPr>
            </w:pPr>
            <w:r w:rsidRPr="00223912">
              <w:rPr>
                <w:rFonts w:ascii="Arial" w:hAnsi="Arial"/>
                <w:sz w:val="22"/>
              </w:rPr>
              <w:t>Revised and renumbered sectio</w:t>
            </w:r>
            <w:r w:rsidR="001541B7" w:rsidRPr="00223912">
              <w:rPr>
                <w:rFonts w:ascii="Arial" w:hAnsi="Arial"/>
                <w:sz w:val="22"/>
              </w:rPr>
              <w:t>ns 7.0 &amp; 8.0</w:t>
            </w:r>
          </w:p>
          <w:p w:rsidR="001541B7" w:rsidRPr="00223912" w:rsidRDefault="001541B7" w:rsidP="00223912">
            <w:pPr>
              <w:numPr>
                <w:ilvl w:val="0"/>
                <w:numId w:val="15"/>
              </w:numPr>
              <w:rPr>
                <w:rFonts w:ascii="Arial" w:hAnsi="Arial"/>
                <w:sz w:val="22"/>
              </w:rPr>
            </w:pPr>
            <w:r w:rsidRPr="00223912">
              <w:rPr>
                <w:rFonts w:ascii="Arial" w:hAnsi="Arial"/>
                <w:sz w:val="22"/>
              </w:rPr>
              <w:t xml:space="preserve">Updated list of references </w:t>
            </w:r>
          </w:p>
        </w:tc>
      </w:tr>
    </w:tbl>
    <w:p w:rsidR="00A575DD" w:rsidRPr="00A575DD" w:rsidRDefault="00A575DD" w:rsidP="00A575DD">
      <w:pPr>
        <w:rPr>
          <w:rFonts w:ascii="Arial" w:hAnsi="Arial"/>
          <w:sz w:val="22"/>
        </w:rPr>
      </w:pPr>
    </w:p>
    <w:p w:rsidR="00E079F3" w:rsidRDefault="00E079F3">
      <w:pPr>
        <w:rPr>
          <w:rFonts w:ascii="Arial" w:hAnsi="Arial"/>
          <w:sz w:val="24"/>
        </w:rPr>
      </w:pPr>
    </w:p>
    <w:p w:rsidR="00E079F3" w:rsidRDefault="00E079F3">
      <w:pPr>
        <w:ind w:left="720"/>
        <w:rPr>
          <w:rFonts w:ascii="Arial" w:hAnsi="Arial"/>
          <w:sz w:val="24"/>
        </w:rPr>
      </w:pPr>
    </w:p>
    <w:p w:rsidR="00E079F3" w:rsidRDefault="00E079F3"/>
    <w:sectPr w:rsidR="00E079F3">
      <w:headerReference w:type="default" r:id="rId7"/>
      <w:footerReference w:type="default" r:id="rId8"/>
      <w:headerReference w:type="first" r:id="rId9"/>
      <w:footerReference w:type="first" r:id="rId10"/>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BB" w:rsidRDefault="006700BB">
      <w:r>
        <w:separator/>
      </w:r>
    </w:p>
  </w:endnote>
  <w:endnote w:type="continuationSeparator" w:id="0">
    <w:p w:rsidR="006700BB" w:rsidRDefault="006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B7026">
      <w:trPr>
        <w:trHeight w:val="720"/>
      </w:trPr>
      <w:tc>
        <w:tcPr>
          <w:tcW w:w="1368" w:type="dxa"/>
          <w:tcBorders>
            <w:top w:val="single" w:sz="4" w:space="0" w:color="auto"/>
          </w:tcBorders>
        </w:tcPr>
        <w:p w:rsidR="006B7026" w:rsidRDefault="006B7026">
          <w:pPr>
            <w:pStyle w:val="Footer"/>
            <w:jc w:val="center"/>
            <w:rPr>
              <w:sz w:val="8"/>
            </w:rPr>
          </w:pPr>
        </w:p>
        <w:p w:rsidR="006B7026" w:rsidRDefault="0070140F">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6B7026" w:rsidRDefault="006B7026">
          <w:pPr>
            <w:pStyle w:val="Footer"/>
            <w:jc w:val="center"/>
            <w:rPr>
              <w:rFonts w:ascii="Arial" w:hAnsi="Arial"/>
              <w:sz w:val="18"/>
            </w:rPr>
          </w:pPr>
        </w:p>
        <w:p w:rsidR="006B7026" w:rsidRDefault="006B7026" w:rsidP="00BC23B0">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6B7026" w:rsidRDefault="00707B25">
          <w:pPr>
            <w:pStyle w:val="Footer"/>
            <w:jc w:val="center"/>
            <w:rPr>
              <w:rFonts w:ascii="Arial" w:hAnsi="Arial"/>
              <w:sz w:val="18"/>
            </w:rPr>
          </w:pPr>
          <w:r>
            <w:rPr>
              <w:rFonts w:ascii="Arial" w:hAnsi="Arial"/>
              <w:sz w:val="18"/>
            </w:rPr>
            <w:t>Transfusion Technical Resource</w:t>
          </w:r>
          <w:r w:rsidR="00E02E6B">
            <w:rPr>
              <w:rFonts w:ascii="Arial" w:hAnsi="Arial"/>
              <w:sz w:val="18"/>
            </w:rPr>
            <w:t xml:space="preserve"> </w:t>
          </w:r>
          <w:r w:rsidR="006B7026">
            <w:rPr>
              <w:rFonts w:ascii="Arial" w:hAnsi="Arial"/>
              <w:sz w:val="18"/>
            </w:rPr>
            <w:t>Manual</w:t>
          </w:r>
        </w:p>
        <w:p w:rsidR="006B7026" w:rsidRDefault="006B7026">
          <w:pPr>
            <w:pStyle w:val="Footer"/>
            <w:jc w:val="center"/>
            <w:rPr>
              <w:rFonts w:ascii="Arial" w:hAnsi="Arial"/>
              <w:sz w:val="18"/>
            </w:rPr>
          </w:pPr>
        </w:p>
      </w:tc>
      <w:tc>
        <w:tcPr>
          <w:tcW w:w="1494" w:type="dxa"/>
          <w:tcBorders>
            <w:top w:val="single" w:sz="4" w:space="0" w:color="auto"/>
          </w:tcBorders>
        </w:tcPr>
        <w:p w:rsidR="006B7026" w:rsidRDefault="006B7026">
          <w:pPr>
            <w:pStyle w:val="Footer"/>
            <w:jc w:val="right"/>
            <w:rPr>
              <w:rFonts w:ascii="Arial" w:hAnsi="Arial"/>
              <w:sz w:val="18"/>
            </w:rPr>
          </w:pPr>
        </w:p>
        <w:p w:rsidR="006B7026" w:rsidRDefault="006B7026">
          <w:pPr>
            <w:pStyle w:val="Footer"/>
            <w:jc w:val="right"/>
            <w:rPr>
              <w:rFonts w:ascii="Arial" w:hAnsi="Arial"/>
              <w:sz w:val="18"/>
            </w:rPr>
          </w:pPr>
          <w:r>
            <w:rPr>
              <w:rFonts w:ascii="Arial" w:hAnsi="Arial"/>
              <w:sz w:val="18"/>
            </w:rPr>
            <w:t xml:space="preserve">SP.025 </w:t>
          </w:r>
          <w:r>
            <w:rPr>
              <w:rFonts w:ascii="Arial" w:hAnsi="Arial"/>
              <w:sz w:val="18"/>
            </w:rPr>
            <w:br/>
          </w:r>
        </w:p>
        <w:p w:rsidR="006B7026" w:rsidRDefault="006B702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6623">
            <w:rPr>
              <w:rFonts w:ascii="Arial" w:hAnsi="Arial"/>
              <w:noProof/>
              <w:snapToGrid w:val="0"/>
              <w:sz w:val="18"/>
            </w:rPr>
            <w:t>3</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6623">
            <w:rPr>
              <w:rFonts w:ascii="Arial" w:hAnsi="Arial"/>
              <w:noProof/>
              <w:snapToGrid w:val="0"/>
              <w:sz w:val="18"/>
            </w:rPr>
            <w:t>3</w:t>
          </w:r>
          <w:r>
            <w:rPr>
              <w:rFonts w:ascii="Arial" w:hAnsi="Arial"/>
              <w:snapToGrid w:val="0"/>
              <w:sz w:val="18"/>
            </w:rPr>
            <w:fldChar w:fldCharType="end"/>
          </w:r>
        </w:p>
      </w:tc>
    </w:tr>
  </w:tbl>
  <w:p w:rsidR="006B7026" w:rsidRDefault="006B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B7026">
      <w:trPr>
        <w:trHeight w:val="720"/>
      </w:trPr>
      <w:tc>
        <w:tcPr>
          <w:tcW w:w="1368" w:type="dxa"/>
        </w:tcPr>
        <w:p w:rsidR="006B7026" w:rsidRDefault="006B7026">
          <w:pPr>
            <w:pStyle w:val="Footer"/>
            <w:jc w:val="center"/>
            <w:rPr>
              <w:rFonts w:ascii="Verdana" w:hAnsi="Verdana"/>
              <w:sz w:val="8"/>
            </w:rPr>
          </w:pPr>
        </w:p>
        <w:p w:rsidR="006B7026" w:rsidRDefault="0070140F">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6B7026" w:rsidRDefault="006B7026">
          <w:pPr>
            <w:pStyle w:val="Footer"/>
            <w:jc w:val="center"/>
            <w:rPr>
              <w:rFonts w:ascii="Arial" w:hAnsi="Arial"/>
              <w:sz w:val="18"/>
            </w:rPr>
          </w:pPr>
        </w:p>
        <w:p w:rsidR="006B7026" w:rsidRDefault="006B7026" w:rsidP="00BC23B0">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 </w:t>
          </w:r>
        </w:p>
        <w:p w:rsidR="006B7026" w:rsidRDefault="006B7026">
          <w:pPr>
            <w:pStyle w:val="Footer"/>
            <w:jc w:val="center"/>
            <w:rPr>
              <w:rFonts w:ascii="Arial" w:hAnsi="Arial"/>
              <w:sz w:val="18"/>
            </w:rPr>
          </w:pPr>
          <w:r>
            <w:rPr>
              <w:rFonts w:ascii="Arial" w:hAnsi="Arial"/>
              <w:sz w:val="18"/>
            </w:rPr>
            <w:t>Transfusion Technical Resource Manual</w:t>
          </w:r>
        </w:p>
        <w:p w:rsidR="006B7026" w:rsidRDefault="006B7026">
          <w:pPr>
            <w:pStyle w:val="Footer"/>
            <w:jc w:val="center"/>
            <w:rPr>
              <w:rFonts w:ascii="Arial" w:hAnsi="Arial"/>
              <w:sz w:val="18"/>
            </w:rPr>
          </w:pPr>
        </w:p>
      </w:tc>
      <w:tc>
        <w:tcPr>
          <w:tcW w:w="1494" w:type="dxa"/>
        </w:tcPr>
        <w:p w:rsidR="006B7026" w:rsidRDefault="006B7026">
          <w:pPr>
            <w:pStyle w:val="Footer"/>
            <w:jc w:val="right"/>
            <w:rPr>
              <w:rFonts w:ascii="Arial" w:hAnsi="Arial"/>
              <w:sz w:val="18"/>
            </w:rPr>
          </w:pPr>
        </w:p>
        <w:p w:rsidR="006B7026" w:rsidRDefault="006B7026">
          <w:pPr>
            <w:pStyle w:val="Footer"/>
            <w:jc w:val="right"/>
            <w:rPr>
              <w:rFonts w:ascii="Arial" w:hAnsi="Arial"/>
              <w:sz w:val="18"/>
            </w:rPr>
          </w:pPr>
          <w:r>
            <w:rPr>
              <w:rFonts w:ascii="Arial" w:hAnsi="Arial"/>
              <w:sz w:val="18"/>
            </w:rPr>
            <w:t xml:space="preserve">SP.025 </w:t>
          </w:r>
          <w:r>
            <w:rPr>
              <w:rFonts w:ascii="Arial" w:hAnsi="Arial"/>
              <w:sz w:val="18"/>
            </w:rPr>
            <w:br/>
          </w:r>
        </w:p>
        <w:p w:rsidR="006B7026" w:rsidRDefault="006B702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6623">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6623">
            <w:rPr>
              <w:rFonts w:ascii="Arial" w:hAnsi="Arial"/>
              <w:noProof/>
              <w:snapToGrid w:val="0"/>
              <w:sz w:val="18"/>
            </w:rPr>
            <w:t>1</w:t>
          </w:r>
          <w:r>
            <w:rPr>
              <w:rFonts w:ascii="Arial" w:hAnsi="Arial"/>
              <w:snapToGrid w:val="0"/>
              <w:sz w:val="18"/>
            </w:rPr>
            <w:fldChar w:fldCharType="end"/>
          </w:r>
        </w:p>
      </w:tc>
    </w:tr>
  </w:tbl>
  <w:p w:rsidR="006B7026" w:rsidRDefault="006B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BB" w:rsidRDefault="006700BB">
      <w:r>
        <w:separator/>
      </w:r>
    </w:p>
  </w:footnote>
  <w:footnote w:type="continuationSeparator" w:id="0">
    <w:p w:rsidR="006700BB" w:rsidRDefault="0067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26" w:rsidRDefault="006B7026">
    <w:pPr>
      <w:pStyle w:val="Header"/>
      <w:jc w:val="center"/>
      <w:rPr>
        <w:rFonts w:ascii="Arial" w:hAnsi="Arial"/>
        <w:b/>
        <w:spacing w:val="-2"/>
        <w:sz w:val="28"/>
        <w:lang w:val="en-GB"/>
      </w:rPr>
    </w:pPr>
    <w:r>
      <w:rPr>
        <w:rFonts w:ascii="Arial" w:hAnsi="Arial"/>
        <w:b/>
        <w:spacing w:val="-2"/>
        <w:sz w:val="28"/>
        <w:lang w:val="en-GB"/>
      </w:rPr>
      <w:t>1/10 Plasma Dilution</w:t>
    </w:r>
  </w:p>
  <w:p w:rsidR="006B7026" w:rsidRDefault="006B7026">
    <w:pPr>
      <w:pStyle w:val="Header"/>
      <w:jc w:val="center"/>
      <w:rPr>
        <w:rFonts w:ascii="Arial" w:hAnsi="Arial"/>
        <w:b/>
        <w:sz w:val="18"/>
      </w:rPr>
    </w:pPr>
    <w:r>
      <w:rPr>
        <w:rFonts w:ascii="Arial" w:hAnsi="Arial"/>
        <w:b/>
        <w:spacing w:val="-2"/>
        <w:sz w:val="28"/>
        <w:lang w:val="en-GB"/>
      </w:rPr>
      <w:t xml:space="preserve"> Screen for High-Titre, Low Avidity Antibodies (HTLA)</w:t>
    </w:r>
  </w:p>
  <w:p w:rsidR="006B7026" w:rsidRDefault="006B7026">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26" w:rsidRDefault="0070140F">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6B7026" w:rsidRDefault="000E363A">
    <w:pPr>
      <w:pStyle w:val="Header"/>
      <w:jc w:val="center"/>
      <w:rPr>
        <w:rFonts w:ascii="Arial" w:hAnsi="Arial" w:cs="Arial"/>
        <w:b/>
        <w:bCs/>
        <w:sz w:val="22"/>
      </w:rPr>
    </w:pPr>
    <w:r>
      <w:rPr>
        <w:rFonts w:ascii="Arial" w:hAnsi="Arial" w:cs="Arial"/>
        <w:b/>
        <w:bCs/>
        <w:sz w:val="22"/>
      </w:rPr>
      <w:t>Ontario Regional Blood Coordinating Network</w:t>
    </w:r>
  </w:p>
  <w:p w:rsidR="000E363A" w:rsidRDefault="000E363A">
    <w:pPr>
      <w:pStyle w:val="Header"/>
      <w:jc w:val="center"/>
      <w:rPr>
        <w:rFonts w:ascii="Arial" w:hAnsi="Arial" w:cs="Arial"/>
        <w:b/>
        <w:bCs/>
        <w:sz w:val="22"/>
      </w:rPr>
    </w:pPr>
    <w:r>
      <w:rPr>
        <w:rFonts w:ascii="Arial" w:hAnsi="Arial" w:cs="Arial"/>
        <w:b/>
        <w:bCs/>
        <w:sz w:val="22"/>
      </w:rPr>
      <w:t>Transfusion Technical Resource Manual</w:t>
    </w:r>
  </w:p>
  <w:p w:rsidR="006B7026" w:rsidRDefault="006B7026">
    <w:pPr>
      <w:pStyle w:val="Header"/>
      <w:jc w:val="center"/>
      <w:rPr>
        <w:rFonts w:ascii="Arial" w:hAnsi="Arial" w:cs="Arial"/>
        <w:b/>
        <w:bCs/>
        <w:sz w:val="22"/>
      </w:rPr>
    </w:pPr>
  </w:p>
  <w:p w:rsidR="006B7026" w:rsidRDefault="006B7026">
    <w:pPr>
      <w:pStyle w:val="Header"/>
      <w:jc w:val="center"/>
      <w:rPr>
        <w:rFonts w:ascii="Arial" w:hAnsi="Arial"/>
        <w:b/>
        <w:spacing w:val="-2"/>
        <w:sz w:val="28"/>
        <w:lang w:val="en-GB"/>
      </w:rPr>
    </w:pPr>
    <w:r>
      <w:rPr>
        <w:rFonts w:ascii="Arial" w:hAnsi="Arial"/>
        <w:b/>
        <w:spacing w:val="-2"/>
        <w:sz w:val="28"/>
        <w:lang w:val="en-GB"/>
      </w:rPr>
      <w:t>1/10 Plasma Dilution</w:t>
    </w:r>
  </w:p>
  <w:p w:rsidR="006B7026" w:rsidRDefault="006B7026">
    <w:pPr>
      <w:pStyle w:val="Header"/>
      <w:jc w:val="center"/>
      <w:rPr>
        <w:rFonts w:ascii="Arial" w:hAnsi="Arial"/>
        <w:b/>
        <w:spacing w:val="-2"/>
        <w:sz w:val="28"/>
        <w:lang w:val="en-GB"/>
      </w:rPr>
    </w:pPr>
    <w:r>
      <w:rPr>
        <w:rFonts w:ascii="Arial" w:hAnsi="Arial"/>
        <w:b/>
        <w:spacing w:val="-2"/>
        <w:sz w:val="28"/>
        <w:lang w:val="en-GB"/>
      </w:rPr>
      <w:t xml:space="preserve"> Screen for High-Titre, Low Avidity Antibodies (HTLA)</w:t>
    </w:r>
  </w:p>
  <w:p w:rsidR="006B7026" w:rsidRDefault="006B7026">
    <w:pPr>
      <w:pStyle w:val="Header"/>
      <w:jc w:val="center"/>
      <w:rPr>
        <w:rFonts w:ascii="Arial" w:hAnsi="Arial"/>
        <w:b/>
        <w:sz w:val="28"/>
      </w:rPr>
    </w:pPr>
  </w:p>
  <w:p w:rsidR="006B7026" w:rsidRDefault="0070140F">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3C5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6B7026">
      <w:tc>
        <w:tcPr>
          <w:tcW w:w="4428" w:type="dxa"/>
        </w:tcPr>
        <w:p w:rsidR="006B7026" w:rsidRDefault="006B7026">
          <w:pPr>
            <w:pStyle w:val="Header"/>
            <w:rPr>
              <w:rFonts w:ascii="Arial" w:hAnsi="Arial" w:cs="Arial"/>
            </w:rPr>
          </w:pPr>
          <w:r>
            <w:rPr>
              <w:rFonts w:ascii="Arial" w:hAnsi="Arial" w:cs="Arial"/>
            </w:rPr>
            <w:t xml:space="preserve">Approved By:  </w:t>
          </w:r>
        </w:p>
      </w:tc>
      <w:tc>
        <w:tcPr>
          <w:tcW w:w="4428" w:type="dxa"/>
        </w:tcPr>
        <w:p w:rsidR="006B7026" w:rsidRDefault="006B7026">
          <w:pPr>
            <w:pStyle w:val="Header"/>
            <w:rPr>
              <w:rFonts w:ascii="Arial" w:hAnsi="Arial" w:cs="Arial"/>
            </w:rPr>
          </w:pPr>
          <w:r>
            <w:rPr>
              <w:rFonts w:ascii="Arial" w:hAnsi="Arial" w:cs="Arial"/>
            </w:rPr>
            <w:t>Document No: SP.025</w:t>
          </w:r>
        </w:p>
      </w:tc>
    </w:tr>
    <w:tr w:rsidR="006B7026">
      <w:tc>
        <w:tcPr>
          <w:tcW w:w="4428" w:type="dxa"/>
        </w:tcPr>
        <w:p w:rsidR="006B7026" w:rsidRDefault="006B7026">
          <w:pPr>
            <w:pStyle w:val="Header"/>
            <w:rPr>
              <w:rFonts w:ascii="Arial" w:hAnsi="Arial" w:cs="Arial"/>
            </w:rPr>
          </w:pPr>
          <w:r>
            <w:rPr>
              <w:rFonts w:ascii="Arial" w:hAnsi="Arial" w:cs="Arial"/>
            </w:rPr>
            <w:t>Date Issued:  2004/04/05</w:t>
          </w:r>
        </w:p>
      </w:tc>
      <w:tc>
        <w:tcPr>
          <w:tcW w:w="4428" w:type="dxa"/>
        </w:tcPr>
        <w:p w:rsidR="006B7026" w:rsidRDefault="006B7026">
          <w:pPr>
            <w:pStyle w:val="Header"/>
            <w:rPr>
              <w:rFonts w:ascii="Arial" w:hAnsi="Arial" w:cs="Arial"/>
            </w:rPr>
          </w:pPr>
          <w:r>
            <w:rPr>
              <w:rFonts w:ascii="Arial" w:hAnsi="Arial" w:cs="Arial"/>
            </w:rPr>
            <w:t>Category:  Special Procedures</w:t>
          </w:r>
        </w:p>
      </w:tc>
    </w:tr>
    <w:tr w:rsidR="006B7026">
      <w:tc>
        <w:tcPr>
          <w:tcW w:w="4428" w:type="dxa"/>
        </w:tcPr>
        <w:p w:rsidR="006B7026" w:rsidRDefault="006B7026">
          <w:pPr>
            <w:pStyle w:val="Header"/>
            <w:rPr>
              <w:rFonts w:ascii="Arial" w:hAnsi="Arial" w:cs="Arial"/>
            </w:rPr>
          </w:pPr>
          <w:r>
            <w:rPr>
              <w:rFonts w:ascii="Arial" w:hAnsi="Arial" w:cs="Arial"/>
            </w:rPr>
            <w:t>Date Revised:  2009/12/31; 2014/09/01</w:t>
          </w:r>
        </w:p>
      </w:tc>
      <w:tc>
        <w:tcPr>
          <w:tcW w:w="4428" w:type="dxa"/>
        </w:tcPr>
        <w:p w:rsidR="006B7026" w:rsidRDefault="006B702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B6623">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B6623">
            <w:rPr>
              <w:rFonts w:ascii="Arial" w:hAnsi="Arial" w:cs="Arial"/>
              <w:noProof/>
            </w:rPr>
            <w:t>1</w:t>
          </w:r>
          <w:r>
            <w:rPr>
              <w:rFonts w:ascii="Arial" w:hAnsi="Arial" w:cs="Arial"/>
            </w:rPr>
            <w:fldChar w:fldCharType="end"/>
          </w:r>
        </w:p>
      </w:tc>
    </w:tr>
  </w:tbl>
  <w:p w:rsidR="006B7026" w:rsidRDefault="0070140F">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9C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6B7026">
      <w:rPr>
        <w:rFonts w:ascii="Arial" w:hAnsi="Arial" w:cs="Arial"/>
      </w:rPr>
      <w:tab/>
    </w:r>
  </w:p>
  <w:p w:rsidR="006B7026" w:rsidRDefault="006B7026">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FA81C93"/>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5433437"/>
    <w:multiLevelType w:val="hybridMultilevel"/>
    <w:tmpl w:val="05DE58A8"/>
    <w:lvl w:ilvl="0" w:tplc="0A76A48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34567BF1"/>
    <w:multiLevelType w:val="multilevel"/>
    <w:tmpl w:val="080C30DE"/>
    <w:lvl w:ilvl="0">
      <w:start w:val="1"/>
      <w:numFmt w:val="decimal"/>
      <w:lvlText w:val="%1.0"/>
      <w:lvlJc w:val="left"/>
      <w:pPr>
        <w:tabs>
          <w:tab w:val="num" w:pos="720"/>
        </w:tabs>
        <w:ind w:left="720" w:hanging="720"/>
      </w:pPr>
      <w:rPr>
        <w:rFonts w:hint="default"/>
        <w:sz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5CD0BD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6DB10E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54017CD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9"/>
  </w:num>
  <w:num w:numId="3">
    <w:abstractNumId w:val="4"/>
  </w:num>
  <w:num w:numId="4">
    <w:abstractNumId w:val="3"/>
  </w:num>
  <w:num w:numId="5">
    <w:abstractNumId w:val="12"/>
  </w:num>
  <w:num w:numId="6">
    <w:abstractNumId w:val="11"/>
  </w:num>
  <w:num w:numId="7">
    <w:abstractNumId w:val="10"/>
  </w:num>
  <w:num w:numId="8">
    <w:abstractNumId w:val="0"/>
  </w:num>
  <w:num w:numId="9">
    <w:abstractNumId w:val="5"/>
  </w:num>
  <w:num w:numId="10">
    <w:abstractNumId w:val="5"/>
  </w:num>
  <w:num w:numId="11">
    <w:abstractNumId w:val="7"/>
  </w:num>
  <w:num w:numId="12">
    <w:abstractNumId w:val="7"/>
    <w:lvlOverride w:ilvl="0">
      <w:lvl w:ilvl="0">
        <w:start w:val="1"/>
        <w:numFmt w:val="decimal"/>
        <w:lvlText w:val="%1."/>
        <w:legacy w:legacy="1" w:legacySpace="0" w:legacyIndent="360"/>
        <w:lvlJc w:val="left"/>
        <w:pPr>
          <w:ind w:left="360" w:hanging="360"/>
        </w:pPr>
      </w:lvl>
    </w:lvlOverride>
  </w:num>
  <w:num w:numId="13">
    <w:abstractNumId w:val="6"/>
  </w:num>
  <w:num w:numId="14">
    <w:abstractNumId w:val="6"/>
    <w:lvlOverride w:ilvl="0">
      <w:lvl w:ilvl="0">
        <w:start w:val="1"/>
        <w:numFmt w:val="decimal"/>
        <w:lvlText w:val="%1."/>
        <w:legacy w:legacy="1" w:legacySpace="0" w:legacyIndent="360"/>
        <w:lvlJc w:val="left"/>
        <w:pPr>
          <w:ind w:left="360" w:hanging="360"/>
        </w:pPr>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62"/>
    <w:rsid w:val="000424AD"/>
    <w:rsid w:val="000E363A"/>
    <w:rsid w:val="001541B7"/>
    <w:rsid w:val="00172AB4"/>
    <w:rsid w:val="00223912"/>
    <w:rsid w:val="003025EA"/>
    <w:rsid w:val="00386A59"/>
    <w:rsid w:val="004B6623"/>
    <w:rsid w:val="00561B0E"/>
    <w:rsid w:val="005F2AAF"/>
    <w:rsid w:val="00615FAF"/>
    <w:rsid w:val="006700BB"/>
    <w:rsid w:val="006B7026"/>
    <w:rsid w:val="0070140F"/>
    <w:rsid w:val="00707B25"/>
    <w:rsid w:val="008265C4"/>
    <w:rsid w:val="0089313E"/>
    <w:rsid w:val="00A57322"/>
    <w:rsid w:val="00A575DD"/>
    <w:rsid w:val="00B96B3B"/>
    <w:rsid w:val="00BC23B0"/>
    <w:rsid w:val="00CD0A5A"/>
    <w:rsid w:val="00DC3917"/>
    <w:rsid w:val="00DE1ED6"/>
    <w:rsid w:val="00E02E6B"/>
    <w:rsid w:val="00E079F3"/>
    <w:rsid w:val="00E968FD"/>
    <w:rsid w:val="00EC2562"/>
    <w:rsid w:val="00F13FE0"/>
    <w:rsid w:val="00FC3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B69DF4CF-9F66-423A-8C4D-724851F2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288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spacing w:after="120"/>
      <w:ind w:left="4320" w:hanging="1440"/>
    </w:pPr>
    <w:rPr>
      <w:rFonts w:ascii="Arial" w:hAnsi="Arial"/>
      <w:spacing w:val="-2"/>
      <w:sz w:val="24"/>
      <w:lang w:val="en-GB"/>
    </w:rPr>
  </w:style>
  <w:style w:type="paragraph" w:styleId="BalloonText">
    <w:name w:val="Balloon Text"/>
    <w:basedOn w:val="Normal"/>
    <w:semiHidden/>
    <w:rsid w:val="00CD0A5A"/>
    <w:rPr>
      <w:rFonts w:ascii="Tahoma" w:hAnsi="Tahoma" w:cs="Tahoma"/>
      <w:sz w:val="16"/>
      <w:szCs w:val="16"/>
    </w:rPr>
  </w:style>
  <w:style w:type="table" w:styleId="TableGrid">
    <w:name w:val="Table Grid"/>
    <w:basedOn w:val="TableNormal"/>
    <w:rsid w:val="00A5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29855">
      <w:bodyDiv w:val="1"/>
      <w:marLeft w:val="0"/>
      <w:marRight w:val="0"/>
      <w:marTop w:val="0"/>
      <w:marBottom w:val="0"/>
      <w:divBdr>
        <w:top w:val="none" w:sz="0" w:space="0" w:color="auto"/>
        <w:left w:val="none" w:sz="0" w:space="0" w:color="auto"/>
        <w:bottom w:val="none" w:sz="0" w:space="0" w:color="auto"/>
        <w:right w:val="none" w:sz="0" w:space="0" w:color="auto"/>
      </w:divBdr>
    </w:div>
    <w:div w:id="21388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SP.025 - 1-10 plasma dilution-HTLA Screen</vt:lpstr>
    </vt:vector>
  </TitlesOfParts>
  <Company>The Ottawa Hospital</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SP.025 - 1-10 plasma dilution-HTLA Screen</dc:title>
  <dc:subject/>
  <dc:creator>Transfusion Ontario Program Office</dc:creator>
  <cp:keywords/>
  <cp:lastModifiedBy>Nesrallah, Heather</cp:lastModifiedBy>
  <cp:revision>2</cp:revision>
  <cp:lastPrinted>2015-01-06T18:47:00Z</cp:lastPrinted>
  <dcterms:created xsi:type="dcterms:W3CDTF">2020-08-11T15:22:00Z</dcterms:created>
  <dcterms:modified xsi:type="dcterms:W3CDTF">2020-08-11T15:22:00Z</dcterms:modified>
</cp:coreProperties>
</file>