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CA" w:rsidRDefault="00C45FCA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C45FCA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Group A</w:t>
      </w:r>
      <w:r>
        <w:rPr>
          <w:rFonts w:ascii="Arial" w:hAnsi="Arial"/>
          <w:sz w:val="24"/>
          <w:vertAlign w:val="subscript"/>
        </w:rPr>
        <w:t>1</w:t>
      </w:r>
      <w:r>
        <w:rPr>
          <w:rFonts w:ascii="Arial" w:hAnsi="Arial"/>
          <w:sz w:val="24"/>
        </w:rPr>
        <w:t xml:space="preserve"> RBCs may acquire B-like antigens in vivo by the action of bacterial deacetylases that convert alpha-N-acetylgalactosamine (blood group A immunodomin</w:t>
      </w:r>
      <w:r w:rsidR="00A351C4">
        <w:rPr>
          <w:rFonts w:ascii="Arial" w:hAnsi="Arial"/>
          <w:sz w:val="24"/>
        </w:rPr>
        <w:t xml:space="preserve">ant sugar) into galactosamine. </w:t>
      </w:r>
      <w:r>
        <w:rPr>
          <w:rFonts w:ascii="Arial" w:hAnsi="Arial"/>
          <w:sz w:val="24"/>
        </w:rPr>
        <w:t>The latter is sufficiently similar to alpha-galactose (group B immunodominant sugar) as to cross-rea</w:t>
      </w:r>
      <w:r w:rsidR="00A351C4">
        <w:rPr>
          <w:rFonts w:ascii="Arial" w:hAnsi="Arial"/>
          <w:sz w:val="24"/>
        </w:rPr>
        <w:t xml:space="preserve">ct with human anti-B reagents. </w:t>
      </w:r>
      <w:r>
        <w:rPr>
          <w:rFonts w:ascii="Arial" w:hAnsi="Arial"/>
          <w:sz w:val="24"/>
        </w:rPr>
        <w:t xml:space="preserve">These acquired B-antigens are extremely susceptible to changes </w:t>
      </w:r>
      <w:r w:rsidR="002C33EE">
        <w:rPr>
          <w:rFonts w:ascii="Arial" w:hAnsi="Arial"/>
          <w:sz w:val="24"/>
        </w:rPr>
        <w:t>in</w:t>
      </w:r>
      <w:r>
        <w:rPr>
          <w:rFonts w:ascii="Arial" w:hAnsi="Arial"/>
          <w:sz w:val="24"/>
        </w:rPr>
        <w:t xml:space="preserve"> pH and are not detectable with human anti-B at pH 6.0, in contrast to normal B antigens.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ABO group shall have been determined by testing the patient’s red cells with anti-A and anti-B reagents</w:t>
      </w:r>
      <w:r w:rsidR="00A351C4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See RT.00</w:t>
      </w:r>
      <w:r w:rsidR="00F263D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– ABO Grouping.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patient’s plasma shall have been tested with A</w:t>
      </w:r>
      <w:r>
        <w:rPr>
          <w:rFonts w:ascii="Arial" w:hAnsi="Arial"/>
          <w:sz w:val="24"/>
          <w:vertAlign w:val="subscript"/>
        </w:rPr>
        <w:t>1</w:t>
      </w:r>
      <w:r w:rsidR="00A351C4">
        <w:rPr>
          <w:rFonts w:ascii="Arial" w:hAnsi="Arial"/>
          <w:sz w:val="24"/>
        </w:rPr>
        <w:t xml:space="preserve"> and B reagent red cells. </w:t>
      </w:r>
      <w:r>
        <w:rPr>
          <w:rFonts w:ascii="Arial" w:hAnsi="Arial"/>
          <w:sz w:val="24"/>
        </w:rPr>
        <w:t>See RT.00</w:t>
      </w:r>
      <w:r w:rsidR="00F263D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– ABO Grouping.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discrepancy should be investigated and resolved with appropriate documentation before issuing red cells</w:t>
      </w:r>
      <w:r w:rsidR="00A351C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See NRT.003 – ABO </w:t>
      </w:r>
      <w:r w:rsidR="00F263D6">
        <w:rPr>
          <w:rFonts w:ascii="Arial" w:hAnsi="Arial"/>
          <w:sz w:val="24"/>
        </w:rPr>
        <w:t>Discrepancies</w:t>
      </w:r>
      <w:r>
        <w:rPr>
          <w:rFonts w:ascii="Arial" w:hAnsi="Arial"/>
          <w:sz w:val="24"/>
        </w:rPr>
        <w:t>.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reagents shall be used and controlled according to the supplier’s recommendations and procedures and the CSTM Guidelines.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If a discrepancy is detected and transfusion is necessary before resolution, only group O red cells shall be issued.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C45FC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EDTA anticoagulated whole blood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>
      <w:pPr>
        <w:rPr>
          <w:rFonts w:ascii="Arial" w:hAnsi="Arial"/>
          <w:sz w:val="24"/>
        </w:rPr>
      </w:pPr>
    </w:p>
    <w:p w:rsidR="00C45FCA" w:rsidRDefault="00C45FC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Materials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10 x 75</w:t>
      </w:r>
      <w:r w:rsidR="002A41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lace">
        <w:r>
          <w:rPr>
            <w:rFonts w:ascii="Arial" w:hAnsi="Arial"/>
            <w:sz w:val="24"/>
          </w:rPr>
          <w:t>Normal</w:t>
        </w:r>
      </w:smartTag>
      <w:r>
        <w:rPr>
          <w:rFonts w:ascii="Arial" w:hAnsi="Arial"/>
          <w:sz w:val="24"/>
        </w:rPr>
        <w:t xml:space="preserve"> Group B donor cells</w:t>
      </w: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Anti-B commercial antisera (not monoclonal) </w:t>
      </w:r>
      <w:r>
        <w:rPr>
          <w:rFonts w:ascii="Arial" w:hAnsi="Arial"/>
          <w:b/>
          <w:sz w:val="24"/>
        </w:rPr>
        <w:t>or</w:t>
      </w:r>
      <w:r>
        <w:rPr>
          <w:rFonts w:ascii="Arial" w:hAnsi="Arial"/>
          <w:sz w:val="24"/>
        </w:rPr>
        <w:t xml:space="preserve"> </w:t>
      </w: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Plasma from a known Group A donor</w:t>
      </w:r>
    </w:p>
    <w:p w:rsidR="00C45FCA" w:rsidRDefault="00C45FCA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 N HCI (0.1mL 12N HCI in 1.1</w:t>
      </w:r>
      <w:r w:rsidR="002A41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mL saline)</w:t>
      </w:r>
    </w:p>
    <w:p w:rsidR="00C45FCA" w:rsidRDefault="00C45FCA">
      <w:pPr>
        <w:rPr>
          <w:rFonts w:ascii="Arial" w:hAnsi="Arial"/>
          <w:b/>
          <w:sz w:val="24"/>
        </w:rPr>
      </w:pPr>
    </w:p>
    <w:p w:rsidR="00C45FCA" w:rsidRDefault="00C45FC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See QCA.001 – Quality Control of Reagent Red Cells and Antisera.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C45FCA" w:rsidRDefault="00C45FC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C45FCA" w:rsidRDefault="00C45FCA">
      <w:pPr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204"/>
      </w:tblGrid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 w:hanging="709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Perform a patient history check. See PA.003 – Patient History Check.  Review the results of the initial ABO grouping tests.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Label two tubes, one with the first 3 letters of patient’s family name and the other with ‘Norm B cell’. Add an aliquot of red cells to the appropriately labeled tube. Wash cells three times with normal saline, prepare a 3% saline suspension.</w:t>
            </w:r>
          </w:p>
        </w:tc>
      </w:tr>
      <w:tr w:rsidR="00A351C4" w:rsidRPr="00656C57" w:rsidTr="00656C57">
        <w:trPr>
          <w:trHeight w:val="270"/>
        </w:trPr>
        <w:tc>
          <w:tcPr>
            <w:tcW w:w="3402" w:type="dxa"/>
            <w:vMerge w:val="restart"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Prepare acidified antisera.</w:t>
            </w:r>
          </w:p>
          <w:p w:rsidR="00A351C4" w:rsidRPr="00656C57" w:rsidRDefault="00A351C4" w:rsidP="00A351C4">
            <w:pPr>
              <w:rPr>
                <w:rFonts w:ascii="Arial" w:hAnsi="Arial"/>
                <w:sz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A351C4" w:rsidRPr="00656C57" w:rsidRDefault="00A351C4" w:rsidP="00656C57">
            <w:pPr>
              <w:numPr>
                <w:ilvl w:val="2"/>
                <w:numId w:val="1"/>
              </w:numPr>
              <w:tabs>
                <w:tab w:val="clear" w:pos="2160"/>
                <w:tab w:val="num" w:pos="743"/>
              </w:tabs>
              <w:spacing w:line="228" w:lineRule="auto"/>
              <w:ind w:left="743" w:hanging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Mix 0.1 mL of 1N HCI with 0.9 mL of anti-B. Check the pH and if necessary adjust to 6.0 with additional 1N HCI.</w:t>
            </w:r>
          </w:p>
        </w:tc>
      </w:tr>
      <w:tr w:rsidR="00A351C4" w:rsidRPr="00656C57" w:rsidTr="00656C57">
        <w:trPr>
          <w:trHeight w:val="105"/>
        </w:trPr>
        <w:tc>
          <w:tcPr>
            <w:tcW w:w="3402" w:type="dxa"/>
            <w:vMerge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A351C4" w:rsidRPr="00656C57" w:rsidRDefault="00A351C4" w:rsidP="00656C57">
            <w:pPr>
              <w:numPr>
                <w:ilvl w:val="2"/>
                <w:numId w:val="1"/>
              </w:numPr>
              <w:tabs>
                <w:tab w:val="clear" w:pos="216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Label the tube ‘acidified anti-B’.</w:t>
            </w:r>
          </w:p>
        </w:tc>
      </w:tr>
      <w:tr w:rsidR="00A351C4" w:rsidRPr="00656C57" w:rsidTr="00656C57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spacing w:line="228" w:lineRule="auto"/>
              <w:ind w:left="743"/>
              <w:rPr>
                <w:rFonts w:ascii="Arial" w:hAnsi="Arial"/>
                <w:sz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A351C4" w:rsidRPr="00656C57" w:rsidRDefault="00A351C4" w:rsidP="00656C57">
            <w:pPr>
              <w:numPr>
                <w:ilvl w:val="2"/>
                <w:numId w:val="1"/>
              </w:numPr>
              <w:tabs>
                <w:tab w:val="clear" w:pos="216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Add an aliquot of anti-B to a second tube and label as ‘untreated anti-B’.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pacing w:line="228" w:lineRule="auto"/>
              <w:ind w:left="743" w:hanging="709"/>
              <w:rPr>
                <w:rFonts w:ascii="Arial" w:hAnsi="Arial"/>
                <w:sz w:val="24"/>
                <w:lang w:val="fr-CA"/>
              </w:rPr>
            </w:pPr>
            <w:r w:rsidRPr="00656C57">
              <w:rPr>
                <w:rFonts w:ascii="Arial" w:hAnsi="Arial"/>
                <w:sz w:val="24"/>
                <w:lang w:val="fr-CA"/>
              </w:rPr>
              <w:t>Label 4 10 x 75 mm tubes</w:t>
            </w:r>
          </w:p>
          <w:p w:rsidR="00A351C4" w:rsidRPr="00656C57" w:rsidRDefault="00A351C4" w:rsidP="00656C57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/>
                <w:sz w:val="24"/>
                <w:lang w:val="fr-CA"/>
              </w:rPr>
            </w:pPr>
            <w:r w:rsidRPr="00656C57">
              <w:rPr>
                <w:rFonts w:ascii="Arial" w:hAnsi="Arial"/>
                <w:sz w:val="24"/>
                <w:lang w:val="fr-CA"/>
              </w:rPr>
              <w:t>Acid-B + Patient (first three letters of the patient’s family name)</w:t>
            </w:r>
          </w:p>
          <w:p w:rsidR="00A351C4" w:rsidRPr="00656C57" w:rsidRDefault="00A351C4" w:rsidP="00656C57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/>
                <w:sz w:val="24"/>
                <w:lang w:val="fr-CA"/>
              </w:rPr>
            </w:pPr>
            <w:r w:rsidRPr="00656C57">
              <w:rPr>
                <w:rFonts w:ascii="Arial" w:hAnsi="Arial"/>
                <w:sz w:val="24"/>
                <w:lang w:val="fr-CA"/>
              </w:rPr>
              <w:t>Acid-B + Norm B cell</w:t>
            </w:r>
          </w:p>
          <w:p w:rsidR="00A351C4" w:rsidRPr="00656C57" w:rsidRDefault="00A351C4" w:rsidP="00656C57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/>
                <w:sz w:val="24"/>
                <w:lang w:val="fr-CA"/>
              </w:rPr>
            </w:pPr>
            <w:r w:rsidRPr="00656C57">
              <w:rPr>
                <w:rFonts w:ascii="Arial" w:hAnsi="Arial"/>
                <w:sz w:val="24"/>
                <w:lang w:val="fr-CA"/>
              </w:rPr>
              <w:t>Norm-B + Patient (first three letters of the patient’s family name)</w:t>
            </w:r>
          </w:p>
          <w:p w:rsidR="00A351C4" w:rsidRPr="00656C57" w:rsidRDefault="00A351C4" w:rsidP="00656C57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  <w:lang w:val="fr-CA"/>
              </w:rPr>
              <w:t>Norm-B + Norm B cell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pacing w:line="228" w:lineRule="auto"/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Add 1 drop of 3% patient red cell suspension to each of the tubes labeled with the patient’s name. Add 1 drop of 3% normal B cell suspension to each of the tubes labeled Norm B cell.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A351C4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Add 2 drops of acidified anti-B to the two tubes labeled Acid -B and 2 drops of untreated anti-B to the two tubes labeled Norm –B.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Mix contents of tubes.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Centrifuge all tubes at 3400 rpm for 10-15 seconds.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Mix gently and examine macroscopically for agglutination.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Grade and record the results.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E305AC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Incubate tubes at room temperature</w:t>
            </w:r>
            <w:r w:rsidR="00321D73" w:rsidRPr="00656C57">
              <w:rPr>
                <w:rFonts w:ascii="Arial" w:hAnsi="Arial"/>
                <w:sz w:val="24"/>
              </w:rPr>
              <w:t xml:space="preserve"> for 1 hour.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Centrifuge all tubes at 3400 rpm for 10-15 seconds.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Mix gently and examine macroscopically for agglutination.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Grade and record the results.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Interpret ABO grouping. See 7.0 – Reporting.</w:t>
            </w:r>
          </w:p>
        </w:tc>
      </w:tr>
      <w:tr w:rsidR="00A351C4" w:rsidRPr="00656C57" w:rsidTr="00656C57">
        <w:tc>
          <w:tcPr>
            <w:tcW w:w="8606" w:type="dxa"/>
            <w:gridSpan w:val="2"/>
            <w:shd w:val="clear" w:color="auto" w:fill="auto"/>
          </w:tcPr>
          <w:p w:rsidR="00A351C4" w:rsidRPr="00656C57" w:rsidRDefault="00321D73" w:rsidP="00656C57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z w:val="24"/>
              </w:rPr>
            </w:pPr>
            <w:r w:rsidRPr="00656C57">
              <w:rPr>
                <w:rFonts w:ascii="Arial" w:hAnsi="Arial"/>
                <w:sz w:val="24"/>
              </w:rPr>
              <w:t>Verification of results must be recorded either manually or in the computer.</w:t>
            </w:r>
          </w:p>
        </w:tc>
      </w:tr>
    </w:tbl>
    <w:p w:rsidR="00A351C4" w:rsidRDefault="00A351C4" w:rsidP="00A351C4">
      <w:pPr>
        <w:ind w:left="1440"/>
        <w:rPr>
          <w:rFonts w:ascii="Arial" w:hAnsi="Arial"/>
          <w:sz w:val="24"/>
        </w:rPr>
      </w:pPr>
    </w:p>
    <w:p w:rsidR="00C45FCA" w:rsidRDefault="00C45FCA" w:rsidP="00321D7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>Hemagglutination tests for patients with acquired-B antigen should react as follows:</w:t>
      </w:r>
    </w:p>
    <w:p w:rsidR="00C45FCA" w:rsidRDefault="00C45FCA">
      <w:pPr>
        <w:ind w:left="720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395"/>
        <w:gridCol w:w="1728"/>
      </w:tblGrid>
      <w:tr w:rsidR="00C45FCA">
        <w:trPr>
          <w:cantSplit/>
          <w:trHeight w:val="287"/>
          <w:jc w:val="center"/>
        </w:trPr>
        <w:tc>
          <w:tcPr>
            <w:tcW w:w="1395" w:type="dxa"/>
            <w:tcBorders>
              <w:bottom w:val="nil"/>
              <w:right w:val="nil"/>
            </w:tcBorders>
          </w:tcPr>
          <w:p w:rsidR="00C45FCA" w:rsidRDefault="00C45FC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Acid</w:t>
            </w:r>
          </w:p>
          <w:p w:rsidR="00C45FCA" w:rsidRDefault="00C45FCA">
            <w:pPr>
              <w:pStyle w:val="Heading1"/>
            </w:pPr>
            <w:r>
              <w:t xml:space="preserve"> Anti-B</w:t>
            </w:r>
          </w:p>
        </w:tc>
        <w:tc>
          <w:tcPr>
            <w:tcW w:w="1395" w:type="dxa"/>
            <w:tcBorders>
              <w:bottom w:val="nil"/>
              <w:right w:val="single" w:sz="4" w:space="0" w:color="auto"/>
            </w:tcBorders>
          </w:tcPr>
          <w:p w:rsidR="00C45FCA" w:rsidRDefault="00C45FCA">
            <w:pPr>
              <w:jc w:val="center"/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Normal</w:t>
                </w:r>
              </w:smartTag>
            </w:smartTag>
          </w:p>
          <w:p w:rsidR="00C45FCA" w:rsidRDefault="00C45FCA">
            <w:pPr>
              <w:pStyle w:val="Heading1"/>
            </w:pPr>
            <w:r>
              <w:t>Anti-B</w:t>
            </w:r>
          </w:p>
        </w:tc>
        <w:tc>
          <w:tcPr>
            <w:tcW w:w="1728" w:type="dxa"/>
            <w:tcBorders>
              <w:left w:val="nil"/>
              <w:bottom w:val="nil"/>
            </w:tcBorders>
          </w:tcPr>
          <w:p w:rsidR="00C45FCA" w:rsidRDefault="00C45FCA">
            <w:pPr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Interpretation GROUP</w:t>
            </w:r>
          </w:p>
        </w:tc>
      </w:tr>
      <w:tr w:rsidR="00C45FCA">
        <w:trPr>
          <w:cantSplit/>
          <w:jc w:val="center"/>
        </w:trPr>
        <w:tc>
          <w:tcPr>
            <w:tcW w:w="2790" w:type="dxa"/>
            <w:gridSpan w:val="2"/>
            <w:tcBorders>
              <w:right w:val="nil"/>
            </w:tcBorders>
            <w:shd w:val="pct20" w:color="auto" w:fill="FFFFFF"/>
          </w:tcPr>
          <w:p w:rsidR="00C45FCA" w:rsidRDefault="00C45FCA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 xml:space="preserve">Patient Cells </w:t>
            </w:r>
          </w:p>
        </w:tc>
        <w:tc>
          <w:tcPr>
            <w:tcW w:w="1728" w:type="dxa"/>
            <w:tcBorders>
              <w:left w:val="nil"/>
            </w:tcBorders>
            <w:shd w:val="pct20" w:color="auto" w:fill="FFFFFF"/>
          </w:tcPr>
          <w:p w:rsidR="00C45FCA" w:rsidRDefault="00C45FCA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C45FCA">
        <w:trPr>
          <w:cantSplit/>
          <w:jc w:val="center"/>
        </w:trPr>
        <w:tc>
          <w:tcPr>
            <w:tcW w:w="1395" w:type="dxa"/>
            <w:tcBorders>
              <w:bottom w:val="nil"/>
            </w:tcBorders>
          </w:tcPr>
          <w:p w:rsidR="00C45FCA" w:rsidRDefault="00C45FCA">
            <w:pPr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Neg</w:t>
            </w:r>
          </w:p>
        </w:tc>
        <w:tc>
          <w:tcPr>
            <w:tcW w:w="1395" w:type="dxa"/>
            <w:tcBorders>
              <w:bottom w:val="nil"/>
            </w:tcBorders>
          </w:tcPr>
          <w:p w:rsidR="00C45FCA" w:rsidRDefault="00C45FCA">
            <w:pPr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Pos</w:t>
            </w:r>
          </w:p>
        </w:tc>
        <w:tc>
          <w:tcPr>
            <w:tcW w:w="1728" w:type="dxa"/>
            <w:tcBorders>
              <w:bottom w:val="nil"/>
            </w:tcBorders>
          </w:tcPr>
          <w:p w:rsidR="00C45FCA" w:rsidRDefault="00C45FCA">
            <w:pPr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A</w:t>
            </w:r>
          </w:p>
        </w:tc>
      </w:tr>
      <w:tr w:rsidR="00C45FCA">
        <w:trPr>
          <w:cantSplit/>
          <w:jc w:val="center"/>
        </w:trPr>
        <w:tc>
          <w:tcPr>
            <w:tcW w:w="2790" w:type="dxa"/>
            <w:gridSpan w:val="2"/>
            <w:tcBorders>
              <w:right w:val="nil"/>
            </w:tcBorders>
            <w:shd w:val="pct20" w:color="auto" w:fill="FFFFFF"/>
          </w:tcPr>
          <w:p w:rsidR="00C45FCA" w:rsidRDefault="00C45FCA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 xml:space="preserve">Normal B Cells </w:t>
            </w:r>
          </w:p>
        </w:tc>
        <w:tc>
          <w:tcPr>
            <w:tcW w:w="1728" w:type="dxa"/>
            <w:tcBorders>
              <w:left w:val="nil"/>
            </w:tcBorders>
            <w:shd w:val="pct20" w:color="auto" w:fill="FFFFFF"/>
          </w:tcPr>
          <w:p w:rsidR="00C45FCA" w:rsidRDefault="00C45FCA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C45FCA">
        <w:trPr>
          <w:cantSplit/>
          <w:jc w:val="center"/>
        </w:trPr>
        <w:tc>
          <w:tcPr>
            <w:tcW w:w="1395" w:type="dxa"/>
          </w:tcPr>
          <w:p w:rsidR="00C45FCA" w:rsidRDefault="00C45FCA">
            <w:pPr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Pos</w:t>
            </w:r>
          </w:p>
        </w:tc>
        <w:tc>
          <w:tcPr>
            <w:tcW w:w="1395" w:type="dxa"/>
          </w:tcPr>
          <w:p w:rsidR="00C45FCA" w:rsidRDefault="00C45FCA">
            <w:pPr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Pos</w:t>
            </w:r>
          </w:p>
        </w:tc>
        <w:tc>
          <w:tcPr>
            <w:tcW w:w="1728" w:type="dxa"/>
          </w:tcPr>
          <w:p w:rsidR="00C45FCA" w:rsidRDefault="00C45FC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</w:p>
        </w:tc>
      </w:tr>
    </w:tbl>
    <w:p w:rsidR="00C45FCA" w:rsidRDefault="00C45FCA">
      <w:pPr>
        <w:ind w:left="1440"/>
        <w:rPr>
          <w:rFonts w:ascii="Arial" w:hAnsi="Arial"/>
          <w:sz w:val="24"/>
        </w:rPr>
      </w:pPr>
    </w:p>
    <w:p w:rsidR="00C45FCA" w:rsidRDefault="00C45FCA">
      <w:pPr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Acquired-B cells do not react with acidified anti-B, normal group B cells do.</w:t>
      </w:r>
    </w:p>
    <w:p w:rsidR="00321D73" w:rsidRDefault="00321D73" w:rsidP="00321D73">
      <w:pPr>
        <w:ind w:left="720"/>
        <w:rPr>
          <w:rFonts w:ascii="Arial" w:hAnsi="Arial"/>
          <w:b/>
          <w:sz w:val="28"/>
        </w:rPr>
      </w:pPr>
    </w:p>
    <w:p w:rsidR="00C45FCA" w:rsidRDefault="00C45FCA" w:rsidP="00321D7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C45FCA" w:rsidRDefault="00C45FCA">
      <w:pPr>
        <w:rPr>
          <w:rFonts w:ascii="Arial" w:hAnsi="Arial"/>
          <w:sz w:val="24"/>
        </w:rPr>
      </w:pPr>
    </w:p>
    <w:p w:rsidR="00C45FCA" w:rsidRPr="00321D73" w:rsidRDefault="00C45FCA" w:rsidP="00E305AC">
      <w:pPr>
        <w:numPr>
          <w:ilvl w:val="1"/>
          <w:numId w:val="1"/>
        </w:numPr>
        <w:ind w:hanging="73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Acquired-B was first described in 1959 when 7 group A individuals where found to have </w:t>
      </w:r>
      <w:r w:rsidR="00321D73">
        <w:rPr>
          <w:rFonts w:ascii="Arial" w:hAnsi="Arial"/>
          <w:sz w:val="24"/>
        </w:rPr>
        <w:t>acquired the B antigen in vivo.</w:t>
      </w:r>
      <w:r>
        <w:rPr>
          <w:rFonts w:ascii="Arial" w:hAnsi="Arial"/>
          <w:sz w:val="24"/>
        </w:rPr>
        <w:t xml:space="preserve"> Since then numerous sim</w:t>
      </w:r>
      <w:r w:rsidR="00321D73">
        <w:rPr>
          <w:rFonts w:ascii="Arial" w:hAnsi="Arial"/>
          <w:sz w:val="24"/>
        </w:rPr>
        <w:t xml:space="preserve">ilar cases have been reported. </w:t>
      </w:r>
      <w:r>
        <w:rPr>
          <w:rFonts w:ascii="Arial" w:hAnsi="Arial"/>
          <w:sz w:val="24"/>
        </w:rPr>
        <w:t xml:space="preserve">The phenomenon is </w:t>
      </w:r>
      <w:r w:rsidRPr="00321D73">
        <w:rPr>
          <w:rFonts w:ascii="Arial" w:hAnsi="Arial"/>
          <w:sz w:val="24"/>
        </w:rPr>
        <w:t xml:space="preserve">often associated with carcinoma </w:t>
      </w:r>
      <w:r w:rsidR="00DF5666" w:rsidRPr="00321D73">
        <w:rPr>
          <w:rFonts w:ascii="Arial" w:hAnsi="Arial"/>
          <w:sz w:val="24"/>
        </w:rPr>
        <w:t>and with</w:t>
      </w:r>
      <w:r w:rsidRPr="00321D73">
        <w:rPr>
          <w:rFonts w:ascii="Arial" w:hAnsi="Arial"/>
          <w:sz w:val="24"/>
        </w:rPr>
        <w:t xml:space="preserve"> massive infections of the gut.</w:t>
      </w:r>
      <w:r w:rsidRPr="00321D73">
        <w:rPr>
          <w:rFonts w:ascii="Arial" w:hAnsi="Arial"/>
          <w:sz w:val="24"/>
          <w:vertAlign w:val="superscript"/>
        </w:rPr>
        <w:t xml:space="preserve"> </w:t>
      </w:r>
      <w:r w:rsidRPr="00321D73">
        <w:rPr>
          <w:rFonts w:ascii="Arial" w:hAnsi="Arial"/>
          <w:sz w:val="24"/>
        </w:rPr>
        <w:t>This is a rare condition where group A antigen sites are transformed by bacterial enzymes, resulting in B-like ac</w:t>
      </w:r>
      <w:r w:rsidR="00321D73">
        <w:rPr>
          <w:rFonts w:ascii="Arial" w:hAnsi="Arial"/>
          <w:sz w:val="24"/>
        </w:rPr>
        <w:t>tivity when tested with anti-B.</w:t>
      </w:r>
      <w:r w:rsidRPr="00321D73">
        <w:rPr>
          <w:rFonts w:ascii="Arial" w:hAnsi="Arial"/>
          <w:sz w:val="24"/>
        </w:rPr>
        <w:t xml:space="preserve"> The reactions obtained with the anti-B sera are usually weaker than the reactions obtained with the anti-A, and the auto</w:t>
      </w:r>
      <w:r w:rsidR="00321D73">
        <w:rPr>
          <w:rFonts w:ascii="Arial" w:hAnsi="Arial"/>
          <w:sz w:val="24"/>
        </w:rPr>
        <w:t xml:space="preserve"> control is negative.</w:t>
      </w:r>
      <w:r w:rsidRPr="00321D73">
        <w:rPr>
          <w:rFonts w:ascii="Arial" w:hAnsi="Arial"/>
          <w:sz w:val="24"/>
        </w:rPr>
        <w:t xml:space="preserve"> This transformation is sometimes seen in group A</w:t>
      </w:r>
      <w:r w:rsidRPr="00321D73">
        <w:rPr>
          <w:rFonts w:ascii="Arial" w:hAnsi="Arial"/>
          <w:sz w:val="24"/>
          <w:vertAlign w:val="subscript"/>
        </w:rPr>
        <w:t>1</w:t>
      </w:r>
      <w:r w:rsidRPr="00321D73">
        <w:rPr>
          <w:rFonts w:ascii="Arial" w:hAnsi="Arial"/>
          <w:sz w:val="24"/>
        </w:rPr>
        <w:t xml:space="preserve"> patients who have carcinoma of the colon or inflammatory bowel disease, septicemia, etc.  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321D73" w:rsidP="00E305AC">
      <w:pPr>
        <w:numPr>
          <w:ilvl w:val="1"/>
          <w:numId w:val="5"/>
        </w:numPr>
        <w:tabs>
          <w:tab w:val="clear" w:pos="1080"/>
          <w:tab w:val="num" w:pos="1418"/>
        </w:tabs>
        <w:ind w:left="141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C45FCA">
        <w:rPr>
          <w:rFonts w:ascii="Arial" w:hAnsi="Arial"/>
          <w:sz w:val="24"/>
        </w:rPr>
        <w:t>Acquired-B has not been reported in patients who type as A</w:t>
      </w:r>
      <w:r w:rsidR="00C45FCA">
        <w:rPr>
          <w:rFonts w:ascii="Arial" w:hAnsi="Arial"/>
          <w:sz w:val="24"/>
          <w:vertAlign w:val="subscript"/>
        </w:rPr>
        <w:t>2</w:t>
      </w:r>
      <w:r w:rsidR="00C45FCA">
        <w:rPr>
          <w:rFonts w:ascii="Arial" w:hAnsi="Arial"/>
          <w:sz w:val="24"/>
        </w:rPr>
        <w:t>.</w:t>
      </w:r>
    </w:p>
    <w:p w:rsidR="00C45FCA" w:rsidRDefault="00C45FCA">
      <w:pPr>
        <w:ind w:left="720"/>
        <w:rPr>
          <w:rFonts w:ascii="Arial" w:hAnsi="Arial"/>
          <w:sz w:val="24"/>
        </w:rPr>
      </w:pPr>
    </w:p>
    <w:p w:rsidR="00321D73" w:rsidRDefault="00C45FCA" w:rsidP="00E305AC">
      <w:pPr>
        <w:numPr>
          <w:ilvl w:val="1"/>
          <w:numId w:val="5"/>
        </w:numPr>
        <w:tabs>
          <w:tab w:val="clear" w:pos="1080"/>
          <w:tab w:val="num" w:pos="1418"/>
        </w:tabs>
        <w:ind w:left="1418" w:hanging="709"/>
        <w:rPr>
          <w:rFonts w:ascii="Arial" w:hAnsi="Arial"/>
          <w:sz w:val="24"/>
        </w:rPr>
      </w:pPr>
      <w:r w:rsidRPr="00321D73">
        <w:rPr>
          <w:rFonts w:ascii="Arial" w:hAnsi="Arial"/>
          <w:sz w:val="24"/>
        </w:rPr>
        <w:t>When group A</w:t>
      </w:r>
      <w:r w:rsidRPr="00321D73">
        <w:rPr>
          <w:rFonts w:ascii="Arial" w:hAnsi="Arial"/>
          <w:sz w:val="24"/>
          <w:vertAlign w:val="subscript"/>
        </w:rPr>
        <w:t>1</w:t>
      </w:r>
      <w:r w:rsidRPr="00321D73">
        <w:rPr>
          <w:rFonts w:ascii="Arial" w:hAnsi="Arial"/>
          <w:sz w:val="24"/>
        </w:rPr>
        <w:t xml:space="preserve"> cells are transfused to a patient with</w:t>
      </w:r>
      <w:r w:rsidR="008C35F3" w:rsidRPr="00321D73">
        <w:rPr>
          <w:rFonts w:ascii="Arial" w:hAnsi="Arial"/>
          <w:sz w:val="24"/>
        </w:rPr>
        <w:t xml:space="preserve"> </w:t>
      </w:r>
      <w:r w:rsidRPr="00321D73">
        <w:rPr>
          <w:rFonts w:ascii="Arial" w:hAnsi="Arial"/>
          <w:sz w:val="24"/>
        </w:rPr>
        <w:t>acquired-B</w:t>
      </w:r>
      <w:r w:rsidR="00321D73" w:rsidRPr="00321D73">
        <w:rPr>
          <w:rFonts w:ascii="Arial" w:hAnsi="Arial"/>
          <w:sz w:val="24"/>
        </w:rPr>
        <w:t>,</w:t>
      </w:r>
      <w:r w:rsidRPr="00321D73">
        <w:rPr>
          <w:rFonts w:ascii="Arial" w:hAnsi="Arial"/>
          <w:sz w:val="24"/>
        </w:rPr>
        <w:t xml:space="preserve"> they will also acquire the B antigen</w:t>
      </w:r>
      <w:r w:rsidR="00DF5666" w:rsidRPr="00321D73">
        <w:rPr>
          <w:rFonts w:ascii="Arial" w:hAnsi="Arial"/>
          <w:sz w:val="24"/>
        </w:rPr>
        <w:t>. A</w:t>
      </w:r>
      <w:r w:rsidRPr="00321D73">
        <w:rPr>
          <w:rFonts w:ascii="Arial" w:hAnsi="Arial"/>
          <w:sz w:val="24"/>
        </w:rPr>
        <w:t>s expected</w:t>
      </w:r>
      <w:r w:rsidR="00DF5666" w:rsidRPr="00321D73">
        <w:rPr>
          <w:rFonts w:ascii="Arial" w:hAnsi="Arial"/>
          <w:sz w:val="24"/>
        </w:rPr>
        <w:t>,</w:t>
      </w:r>
      <w:r w:rsidRPr="00321D73">
        <w:rPr>
          <w:rFonts w:ascii="Arial" w:hAnsi="Arial"/>
          <w:sz w:val="24"/>
        </w:rPr>
        <w:t xml:space="preserve"> Group O cells are unaffected. The patient’s plasma does not react with their own, or other, acquired-B cells.</w:t>
      </w:r>
    </w:p>
    <w:p w:rsidR="00321D73" w:rsidRDefault="00321D73" w:rsidP="00321D73">
      <w:pPr>
        <w:pStyle w:val="ListParagraph"/>
        <w:rPr>
          <w:rFonts w:ascii="Arial" w:hAnsi="Arial"/>
          <w:sz w:val="24"/>
        </w:rPr>
      </w:pPr>
    </w:p>
    <w:p w:rsidR="00F263D6" w:rsidRPr="00321D73" w:rsidRDefault="00F263D6" w:rsidP="00BA1814">
      <w:pPr>
        <w:numPr>
          <w:ilvl w:val="1"/>
          <w:numId w:val="5"/>
        </w:numPr>
        <w:tabs>
          <w:tab w:val="clear" w:pos="1080"/>
          <w:tab w:val="num" w:pos="1418"/>
        </w:tabs>
        <w:ind w:left="1418" w:hanging="709"/>
        <w:rPr>
          <w:rFonts w:ascii="Arial" w:hAnsi="Arial"/>
          <w:sz w:val="24"/>
        </w:rPr>
      </w:pPr>
      <w:r w:rsidRPr="00321D73">
        <w:rPr>
          <w:rFonts w:ascii="Arial" w:hAnsi="Arial"/>
          <w:sz w:val="24"/>
        </w:rPr>
        <w:t xml:space="preserve">Acquired B antigen is not detected when monoclonal anti-sera are used. </w:t>
      </w:r>
    </w:p>
    <w:p w:rsidR="00C45FCA" w:rsidRDefault="00C45FCA">
      <w:pPr>
        <w:rPr>
          <w:rFonts w:ascii="Arial" w:hAnsi="Arial"/>
          <w:sz w:val="24"/>
        </w:rPr>
      </w:pPr>
    </w:p>
    <w:p w:rsidR="00C45FCA" w:rsidRDefault="00C45FCA" w:rsidP="00321D7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A719D3" w:rsidRDefault="00A719D3" w:rsidP="00A719D3">
      <w:pPr>
        <w:rPr>
          <w:rFonts w:ascii="Arial" w:hAnsi="Arial"/>
          <w:b/>
          <w:sz w:val="28"/>
        </w:rPr>
      </w:pPr>
    </w:p>
    <w:p w:rsidR="00321D73" w:rsidRDefault="00A719D3" w:rsidP="00321D73">
      <w:pPr>
        <w:numPr>
          <w:ilvl w:val="1"/>
          <w:numId w:val="1"/>
        </w:numPr>
        <w:suppressAutoHyphens/>
        <w:ind w:hanging="589"/>
        <w:rPr>
          <w:rFonts w:ascii="Arial" w:hAnsi="Arial"/>
          <w:spacing w:val="-2"/>
          <w:sz w:val="24"/>
          <w:lang w:val="en-GB"/>
        </w:rPr>
      </w:pPr>
      <w:r w:rsidRPr="003A3C43">
        <w:rPr>
          <w:rFonts w:ascii="Arial" w:hAnsi="Arial"/>
          <w:spacing w:val="-2"/>
          <w:sz w:val="24"/>
          <w:lang w:val="en-GB"/>
        </w:rPr>
        <w:t>Judd, WJ ed. Judd’s Methods in Immunohematology, 3rd ed</w:t>
      </w:r>
      <w:r w:rsidR="00BA1814">
        <w:rPr>
          <w:rFonts w:ascii="Arial" w:hAnsi="Arial"/>
          <w:spacing w:val="-2"/>
          <w:sz w:val="24"/>
          <w:lang w:val="en-GB"/>
        </w:rPr>
        <w:t>.</w:t>
      </w:r>
      <w:r w:rsidRPr="003A3C43">
        <w:rPr>
          <w:rFonts w:ascii="Arial" w:hAnsi="Arial"/>
          <w:spacing w:val="-2"/>
          <w:sz w:val="24"/>
          <w:lang w:val="en-GB"/>
        </w:rPr>
        <w:t>,   Bethesda, MD</w:t>
      </w:r>
      <w:r>
        <w:rPr>
          <w:rFonts w:ascii="Arial" w:hAnsi="Arial"/>
          <w:spacing w:val="-2"/>
          <w:sz w:val="24"/>
          <w:lang w:val="en-GB"/>
        </w:rPr>
        <w:t>: pg. 577-579.</w:t>
      </w:r>
    </w:p>
    <w:p w:rsidR="00321D73" w:rsidRDefault="00321D73" w:rsidP="00321D73">
      <w:pPr>
        <w:suppressAutoHyphens/>
        <w:ind w:left="1440"/>
        <w:rPr>
          <w:rFonts w:ascii="Arial" w:hAnsi="Arial"/>
          <w:spacing w:val="-2"/>
          <w:sz w:val="24"/>
          <w:lang w:val="en-GB"/>
        </w:rPr>
      </w:pPr>
    </w:p>
    <w:p w:rsidR="00321D73" w:rsidRPr="00321D73" w:rsidRDefault="00321D73" w:rsidP="00321D73">
      <w:pPr>
        <w:numPr>
          <w:ilvl w:val="0"/>
          <w:numId w:val="1"/>
        </w:numPr>
        <w:suppressAutoHyphens/>
        <w:rPr>
          <w:rFonts w:ascii="Arial" w:hAnsi="Arial"/>
          <w:b/>
          <w:spacing w:val="-2"/>
          <w:sz w:val="28"/>
          <w:lang w:val="en-GB"/>
        </w:rPr>
      </w:pPr>
      <w:r w:rsidRPr="00321D73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A719D3" w:rsidRDefault="00A719D3" w:rsidP="00A719D3">
      <w:pPr>
        <w:suppressAutoHyphens/>
        <w:rPr>
          <w:rFonts w:ascii="Arial" w:hAnsi="Arial"/>
          <w:spacing w:val="-2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321D73" w:rsidRPr="00656C57" w:rsidTr="00BA1814">
        <w:tc>
          <w:tcPr>
            <w:tcW w:w="3085" w:type="dxa"/>
            <w:shd w:val="clear" w:color="auto" w:fill="BFBFBF"/>
          </w:tcPr>
          <w:p w:rsidR="00321D73" w:rsidRPr="00656C57" w:rsidRDefault="00321D73" w:rsidP="00656C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 w:rsidRPr="00656C57">
              <w:rPr>
                <w:rFonts w:ascii="Arial" w:hAnsi="Arial"/>
                <w:b/>
                <w:sz w:val="22"/>
                <w:lang w:val="en-GB"/>
              </w:rPr>
              <w:t>Revision Date</w:t>
            </w:r>
          </w:p>
        </w:tc>
        <w:tc>
          <w:tcPr>
            <w:tcW w:w="5771" w:type="dxa"/>
            <w:shd w:val="clear" w:color="auto" w:fill="BFBFBF"/>
          </w:tcPr>
          <w:p w:rsidR="00321D73" w:rsidRPr="00656C57" w:rsidRDefault="00321D73" w:rsidP="00656C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 w:rsidRPr="00656C57">
              <w:rPr>
                <w:rFonts w:ascii="Arial" w:hAnsi="Arial"/>
                <w:b/>
                <w:sz w:val="22"/>
                <w:lang w:val="en-GB"/>
              </w:rPr>
              <w:t>Summary of Revision</w:t>
            </w:r>
          </w:p>
        </w:tc>
      </w:tr>
      <w:tr w:rsidR="00321D73" w:rsidRPr="00656C57" w:rsidTr="00BA1814">
        <w:tc>
          <w:tcPr>
            <w:tcW w:w="3085" w:type="dxa"/>
            <w:shd w:val="clear" w:color="auto" w:fill="auto"/>
          </w:tcPr>
          <w:p w:rsidR="00321D73" w:rsidRPr="00656C57" w:rsidRDefault="00321D73" w:rsidP="00656C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GB"/>
              </w:rPr>
            </w:pPr>
            <w:r w:rsidRPr="00656C57">
              <w:rPr>
                <w:rFonts w:ascii="Arial" w:hAnsi="Arial"/>
                <w:sz w:val="22"/>
                <w:lang w:val="en-GB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321D73" w:rsidRPr="00656C57" w:rsidRDefault="00321D73" w:rsidP="00656C57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GB"/>
              </w:rPr>
            </w:pPr>
            <w:r w:rsidRPr="00656C57">
              <w:rPr>
                <w:rFonts w:ascii="Arial" w:hAnsi="Arial"/>
                <w:sz w:val="22"/>
                <w:lang w:val="en-GB"/>
              </w:rPr>
              <w:t>Revised name of manual</w:t>
            </w:r>
          </w:p>
          <w:p w:rsidR="00321D73" w:rsidRPr="00656C57" w:rsidRDefault="00321D73" w:rsidP="00656C57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GB"/>
              </w:rPr>
            </w:pPr>
            <w:r w:rsidRPr="00656C57">
              <w:rPr>
                <w:rFonts w:ascii="Arial" w:hAnsi="Arial"/>
                <w:sz w:val="22"/>
                <w:lang w:val="en-GB"/>
              </w:rPr>
              <w:t>Changed RT.001 to RT.004 in sections 2.1 &amp; 2.2</w:t>
            </w:r>
          </w:p>
          <w:p w:rsidR="00321D73" w:rsidRPr="00656C57" w:rsidRDefault="00321D73" w:rsidP="00656C57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GB"/>
              </w:rPr>
            </w:pPr>
            <w:r w:rsidRPr="00656C57">
              <w:rPr>
                <w:rFonts w:ascii="Arial" w:hAnsi="Arial"/>
                <w:sz w:val="22"/>
                <w:lang w:val="en-GB"/>
              </w:rPr>
              <w:t>Revised wording in section 6.0</w:t>
            </w:r>
          </w:p>
          <w:p w:rsidR="00321D73" w:rsidRPr="00656C57" w:rsidRDefault="00321D73" w:rsidP="00656C57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GB"/>
              </w:rPr>
            </w:pPr>
            <w:r w:rsidRPr="00656C57">
              <w:rPr>
                <w:rFonts w:ascii="Arial" w:hAnsi="Arial"/>
                <w:sz w:val="22"/>
                <w:lang w:val="en-GB"/>
              </w:rPr>
              <w:t>Added section 8.4 “Acquired B antigen is not detected when monoclonal anti-sera are used.”</w:t>
            </w:r>
          </w:p>
        </w:tc>
      </w:tr>
    </w:tbl>
    <w:p w:rsidR="00C45FCA" w:rsidRPr="00321D73" w:rsidRDefault="00C45FCA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en-GB"/>
        </w:rPr>
      </w:pPr>
    </w:p>
    <w:sectPr w:rsidR="00C45FCA" w:rsidRPr="00321D7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6E" w:rsidRDefault="000A296E">
      <w:r>
        <w:separator/>
      </w:r>
    </w:p>
  </w:endnote>
  <w:endnote w:type="continuationSeparator" w:id="0">
    <w:p w:rsidR="000A296E" w:rsidRDefault="000A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45FCA">
      <w:trPr>
        <w:trHeight w:val="720"/>
      </w:trPr>
      <w:tc>
        <w:tcPr>
          <w:tcW w:w="1368" w:type="dxa"/>
        </w:tcPr>
        <w:p w:rsidR="00C45FCA" w:rsidRDefault="00C45FCA">
          <w:pPr>
            <w:pStyle w:val="Footer"/>
            <w:jc w:val="center"/>
            <w:rPr>
              <w:sz w:val="8"/>
            </w:rPr>
          </w:pPr>
        </w:p>
        <w:p w:rsidR="00C45FCA" w:rsidRDefault="00D5658A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45FCA" w:rsidRDefault="00C45FC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A4170" w:rsidRDefault="002A4170" w:rsidP="002A4170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C45FCA" w:rsidRDefault="00A351C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C45FCA" w:rsidRDefault="00C45FC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45FCA" w:rsidRDefault="00C45FCA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45FCA" w:rsidRDefault="00C45FC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45FCA" w:rsidRDefault="00C45FC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SP.023</w:t>
          </w:r>
          <w:r>
            <w:rPr>
              <w:rFonts w:ascii="Arial" w:hAnsi="Arial"/>
              <w:sz w:val="18"/>
            </w:rPr>
            <w:br/>
          </w:r>
        </w:p>
        <w:p w:rsidR="00C45FCA" w:rsidRDefault="00C45FC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631AB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631AB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45FCA" w:rsidRDefault="00C45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45FCA">
      <w:trPr>
        <w:trHeight w:val="720"/>
      </w:trPr>
      <w:tc>
        <w:tcPr>
          <w:tcW w:w="1368" w:type="dxa"/>
        </w:tcPr>
        <w:p w:rsidR="00C45FCA" w:rsidRDefault="00C45FC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45FCA" w:rsidRDefault="00D5658A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45FCA" w:rsidRDefault="00C45FC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A4170" w:rsidRDefault="002A4170" w:rsidP="002A4170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C45FCA" w:rsidRDefault="00A351C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C45FCA" w:rsidRDefault="00C45FC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45FCA" w:rsidRDefault="00C45FCA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45FCA" w:rsidRDefault="00C45FC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45FCA" w:rsidRDefault="00C45FC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SP.023</w:t>
          </w:r>
          <w:r>
            <w:rPr>
              <w:rFonts w:ascii="Arial" w:hAnsi="Arial"/>
              <w:sz w:val="18"/>
            </w:rPr>
            <w:br/>
          </w:r>
        </w:p>
        <w:p w:rsidR="00C45FCA" w:rsidRDefault="00C45FC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631A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631A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45FCA" w:rsidRDefault="00C4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6E" w:rsidRDefault="000A296E">
      <w:r>
        <w:separator/>
      </w:r>
    </w:p>
  </w:footnote>
  <w:footnote w:type="continuationSeparator" w:id="0">
    <w:p w:rsidR="000A296E" w:rsidRDefault="000A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CA" w:rsidRDefault="00C45FC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Acquired-B Antigen Testing</w:t>
    </w:r>
  </w:p>
  <w:p w:rsidR="00C45FCA" w:rsidRDefault="00C45FCA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CA" w:rsidRDefault="00D5658A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1C4" w:rsidRDefault="00A351C4">
    <w:pPr>
      <w:pStyle w:val="Header"/>
      <w:rPr>
        <w:rFonts w:ascii="Arial" w:hAnsi="Arial" w:cs="Arial"/>
        <w:b/>
        <w:bCs/>
        <w:sz w:val="22"/>
      </w:rPr>
    </w:pPr>
  </w:p>
  <w:p w:rsidR="00A351C4" w:rsidRDefault="00A351C4" w:rsidP="00A351C4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A351C4" w:rsidRDefault="00A351C4" w:rsidP="00A351C4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C45FCA" w:rsidRDefault="00C45FCA">
    <w:pPr>
      <w:pStyle w:val="Header"/>
      <w:jc w:val="center"/>
      <w:rPr>
        <w:rFonts w:ascii="Arial" w:hAnsi="Arial" w:cs="Arial"/>
        <w:b/>
        <w:bCs/>
        <w:sz w:val="22"/>
      </w:rPr>
    </w:pPr>
  </w:p>
  <w:p w:rsidR="00C45FCA" w:rsidRDefault="00C45FC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Acquired-B Antigen Testing</w:t>
    </w:r>
  </w:p>
  <w:p w:rsidR="00C45FCA" w:rsidRDefault="00C45FCA">
    <w:pPr>
      <w:pStyle w:val="Header"/>
      <w:jc w:val="center"/>
      <w:rPr>
        <w:rFonts w:ascii="Arial" w:hAnsi="Arial" w:cs="Arial"/>
      </w:rPr>
    </w:pPr>
  </w:p>
  <w:p w:rsidR="00C45FCA" w:rsidRDefault="00D5658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F7E4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C45FCA">
      <w:tc>
        <w:tcPr>
          <w:tcW w:w="4428" w:type="dxa"/>
        </w:tcPr>
        <w:p w:rsidR="00C45FCA" w:rsidRDefault="00C45FC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C45FCA" w:rsidRDefault="00C45FC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SP.023</w:t>
          </w:r>
        </w:p>
      </w:tc>
    </w:tr>
    <w:tr w:rsidR="00C45FCA">
      <w:tc>
        <w:tcPr>
          <w:tcW w:w="4428" w:type="dxa"/>
        </w:tcPr>
        <w:p w:rsidR="00C45FCA" w:rsidRDefault="00C45FC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C45FCA" w:rsidRDefault="00C45FC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C45FCA">
      <w:tc>
        <w:tcPr>
          <w:tcW w:w="4428" w:type="dxa"/>
        </w:tcPr>
        <w:p w:rsidR="00C45FCA" w:rsidRDefault="00C45FC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2A4170">
            <w:rPr>
              <w:rFonts w:ascii="Arial" w:hAnsi="Arial" w:cs="Arial"/>
            </w:rPr>
            <w:t xml:space="preserve">  2009/09/01</w:t>
          </w:r>
          <w:r w:rsidR="00F263D6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C45FCA" w:rsidRDefault="00C45FC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B631AB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B631AB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C45FCA" w:rsidRDefault="00D5658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074C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45FCA">
      <w:rPr>
        <w:rFonts w:ascii="Arial" w:hAnsi="Arial" w:cs="Arial"/>
      </w:rPr>
      <w:tab/>
    </w:r>
  </w:p>
  <w:p w:rsidR="00C45FCA" w:rsidRDefault="00C45FCA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1D"/>
    <w:multiLevelType w:val="multilevel"/>
    <w:tmpl w:val="B7B677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AC5A2A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F0857F8"/>
    <w:multiLevelType w:val="hybridMultilevel"/>
    <w:tmpl w:val="1402E692"/>
    <w:lvl w:ilvl="0" w:tplc="F4DC2A0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</w:abstractNum>
  <w:abstractNum w:abstractNumId="3" w15:restartNumberingAfterBreak="0">
    <w:nsid w:val="19AB6C89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0D4E9E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B5351A9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CCC398F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14D09CB"/>
    <w:multiLevelType w:val="multilevel"/>
    <w:tmpl w:val="C33EDC58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2F50FBC"/>
    <w:multiLevelType w:val="hybridMultilevel"/>
    <w:tmpl w:val="9C644A3E"/>
    <w:lvl w:ilvl="0" w:tplc="10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6F60DA3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9FF6FEF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755980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AA10EEC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AC63889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0932298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5A35CC2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5F94BD2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67A3242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71C63A1"/>
    <w:multiLevelType w:val="multilevel"/>
    <w:tmpl w:val="D1E2802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9401894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BF67F42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D2861E7"/>
    <w:multiLevelType w:val="multilevel"/>
    <w:tmpl w:val="4DB0CE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D540820"/>
    <w:multiLevelType w:val="multilevel"/>
    <w:tmpl w:val="B724721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870FA2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9"/>
  </w:num>
  <w:num w:numId="5">
    <w:abstractNumId w:val="22"/>
  </w:num>
  <w:num w:numId="6">
    <w:abstractNumId w:val="7"/>
  </w:num>
  <w:num w:numId="7">
    <w:abstractNumId w:val="9"/>
  </w:num>
  <w:num w:numId="8">
    <w:abstractNumId w:val="21"/>
  </w:num>
  <w:num w:numId="9">
    <w:abstractNumId w:val="15"/>
  </w:num>
  <w:num w:numId="10">
    <w:abstractNumId w:val="20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  <w:num w:numId="20">
    <w:abstractNumId w:val="4"/>
  </w:num>
  <w:num w:numId="21">
    <w:abstractNumId w:val="1"/>
  </w:num>
  <w:num w:numId="22">
    <w:abstractNumId w:val="18"/>
  </w:num>
  <w:num w:numId="23">
    <w:abstractNumId w:val="1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D3"/>
    <w:rsid w:val="00016E57"/>
    <w:rsid w:val="00021116"/>
    <w:rsid w:val="000A296E"/>
    <w:rsid w:val="000B5809"/>
    <w:rsid w:val="00202FAF"/>
    <w:rsid w:val="002A4170"/>
    <w:rsid w:val="002C33EE"/>
    <w:rsid w:val="002D5714"/>
    <w:rsid w:val="00321D73"/>
    <w:rsid w:val="0060493E"/>
    <w:rsid w:val="00656C57"/>
    <w:rsid w:val="007E2167"/>
    <w:rsid w:val="008011E2"/>
    <w:rsid w:val="008C35F3"/>
    <w:rsid w:val="009A0050"/>
    <w:rsid w:val="00A351C4"/>
    <w:rsid w:val="00A47A56"/>
    <w:rsid w:val="00A719D3"/>
    <w:rsid w:val="00B111E2"/>
    <w:rsid w:val="00B631AB"/>
    <w:rsid w:val="00BA1814"/>
    <w:rsid w:val="00C45FCA"/>
    <w:rsid w:val="00D5658A"/>
    <w:rsid w:val="00D8175B"/>
    <w:rsid w:val="00DF5666"/>
    <w:rsid w:val="00E305AC"/>
    <w:rsid w:val="00F2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041E4-A86E-4B1F-A323-AAECDCF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360"/>
      </w:tabs>
      <w:spacing w:after="240"/>
      <w:ind w:left="0" w:firstLine="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line="228" w:lineRule="auto"/>
      <w:ind w:left="2160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C33E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5F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3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D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1B19-B647-4C5F-8C8D-EF8D803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SP.023 - Acquired-B Antigen Testing</vt:lpstr>
    </vt:vector>
  </TitlesOfParts>
  <Company>The Ottawa Hospital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SP.023 - Acquired-B Antigen Testing</dc:title>
  <dc:subject/>
  <dc:creator>Transfusion Ontario Program Office</dc:creator>
  <cp:keywords/>
  <cp:lastModifiedBy>Nesrallah, Heather</cp:lastModifiedBy>
  <cp:revision>2</cp:revision>
  <cp:lastPrinted>2015-01-06T18:47:00Z</cp:lastPrinted>
  <dcterms:created xsi:type="dcterms:W3CDTF">2020-08-11T15:20:00Z</dcterms:created>
  <dcterms:modified xsi:type="dcterms:W3CDTF">2020-08-11T15:20:00Z</dcterms:modified>
</cp:coreProperties>
</file>