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Principle</w:t>
      </w:r>
    </w:p>
    <w:p w:rsidR="00E85F9C" w:rsidRDefault="00E85F9C">
      <w:pPr>
        <w:rPr>
          <w:rFonts w:ascii="Arial" w:hAnsi="Arial"/>
          <w:b/>
        </w:rPr>
      </w:pPr>
    </w:p>
    <w:p w:rsidR="00E85F9C" w:rsidRDefault="00E85F9C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Fetal cells are not denatured in an alkaline solution. Adult cells will be denatured and </w:t>
      </w:r>
      <w:r w:rsidR="00B14E8E">
        <w:rPr>
          <w:rFonts w:ascii="Arial" w:hAnsi="Arial"/>
          <w:sz w:val="24"/>
        </w:rPr>
        <w:t>demonstrated by a change in colour.</w:t>
      </w:r>
    </w:p>
    <w:p w:rsidR="00E85F9C" w:rsidRDefault="00E85F9C">
      <w:pPr>
        <w:ind w:left="720"/>
        <w:rPr>
          <w:rFonts w:ascii="Arial" w:hAnsi="Arial"/>
        </w:rPr>
      </w:pPr>
    </w:p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Scope and Related Policies </w:t>
      </w:r>
    </w:p>
    <w:p w:rsidR="00E85F9C" w:rsidRDefault="00E85F9C">
      <w:pPr>
        <w:rPr>
          <w:rFonts w:ascii="Arial" w:hAnsi="Arial"/>
          <w:b/>
        </w:rPr>
      </w:pPr>
    </w:p>
    <w:p w:rsidR="00E85F9C" w:rsidRDefault="00E85F9C" w:rsidP="006364BF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alkaline denaturation test should be used as a screening test to identify Maternal-Cord samples which have been incorrectly labeled.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 w:rsidP="006364BF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confirmed errors in labeling should be reported to the Charge Technologist or designate</w:t>
      </w:r>
    </w:p>
    <w:p w:rsidR="00E85F9C" w:rsidRDefault="00E85F9C">
      <w:pPr>
        <w:rPr>
          <w:rFonts w:ascii="Arial" w:hAnsi="Arial"/>
          <w:sz w:val="24"/>
        </w:rPr>
      </w:pPr>
    </w:p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Specimens </w:t>
      </w:r>
    </w:p>
    <w:p w:rsidR="00E85F9C" w:rsidRDefault="00E85F9C">
      <w:pPr>
        <w:rPr>
          <w:rFonts w:ascii="Arial" w:hAnsi="Arial"/>
          <w:b/>
          <w:sz w:val="24"/>
        </w:rPr>
      </w:pPr>
    </w:p>
    <w:p w:rsidR="00E85F9C" w:rsidRDefault="00E85F9C">
      <w:pPr>
        <w:ind w:left="720"/>
        <w:rPr>
          <w:rFonts w:ascii="Arial" w:hAnsi="Arial"/>
          <w:b/>
          <w:sz w:val="28"/>
        </w:rPr>
      </w:pPr>
      <w:r>
        <w:rPr>
          <w:rFonts w:ascii="Arial" w:hAnsi="Arial"/>
          <w:sz w:val="24"/>
        </w:rPr>
        <w:t>EDTA anticoagulated whole blood or clotted sample</w:t>
      </w:r>
    </w:p>
    <w:p w:rsidR="00E85F9C" w:rsidRDefault="00E85F9C">
      <w:pPr>
        <w:rPr>
          <w:rFonts w:ascii="Arial" w:hAnsi="Arial"/>
          <w:sz w:val="24"/>
        </w:rPr>
      </w:pPr>
    </w:p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Materials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  <w:t>Block for test tubes</w:t>
      </w:r>
    </w:p>
    <w:p w:rsidR="00E85F9C" w:rsidRDefault="00E85F9C">
      <w:pPr>
        <w:ind w:left="720"/>
        <w:rPr>
          <w:rFonts w:ascii="Arial" w:hAnsi="Arial"/>
        </w:rPr>
      </w:pPr>
    </w:p>
    <w:p w:rsidR="00E85F9C" w:rsidRDefault="00E85F9C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Supplies:</w:t>
      </w:r>
      <w:r>
        <w:rPr>
          <w:rFonts w:ascii="Arial" w:hAnsi="Arial"/>
          <w:sz w:val="24"/>
        </w:rPr>
        <w:tab/>
        <w:t>Test tubes – 10 x 75 mm</w:t>
      </w:r>
    </w:p>
    <w:p w:rsidR="00E85F9C" w:rsidRDefault="00E85F9C">
      <w:pPr>
        <w:ind w:left="720"/>
        <w:rPr>
          <w:rFonts w:ascii="Arial" w:hAnsi="Arial"/>
        </w:rPr>
      </w:pPr>
    </w:p>
    <w:p w:rsidR="00E85F9C" w:rsidRDefault="00E85F9C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  <w:t xml:space="preserve">0.1N NaOH </w:t>
      </w:r>
    </w:p>
    <w:p w:rsidR="00E85F9C" w:rsidRDefault="00E85F9C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Saline</w:t>
      </w:r>
    </w:p>
    <w:p w:rsidR="00E85F9C" w:rsidRDefault="00E85F9C">
      <w:pPr>
        <w:ind w:left="720"/>
        <w:rPr>
          <w:rFonts w:ascii="Arial" w:hAnsi="Arial"/>
          <w:b/>
          <w:sz w:val="24"/>
        </w:rPr>
      </w:pPr>
    </w:p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Quality Control 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 w:rsidP="006364BF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>Known Adult and Cord samples, one of each.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Procedures</w:t>
      </w:r>
    </w:p>
    <w:p w:rsidR="00E85F9C" w:rsidRDefault="00E85F9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336"/>
      </w:tblGrid>
      <w:tr w:rsidR="0045311C" w:rsidRPr="00A714F7" w:rsidTr="00A714F7">
        <w:tc>
          <w:tcPr>
            <w:tcW w:w="8890" w:type="dxa"/>
            <w:gridSpan w:val="2"/>
            <w:shd w:val="clear" w:color="auto" w:fill="auto"/>
          </w:tcPr>
          <w:p w:rsidR="0045311C" w:rsidRPr="00A714F7" w:rsidRDefault="0045311C" w:rsidP="00A714F7">
            <w:pPr>
              <w:numPr>
                <w:ilvl w:val="1"/>
                <w:numId w:val="1"/>
              </w:numPr>
              <w:tabs>
                <w:tab w:val="clear" w:pos="1440"/>
                <w:tab w:val="num" w:pos="743"/>
              </w:tabs>
              <w:ind w:left="743" w:hanging="743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t>From 1N NaOH stock solution: take 25 mL 1N NaOH + 225 mL 0.9% saline (total 250 mL).</w:t>
            </w:r>
          </w:p>
        </w:tc>
      </w:tr>
      <w:tr w:rsidR="008E09B9" w:rsidRPr="00A714F7" w:rsidTr="006364BF">
        <w:trPr>
          <w:trHeight w:val="195"/>
        </w:trPr>
        <w:tc>
          <w:tcPr>
            <w:tcW w:w="3403" w:type="dxa"/>
            <w:vMerge w:val="restart"/>
            <w:shd w:val="clear" w:color="auto" w:fill="auto"/>
          </w:tcPr>
          <w:p w:rsidR="008E09B9" w:rsidRPr="00A714F7" w:rsidRDefault="008E09B9" w:rsidP="00A714F7">
            <w:pPr>
              <w:numPr>
                <w:ilvl w:val="1"/>
                <w:numId w:val="1"/>
              </w:numPr>
              <w:tabs>
                <w:tab w:val="clear" w:pos="1440"/>
                <w:tab w:val="num" w:pos="743"/>
              </w:tabs>
              <w:ind w:left="743" w:hanging="743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lastRenderedPageBreak/>
              <w:t xml:space="preserve">Label 10 x 75 mm test tubes. </w:t>
            </w:r>
          </w:p>
          <w:p w:rsidR="008E09B9" w:rsidRPr="00A714F7" w:rsidRDefault="008E09B9" w:rsidP="0045311C">
            <w:pPr>
              <w:rPr>
                <w:rFonts w:ascii="Arial" w:hAnsi="Arial"/>
                <w:sz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8E09B9" w:rsidRPr="00A714F7" w:rsidRDefault="008E09B9" w:rsidP="00A714F7">
            <w:pPr>
              <w:numPr>
                <w:ilvl w:val="2"/>
                <w:numId w:val="1"/>
              </w:numPr>
              <w:tabs>
                <w:tab w:val="clear" w:pos="2160"/>
                <w:tab w:val="num" w:pos="728"/>
              </w:tabs>
              <w:ind w:left="728" w:hanging="709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t>Positive control (adult cell).</w:t>
            </w:r>
          </w:p>
        </w:tc>
      </w:tr>
      <w:tr w:rsidR="008E09B9" w:rsidRPr="00A714F7" w:rsidTr="006364BF">
        <w:trPr>
          <w:trHeight w:val="150"/>
        </w:trPr>
        <w:tc>
          <w:tcPr>
            <w:tcW w:w="3403" w:type="dxa"/>
            <w:vMerge/>
            <w:shd w:val="clear" w:color="auto" w:fill="auto"/>
          </w:tcPr>
          <w:p w:rsidR="008E09B9" w:rsidRPr="00A714F7" w:rsidRDefault="008E09B9" w:rsidP="00A714F7">
            <w:pPr>
              <w:numPr>
                <w:ilvl w:val="1"/>
                <w:numId w:val="1"/>
              </w:numPr>
              <w:rPr>
                <w:rFonts w:ascii="Arial" w:hAnsi="Arial"/>
                <w:sz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8E09B9" w:rsidRPr="00A714F7" w:rsidRDefault="008E09B9" w:rsidP="00A714F7">
            <w:pPr>
              <w:numPr>
                <w:ilvl w:val="2"/>
                <w:numId w:val="1"/>
              </w:numPr>
              <w:tabs>
                <w:tab w:val="clear" w:pos="2160"/>
                <w:tab w:val="num" w:pos="736"/>
              </w:tabs>
              <w:ind w:left="736" w:hanging="709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t>Negative control (cord cells).</w:t>
            </w:r>
          </w:p>
        </w:tc>
      </w:tr>
      <w:tr w:rsidR="008E09B9" w:rsidRPr="00A714F7" w:rsidTr="006364BF">
        <w:trPr>
          <w:trHeight w:val="180"/>
        </w:trPr>
        <w:tc>
          <w:tcPr>
            <w:tcW w:w="3403" w:type="dxa"/>
            <w:vMerge/>
            <w:shd w:val="clear" w:color="auto" w:fill="auto"/>
          </w:tcPr>
          <w:p w:rsidR="008E09B9" w:rsidRPr="00A714F7" w:rsidRDefault="008E09B9" w:rsidP="00A714F7">
            <w:pPr>
              <w:numPr>
                <w:ilvl w:val="1"/>
                <w:numId w:val="1"/>
              </w:numPr>
              <w:rPr>
                <w:rFonts w:ascii="Arial" w:hAnsi="Arial"/>
                <w:sz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8E09B9" w:rsidRPr="00A714F7" w:rsidRDefault="008E09B9" w:rsidP="00525E22">
            <w:pPr>
              <w:numPr>
                <w:ilvl w:val="2"/>
                <w:numId w:val="1"/>
              </w:numPr>
              <w:tabs>
                <w:tab w:val="clear" w:pos="2160"/>
                <w:tab w:val="num" w:pos="743"/>
              </w:tabs>
              <w:ind w:left="601" w:hanging="574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t>Patient.</w:t>
            </w:r>
          </w:p>
        </w:tc>
      </w:tr>
      <w:tr w:rsidR="0045311C" w:rsidRPr="00A714F7" w:rsidTr="00A714F7">
        <w:tc>
          <w:tcPr>
            <w:tcW w:w="8890" w:type="dxa"/>
            <w:gridSpan w:val="2"/>
            <w:shd w:val="clear" w:color="auto" w:fill="auto"/>
          </w:tcPr>
          <w:p w:rsidR="0045311C" w:rsidRPr="00A714F7" w:rsidRDefault="008E09B9" w:rsidP="00525E22">
            <w:pPr>
              <w:numPr>
                <w:ilvl w:val="1"/>
                <w:numId w:val="1"/>
              </w:numPr>
              <w:tabs>
                <w:tab w:val="clear" w:pos="1440"/>
                <w:tab w:val="num" w:pos="743"/>
              </w:tabs>
              <w:ind w:left="743" w:hanging="709"/>
              <w:rPr>
                <w:rFonts w:ascii="Arial" w:hAnsi="Arial"/>
                <w:sz w:val="24"/>
              </w:rPr>
            </w:pPr>
            <w:r w:rsidRPr="00A714F7">
              <w:rPr>
                <w:rFonts w:ascii="Arial" w:hAnsi="Arial"/>
                <w:sz w:val="24"/>
              </w:rPr>
              <w:t>Add 5 drops red cells from bottom of the specimen to appropriately labeled tube.</w:t>
            </w:r>
          </w:p>
        </w:tc>
      </w:tr>
      <w:tr w:rsidR="0045311C" w:rsidRPr="00A714F7" w:rsidTr="00A714F7">
        <w:tc>
          <w:tcPr>
            <w:tcW w:w="8890" w:type="dxa"/>
            <w:gridSpan w:val="2"/>
            <w:shd w:val="clear" w:color="auto" w:fill="auto"/>
          </w:tcPr>
          <w:p w:rsidR="0045311C" w:rsidRPr="00A714F7" w:rsidRDefault="00525E22" w:rsidP="00525E22">
            <w:pPr>
              <w:numPr>
                <w:ilvl w:val="1"/>
                <w:numId w:val="1"/>
              </w:numPr>
              <w:tabs>
                <w:tab w:val="clear" w:pos="1440"/>
                <w:tab w:val="num" w:pos="743"/>
              </w:tabs>
              <w:ind w:left="743" w:hanging="70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Add 10 drops 0.1N NaOH to each tube.</w:t>
            </w:r>
          </w:p>
        </w:tc>
      </w:tr>
      <w:tr w:rsidR="0045311C" w:rsidRPr="00A714F7" w:rsidTr="00A714F7">
        <w:tc>
          <w:tcPr>
            <w:tcW w:w="8890" w:type="dxa"/>
            <w:gridSpan w:val="2"/>
            <w:shd w:val="clear" w:color="auto" w:fill="auto"/>
          </w:tcPr>
          <w:p w:rsidR="0045311C" w:rsidRPr="00A714F7" w:rsidRDefault="00525E22" w:rsidP="00525E22">
            <w:pPr>
              <w:numPr>
                <w:ilvl w:val="1"/>
                <w:numId w:val="1"/>
              </w:numPr>
              <w:tabs>
                <w:tab w:val="clear" w:pos="1440"/>
                <w:tab w:val="num" w:pos="743"/>
              </w:tabs>
              <w:ind w:left="743" w:hanging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Mix and observe color change (10-15 seconds).</w:t>
            </w:r>
          </w:p>
        </w:tc>
      </w:tr>
    </w:tbl>
    <w:p w:rsidR="0045311C" w:rsidRDefault="0045311C" w:rsidP="0045311C">
      <w:pPr>
        <w:ind w:left="1440"/>
        <w:rPr>
          <w:rFonts w:ascii="Arial" w:hAnsi="Arial"/>
          <w:sz w:val="24"/>
        </w:rPr>
      </w:pPr>
    </w:p>
    <w:p w:rsidR="00E85F9C" w:rsidRDefault="00E85F9C" w:rsidP="00525E22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Reporting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Pr="00E85F9C" w:rsidRDefault="00E85F9C">
      <w:pPr>
        <w:pStyle w:val="Heading1"/>
        <w:rPr>
          <w:b w:val="0"/>
        </w:rPr>
      </w:pPr>
      <w:r w:rsidRPr="00E85F9C">
        <w:rPr>
          <w:b w:val="0"/>
        </w:rPr>
        <w:t>Interpretation</w:t>
      </w:r>
    </w:p>
    <w:p w:rsidR="00E85F9C" w:rsidRDefault="00E85F9C"/>
    <w:p w:rsidR="00E85F9C" w:rsidRDefault="00E85F9C" w:rsidP="00FD6F38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>Fetal cells – No change i</w:t>
      </w:r>
      <w:smartTag w:uri="urn:schemas-microsoft-com:office:smarttags" w:element="PersonName">
        <w:r>
          <w:rPr>
            <w:rFonts w:ascii="Arial" w:hAnsi="Arial"/>
            <w:sz w:val="24"/>
          </w:rPr>
          <w:t>n c</w:t>
        </w:r>
      </w:smartTag>
      <w:r>
        <w:rPr>
          <w:rFonts w:ascii="Arial" w:hAnsi="Arial"/>
          <w:sz w:val="24"/>
        </w:rPr>
        <w:t>olor.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 w:rsidP="00FD6F38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>Adult cells – Red to brown.</w:t>
      </w:r>
    </w:p>
    <w:p w:rsidR="00E85F9C" w:rsidRDefault="00E85F9C">
      <w:pPr>
        <w:rPr>
          <w:rFonts w:ascii="Arial" w:hAnsi="Arial"/>
          <w:sz w:val="24"/>
        </w:rPr>
      </w:pPr>
    </w:p>
    <w:p w:rsidR="00E85F9C" w:rsidRDefault="00E85F9C" w:rsidP="00FD6F38">
      <w:pPr>
        <w:numPr>
          <w:ilvl w:val="1"/>
          <w:numId w:val="1"/>
        </w:numPr>
        <w:ind w:hanging="73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the sample you are testing consists of Fetal cells </w:t>
      </w:r>
      <w:r w:rsidR="00525E22">
        <w:rPr>
          <w:rFonts w:ascii="Arial" w:hAnsi="Arial"/>
          <w:sz w:val="24"/>
        </w:rPr>
        <w:t xml:space="preserve">report as fetal cells present. </w:t>
      </w:r>
      <w:r>
        <w:rPr>
          <w:rFonts w:ascii="Arial" w:hAnsi="Arial"/>
          <w:sz w:val="24"/>
        </w:rPr>
        <w:t>If the sample consists of Adult cells report as adult cells present.</w:t>
      </w:r>
    </w:p>
    <w:p w:rsidR="00E85F9C" w:rsidRDefault="00E85F9C">
      <w:pPr>
        <w:rPr>
          <w:rFonts w:ascii="Arial" w:hAnsi="Arial"/>
          <w:sz w:val="24"/>
        </w:rPr>
      </w:pPr>
    </w:p>
    <w:p w:rsidR="00E85F9C" w:rsidRDefault="00E85F9C" w:rsidP="00525E22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Procedural Notes – N/A </w:t>
      </w:r>
    </w:p>
    <w:p w:rsidR="00E85F9C" w:rsidRDefault="00E85F9C">
      <w:pPr>
        <w:rPr>
          <w:rFonts w:ascii="Arial" w:hAnsi="Arial"/>
          <w:sz w:val="24"/>
        </w:rPr>
      </w:pPr>
    </w:p>
    <w:p w:rsidR="00E85F9C" w:rsidRDefault="00E85F9C" w:rsidP="00525E22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E85F9C" w:rsidRDefault="00E85F9C">
      <w:pPr>
        <w:ind w:left="720"/>
        <w:rPr>
          <w:rFonts w:ascii="Arial" w:hAnsi="Arial"/>
          <w:sz w:val="24"/>
        </w:rPr>
      </w:pPr>
    </w:p>
    <w:p w:rsidR="00E85F9C" w:rsidRDefault="00E85F9C" w:rsidP="00FD6F38">
      <w:pPr>
        <w:pStyle w:val="BodyTextIndent"/>
        <w:numPr>
          <w:ilvl w:val="1"/>
          <w:numId w:val="1"/>
        </w:numPr>
        <w:ind w:hanging="731"/>
      </w:pPr>
      <w:r>
        <w:t>Modification of Singer, Chernoff &amp; Singer, in Dacie JV and Lewis SM, Practical Hematology ed. 3, 1963 p. 401, P. Churchill, London W.I.</w:t>
      </w:r>
    </w:p>
    <w:p w:rsidR="00525E22" w:rsidRDefault="00525E22" w:rsidP="00525E22">
      <w:pPr>
        <w:pStyle w:val="BodyTextIndent"/>
        <w:ind w:left="1440"/>
      </w:pPr>
    </w:p>
    <w:p w:rsidR="00E85F9C" w:rsidRDefault="00306A6C" w:rsidP="00FD6F38">
      <w:pPr>
        <w:pStyle w:val="BodyTextIndent"/>
        <w:numPr>
          <w:ilvl w:val="1"/>
          <w:numId w:val="1"/>
        </w:numPr>
        <w:ind w:hanging="731"/>
      </w:pPr>
      <w:hyperlink r:id="rId7" w:history="1">
        <w:r w:rsidR="00525E22" w:rsidRPr="00F2515D">
          <w:rPr>
            <w:rStyle w:val="Hyperlink"/>
          </w:rPr>
          <w:t>http://en.wikipedia.org/wiki/Alkali_denaturation_test</w:t>
        </w:r>
      </w:hyperlink>
    </w:p>
    <w:p w:rsidR="00525E22" w:rsidRPr="00525E22" w:rsidRDefault="00525E22" w:rsidP="00525E22">
      <w:pPr>
        <w:pStyle w:val="ListParagraph"/>
        <w:rPr>
          <w:b/>
          <w:sz w:val="22"/>
        </w:rPr>
      </w:pPr>
    </w:p>
    <w:p w:rsidR="00525E22" w:rsidRPr="00525E22" w:rsidRDefault="00525E22" w:rsidP="00525E22">
      <w:pPr>
        <w:pStyle w:val="BodyTextIndent"/>
        <w:numPr>
          <w:ilvl w:val="0"/>
          <w:numId w:val="1"/>
        </w:numPr>
        <w:rPr>
          <w:b/>
          <w:sz w:val="28"/>
        </w:rPr>
      </w:pPr>
      <w:r w:rsidRPr="00525E22">
        <w:rPr>
          <w:b/>
          <w:sz w:val="28"/>
        </w:rPr>
        <w:t>Revision History</w:t>
      </w:r>
    </w:p>
    <w:p w:rsidR="00525E22" w:rsidRDefault="00525E22" w:rsidP="00525E22">
      <w:pPr>
        <w:pStyle w:val="BodyTextInden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71"/>
      </w:tblGrid>
      <w:tr w:rsidR="00525E22" w:rsidTr="00FD6F38">
        <w:tc>
          <w:tcPr>
            <w:tcW w:w="3085" w:type="dxa"/>
            <w:shd w:val="clear" w:color="auto" w:fill="BFBFBF"/>
          </w:tcPr>
          <w:p w:rsidR="00525E22" w:rsidRPr="00F34945" w:rsidRDefault="00525E22" w:rsidP="00F3494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34945">
              <w:rPr>
                <w:rFonts w:ascii="Arial" w:hAnsi="Arial" w:cs="Arial"/>
                <w:b/>
                <w:sz w:val="22"/>
              </w:rPr>
              <w:t>Revision Date</w:t>
            </w:r>
          </w:p>
        </w:tc>
        <w:tc>
          <w:tcPr>
            <w:tcW w:w="5771" w:type="dxa"/>
            <w:shd w:val="clear" w:color="auto" w:fill="BFBFBF"/>
          </w:tcPr>
          <w:p w:rsidR="00525E22" w:rsidRPr="00F34945" w:rsidRDefault="00525E22" w:rsidP="00F3494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34945">
              <w:rPr>
                <w:rFonts w:ascii="Arial" w:hAnsi="Arial" w:cs="Arial"/>
                <w:b/>
                <w:sz w:val="22"/>
              </w:rPr>
              <w:t>Summary of Revision</w:t>
            </w:r>
          </w:p>
        </w:tc>
      </w:tr>
      <w:tr w:rsidR="00525E22" w:rsidTr="00FD6F38">
        <w:tc>
          <w:tcPr>
            <w:tcW w:w="3085" w:type="dxa"/>
            <w:shd w:val="clear" w:color="auto" w:fill="auto"/>
          </w:tcPr>
          <w:p w:rsidR="00525E22" w:rsidRPr="00F34945" w:rsidRDefault="00525E22">
            <w:pPr>
              <w:rPr>
                <w:rFonts w:ascii="Arial" w:hAnsi="Arial" w:cs="Arial"/>
                <w:sz w:val="22"/>
              </w:rPr>
            </w:pPr>
            <w:r w:rsidRPr="00F34945">
              <w:rPr>
                <w:rFonts w:ascii="Arial" w:hAnsi="Arial" w:cs="Arial"/>
                <w:sz w:val="22"/>
              </w:rPr>
              <w:t>September 1, 2014</w:t>
            </w:r>
          </w:p>
        </w:tc>
        <w:tc>
          <w:tcPr>
            <w:tcW w:w="5771" w:type="dxa"/>
            <w:shd w:val="clear" w:color="auto" w:fill="auto"/>
          </w:tcPr>
          <w:p w:rsidR="00525E22" w:rsidRPr="00F34945" w:rsidRDefault="00525E22" w:rsidP="00F3494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F34945">
              <w:rPr>
                <w:rFonts w:ascii="Arial" w:hAnsi="Arial" w:cs="Arial"/>
                <w:sz w:val="22"/>
              </w:rPr>
              <w:t>Revised name of manual</w:t>
            </w:r>
          </w:p>
          <w:p w:rsidR="00525E22" w:rsidRPr="00F34945" w:rsidRDefault="00525E22" w:rsidP="00F3494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F34945">
              <w:rPr>
                <w:rFonts w:ascii="Arial" w:hAnsi="Arial" w:cs="Arial"/>
                <w:sz w:val="22"/>
              </w:rPr>
              <w:t>Revised wording of section 1.0</w:t>
            </w:r>
          </w:p>
          <w:p w:rsidR="00525E22" w:rsidRPr="00F34945" w:rsidRDefault="00525E22" w:rsidP="00F3494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F34945">
              <w:rPr>
                <w:rFonts w:ascii="Arial" w:hAnsi="Arial" w:cs="Arial"/>
                <w:sz w:val="22"/>
              </w:rPr>
              <w:t xml:space="preserve">Added reference 9.2 </w:t>
            </w:r>
          </w:p>
        </w:tc>
      </w:tr>
    </w:tbl>
    <w:p w:rsidR="00E85F9C" w:rsidRDefault="00E85F9C"/>
    <w:p w:rsidR="00E85F9C" w:rsidRDefault="00E85F9C"/>
    <w:p w:rsidR="00E85F9C" w:rsidRDefault="00E85F9C"/>
    <w:sectPr w:rsidR="00E85F9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66" w:right="1800" w:bottom="662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6C" w:rsidRDefault="00306A6C">
      <w:r>
        <w:separator/>
      </w:r>
    </w:p>
  </w:endnote>
  <w:endnote w:type="continuationSeparator" w:id="0">
    <w:p w:rsidR="00306A6C" w:rsidRDefault="0030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E85F9C">
      <w:trPr>
        <w:trHeight w:val="720"/>
      </w:trPr>
      <w:tc>
        <w:tcPr>
          <w:tcW w:w="1368" w:type="dxa"/>
        </w:tcPr>
        <w:p w:rsidR="00E85F9C" w:rsidRDefault="00E85F9C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E85F9C" w:rsidRDefault="00C353EF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E85F9C" w:rsidRDefault="00DF6C50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E85F9C">
            <w:rPr>
              <w:rFonts w:ascii="Arial" w:hAnsi="Arial"/>
              <w:sz w:val="18"/>
            </w:rPr>
            <w:t xml:space="preserve"> Manual</w:t>
          </w:r>
        </w:p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SP.022</w:t>
          </w:r>
          <w:r>
            <w:rPr>
              <w:rFonts w:ascii="Arial" w:hAnsi="Arial"/>
              <w:sz w:val="18"/>
            </w:rPr>
            <w:br/>
          </w:r>
        </w:p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F07C0">
            <w:rPr>
              <w:rFonts w:ascii="Arial" w:hAnsi="Arial"/>
              <w:noProof/>
              <w:snapToGrid w:val="0"/>
              <w:sz w:val="18"/>
            </w:rPr>
            <w:t>2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F07C0">
            <w:rPr>
              <w:rFonts w:ascii="Arial" w:hAnsi="Arial"/>
              <w:noProof/>
              <w:snapToGrid w:val="0"/>
              <w:sz w:val="18"/>
            </w:rPr>
            <w:t>2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E85F9C" w:rsidRDefault="00E85F9C">
    <w:pPr>
      <w:pStyle w:val="Footer"/>
    </w:pPr>
  </w:p>
  <w:p w:rsidR="00E85F9C" w:rsidRDefault="00E85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E85F9C">
      <w:trPr>
        <w:trHeight w:val="720"/>
      </w:trPr>
      <w:tc>
        <w:tcPr>
          <w:tcW w:w="1368" w:type="dxa"/>
        </w:tcPr>
        <w:p w:rsidR="00E85F9C" w:rsidRDefault="00E85F9C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E85F9C" w:rsidRDefault="00C353EF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E85F9C" w:rsidRDefault="00DF6C50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E85F9C">
            <w:rPr>
              <w:rFonts w:ascii="Arial" w:hAnsi="Arial"/>
              <w:sz w:val="18"/>
            </w:rPr>
            <w:t xml:space="preserve"> Manual</w:t>
          </w:r>
        </w:p>
        <w:p w:rsidR="00E85F9C" w:rsidRDefault="00E85F9C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SP.022</w:t>
          </w:r>
          <w:r>
            <w:rPr>
              <w:rFonts w:ascii="Arial" w:hAnsi="Arial"/>
              <w:sz w:val="18"/>
            </w:rPr>
            <w:br/>
          </w:r>
        </w:p>
        <w:p w:rsidR="00E85F9C" w:rsidRDefault="00E85F9C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F07C0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1F07C0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E85F9C" w:rsidRDefault="00E85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6C" w:rsidRDefault="00306A6C">
      <w:r>
        <w:separator/>
      </w:r>
    </w:p>
  </w:footnote>
  <w:footnote w:type="continuationSeparator" w:id="0">
    <w:p w:rsidR="00306A6C" w:rsidRDefault="0030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C" w:rsidRDefault="00E85F9C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Alkaline Denaturation Test</w:t>
    </w:r>
  </w:p>
  <w:p w:rsidR="00E85F9C" w:rsidRDefault="00E85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C" w:rsidRDefault="00C353EF">
    <w:pPr>
      <w:pStyle w:val="Header"/>
    </w:pPr>
    <w:r>
      <w:rPr>
        <w:noProof/>
      </w:rPr>
      <w:drawing>
        <wp:inline distT="0" distB="0" distL="0" distR="0">
          <wp:extent cx="1133475" cy="457200"/>
          <wp:effectExtent l="0" t="0" r="0" b="0"/>
          <wp:docPr id="2" name="Picture 2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11C" w:rsidRDefault="0045311C" w:rsidP="0045311C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Ontario Regional Blood Coordinating Network</w:t>
    </w:r>
  </w:p>
  <w:p w:rsidR="0045311C" w:rsidRPr="0045311C" w:rsidRDefault="0045311C" w:rsidP="0045311C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Transfusion Technical Resource Manual</w:t>
    </w:r>
  </w:p>
  <w:p w:rsidR="00E85F9C" w:rsidRDefault="00E85F9C">
    <w:pPr>
      <w:pStyle w:val="Header"/>
      <w:rPr>
        <w:rFonts w:ascii="Arial" w:hAnsi="Arial" w:cs="Arial"/>
        <w:b/>
        <w:bCs/>
        <w:sz w:val="22"/>
      </w:rPr>
    </w:pPr>
  </w:p>
  <w:p w:rsidR="00E85F9C" w:rsidRDefault="00E85F9C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Alkaline Denaturation Test</w:t>
    </w:r>
  </w:p>
  <w:p w:rsidR="00E85F9C" w:rsidRDefault="00E85F9C">
    <w:pPr>
      <w:pStyle w:val="Header"/>
      <w:jc w:val="center"/>
      <w:rPr>
        <w:rFonts w:ascii="Arial" w:hAnsi="Arial" w:cs="Arial"/>
      </w:rPr>
    </w:pPr>
  </w:p>
  <w:p w:rsidR="00E85F9C" w:rsidRDefault="00C353EF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B63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S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ReAEj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1"/>
      <w:gridCol w:w="4319"/>
    </w:tblGrid>
    <w:tr w:rsidR="00E85F9C"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 </w:t>
          </w:r>
        </w:p>
      </w:tc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SP.022</w:t>
          </w:r>
        </w:p>
      </w:tc>
    </w:tr>
    <w:tr w:rsidR="00E85F9C"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Special Procedures</w:t>
          </w:r>
        </w:p>
      </w:tc>
    </w:tr>
    <w:tr w:rsidR="00E85F9C"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</w:t>
          </w:r>
          <w:r w:rsidR="0045311C">
            <w:rPr>
              <w:rFonts w:ascii="Arial" w:hAnsi="Arial" w:cs="Arial"/>
            </w:rPr>
            <w:t xml:space="preserve">; </w:t>
          </w:r>
          <w:r w:rsidR="00DF6C50">
            <w:rPr>
              <w:rFonts w:ascii="Arial" w:hAnsi="Arial" w:cs="Arial"/>
            </w:rPr>
            <w:t>2014/09/01</w:t>
          </w:r>
        </w:p>
      </w:tc>
      <w:tc>
        <w:tcPr>
          <w:tcW w:w="4428" w:type="dxa"/>
        </w:tcPr>
        <w:p w:rsidR="00E85F9C" w:rsidRDefault="00E85F9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1F07C0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1F07C0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E85F9C" w:rsidRDefault="00C353EF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FC40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N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"/>
          </w:pict>
        </mc:Fallback>
      </mc:AlternateContent>
    </w:r>
    <w:r w:rsidR="00E85F9C">
      <w:rPr>
        <w:rFonts w:ascii="Arial" w:hAnsi="Arial" w:cs="Arial"/>
      </w:rPr>
      <w:tab/>
    </w:r>
  </w:p>
  <w:p w:rsidR="00E85F9C" w:rsidRDefault="00E85F9C">
    <w:pPr>
      <w:pStyle w:val="Header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B6E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269C74C0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2A9B473A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62E37B19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6FE16228"/>
    <w:multiLevelType w:val="hybridMultilevel"/>
    <w:tmpl w:val="3D52BB58"/>
    <w:lvl w:ilvl="0" w:tplc="2BB071B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9C"/>
    <w:rsid w:val="0014323C"/>
    <w:rsid w:val="001F07C0"/>
    <w:rsid w:val="00306A6C"/>
    <w:rsid w:val="0045311C"/>
    <w:rsid w:val="004B0CDB"/>
    <w:rsid w:val="004C6696"/>
    <w:rsid w:val="00525E22"/>
    <w:rsid w:val="00537533"/>
    <w:rsid w:val="005449EA"/>
    <w:rsid w:val="006364BF"/>
    <w:rsid w:val="007C5A29"/>
    <w:rsid w:val="00841D2D"/>
    <w:rsid w:val="0085552D"/>
    <w:rsid w:val="008E09B9"/>
    <w:rsid w:val="00996B70"/>
    <w:rsid w:val="00A714F7"/>
    <w:rsid w:val="00AA63AA"/>
    <w:rsid w:val="00B14E8E"/>
    <w:rsid w:val="00B21DB8"/>
    <w:rsid w:val="00B74B3F"/>
    <w:rsid w:val="00C353EF"/>
    <w:rsid w:val="00DF6C50"/>
    <w:rsid w:val="00E6432F"/>
    <w:rsid w:val="00E67FB2"/>
    <w:rsid w:val="00E85F9C"/>
    <w:rsid w:val="00ED763E"/>
    <w:rsid w:val="00F34945"/>
    <w:rsid w:val="00FC6F73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CB1DF-9ACC-427F-A797-6405FFE7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B14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E22"/>
    <w:pPr>
      <w:ind w:left="720"/>
    </w:pPr>
  </w:style>
  <w:style w:type="character" w:styleId="Hyperlink">
    <w:name w:val="Hyperlink"/>
    <w:rsid w:val="00525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lkali_denaturation_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SP.022 - Alkaline Denaturation Test</vt:lpstr>
    </vt:vector>
  </TitlesOfParts>
  <Company>The Ottawa Hospital</Company>
  <LinksUpToDate>false</LinksUpToDate>
  <CharactersWithSpaces>1697</CharactersWithSpaces>
  <SharedDoc>false</SharedDoc>
  <HLinks>
    <vt:vector size="6" baseType="variant">
      <vt:variant>
        <vt:i4>3539068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http://en.wikipedia.org/wiki/Alkali_denaturation_test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SP.022 - Alkaline Denaturation Test</dc:title>
  <dc:subject/>
  <dc:creator>Transfusion Ontario Program Office</dc:creator>
  <cp:keywords/>
  <cp:lastModifiedBy>Nesrallah, Heather</cp:lastModifiedBy>
  <cp:revision>2</cp:revision>
  <cp:lastPrinted>2015-01-06T18:47:00Z</cp:lastPrinted>
  <dcterms:created xsi:type="dcterms:W3CDTF">2020-08-11T15:20:00Z</dcterms:created>
  <dcterms:modified xsi:type="dcterms:W3CDTF">2020-08-11T15:20:00Z</dcterms:modified>
</cp:coreProperties>
</file>