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Principle</w:t>
      </w:r>
    </w:p>
    <w:p w:rsidR="00165C1E" w:rsidRPr="0092580C" w:rsidRDefault="00165C1E">
      <w:pPr>
        <w:rPr>
          <w:rFonts w:ascii="Arial" w:hAnsi="Arial"/>
          <w:b/>
          <w:sz w:val="22"/>
        </w:rPr>
      </w:pPr>
    </w:p>
    <w:p w:rsidR="00165C1E" w:rsidRDefault="00165C1E">
      <w:pPr>
        <w:suppressAutoHyphens/>
        <w:spacing w:after="120"/>
        <w:ind w:left="720"/>
        <w:rPr>
          <w:spacing w:val="-2"/>
          <w:lang w:val="en-GB"/>
        </w:rPr>
      </w:pPr>
      <w:r>
        <w:rPr>
          <w:rFonts w:ascii="Arial" w:hAnsi="Arial"/>
          <w:spacing w:val="-2"/>
          <w:sz w:val="24"/>
          <w:lang w:val="en-GB"/>
        </w:rPr>
        <w:t>Anti-Ch and Anti-Rg are antibodies directed against the C4</w:t>
      </w:r>
      <w:r w:rsidR="0092580C">
        <w:rPr>
          <w:rFonts w:ascii="Arial" w:hAnsi="Arial"/>
          <w:spacing w:val="-2"/>
          <w:sz w:val="24"/>
          <w:lang w:val="en-GB"/>
        </w:rPr>
        <w:t xml:space="preserve"> component of human complement.</w:t>
      </w:r>
      <w:r>
        <w:rPr>
          <w:rFonts w:ascii="Arial" w:hAnsi="Arial"/>
          <w:spacing w:val="-2"/>
          <w:sz w:val="24"/>
          <w:lang w:val="en-GB"/>
        </w:rPr>
        <w:t xml:space="preserve"> Neutralisation of these antibodies can be achieved by incubation with plasma from antigen positive individuals</w:t>
      </w:r>
      <w:r>
        <w:rPr>
          <w:spacing w:val="-2"/>
          <w:lang w:val="en-GB"/>
        </w:rPr>
        <w:t>.</w:t>
      </w:r>
    </w:p>
    <w:p w:rsidR="0092580C" w:rsidRPr="0092580C" w:rsidRDefault="0092580C" w:rsidP="0092580C">
      <w:pPr>
        <w:ind w:left="720"/>
        <w:rPr>
          <w:rFonts w:ascii="Arial" w:hAnsi="Arial"/>
          <w:b/>
          <w:sz w:val="22"/>
        </w:rPr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Scope and Related Policies</w:t>
      </w:r>
    </w:p>
    <w:p w:rsidR="00165C1E" w:rsidRPr="0092580C" w:rsidRDefault="00165C1E">
      <w:pPr>
        <w:rPr>
          <w:rFonts w:ascii="Arial" w:hAnsi="Arial"/>
          <w:b/>
          <w:sz w:val="22"/>
        </w:rPr>
      </w:pPr>
    </w:p>
    <w:p w:rsidR="00165C1E" w:rsidRDefault="00165C1E" w:rsidP="0092580C">
      <w:pPr>
        <w:pStyle w:val="BodyTextIndent"/>
        <w:numPr>
          <w:ilvl w:val="1"/>
          <w:numId w:val="1"/>
        </w:numPr>
        <w:tabs>
          <w:tab w:val="clear" w:pos="1571"/>
          <w:tab w:val="num" w:pos="1418"/>
        </w:tabs>
        <w:ind w:left="1418" w:hanging="709"/>
      </w:pPr>
      <w:r>
        <w:t xml:space="preserve">Chido and Rodgers antigens are </w:t>
      </w:r>
      <w:r w:rsidR="002C3E03">
        <w:t>epitopes on</w:t>
      </w:r>
      <w:r>
        <w:t xml:space="preserve"> the </w:t>
      </w:r>
      <w:r w:rsidR="00C15F45">
        <w:t>C4</w:t>
      </w:r>
      <w:r>
        <w:t xml:space="preserve"> component of </w:t>
      </w:r>
      <w:r w:rsidR="002C3E03">
        <w:t xml:space="preserve">human </w:t>
      </w:r>
      <w:r>
        <w:t xml:space="preserve">complement.  </w:t>
      </w:r>
    </w:p>
    <w:p w:rsidR="00165C1E" w:rsidRDefault="00165C1E">
      <w:pPr>
        <w:pStyle w:val="BodyTextIndent"/>
      </w:pPr>
    </w:p>
    <w:p w:rsidR="00165C1E" w:rsidRDefault="00C15F45" w:rsidP="0092580C">
      <w:pPr>
        <w:pStyle w:val="BodyTextIndent"/>
        <w:numPr>
          <w:ilvl w:val="1"/>
          <w:numId w:val="1"/>
        </w:numPr>
        <w:tabs>
          <w:tab w:val="clear" w:pos="1571"/>
          <w:tab w:val="num" w:pos="1418"/>
        </w:tabs>
        <w:ind w:left="1418" w:hanging="709"/>
      </w:pPr>
      <w:r>
        <w:t>P</w:t>
      </w:r>
      <w:r w:rsidR="00165C1E">
        <w:t xml:space="preserve">lasma </w:t>
      </w:r>
      <w:r>
        <w:t xml:space="preserve">that contains C4 from Ch/Rg postivie individuals </w:t>
      </w:r>
      <w:r w:rsidR="00165C1E">
        <w:t xml:space="preserve">can be used to inhibit the reaction of Ch/Rg antibodies. </w:t>
      </w:r>
    </w:p>
    <w:p w:rsidR="00165C1E" w:rsidRDefault="00165C1E">
      <w:pPr>
        <w:pStyle w:val="BodyTextIndent"/>
        <w:ind w:left="0"/>
      </w:pPr>
    </w:p>
    <w:p w:rsidR="00165C1E" w:rsidRDefault="00165C1E" w:rsidP="0092580C">
      <w:pPr>
        <w:pStyle w:val="BodyTextIndent"/>
        <w:numPr>
          <w:ilvl w:val="1"/>
          <w:numId w:val="1"/>
        </w:numPr>
        <w:tabs>
          <w:tab w:val="clear" w:pos="1571"/>
          <w:tab w:val="num" w:pos="1418"/>
        </w:tabs>
        <w:ind w:left="1418" w:hanging="709"/>
      </w:pPr>
      <w:r>
        <w:t>Plasma that has undergone inhibition can be used to identify the presence of other alloantibodies that may have been previously masked by the Ch/Rg antibody.</w:t>
      </w:r>
    </w:p>
    <w:p w:rsidR="00C15F45" w:rsidRDefault="00C15F45" w:rsidP="006A02CD">
      <w:pPr>
        <w:pStyle w:val="ListParagraph"/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</w:t>
      </w:r>
    </w:p>
    <w:p w:rsidR="00165C1E" w:rsidRPr="0092580C" w:rsidRDefault="00165C1E">
      <w:pPr>
        <w:rPr>
          <w:rFonts w:ascii="Arial" w:hAnsi="Arial"/>
          <w:sz w:val="22"/>
        </w:rPr>
      </w:pPr>
    </w:p>
    <w:p w:rsidR="00165C1E" w:rsidRDefault="002C3E03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EDTA anticoagulated whole blood</w:t>
      </w:r>
      <w:r w:rsidR="00165C1E">
        <w:rPr>
          <w:rFonts w:ascii="Arial" w:hAnsi="Arial"/>
          <w:sz w:val="24"/>
        </w:rPr>
        <w:t xml:space="preserve"> preferably less than 72 hours old.</w:t>
      </w:r>
    </w:p>
    <w:p w:rsidR="00165C1E" w:rsidRDefault="00165C1E">
      <w:pPr>
        <w:ind w:left="720"/>
        <w:rPr>
          <w:rFonts w:ascii="Arial" w:hAnsi="Arial"/>
          <w:sz w:val="24"/>
        </w:rPr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</w:t>
      </w:r>
    </w:p>
    <w:p w:rsidR="00165C1E" w:rsidRPr="0092580C" w:rsidRDefault="00165C1E">
      <w:pPr>
        <w:rPr>
          <w:rFonts w:ascii="Arial" w:hAnsi="Arial"/>
          <w:sz w:val="22"/>
        </w:rPr>
      </w:pP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Cell Washer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centrifuge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Block for test tubes</w:t>
      </w:r>
    </w:p>
    <w:p w:rsidR="00165C1E" w:rsidRDefault="00165C1E">
      <w:pPr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Microscope</w:t>
      </w:r>
    </w:p>
    <w:p w:rsidR="00165C1E" w:rsidRDefault="007B73D4">
      <w:pPr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>Water</w:t>
      </w:r>
      <w:r w:rsidR="00165C1E">
        <w:rPr>
          <w:rFonts w:ascii="Arial" w:hAnsi="Arial"/>
          <w:sz w:val="24"/>
        </w:rPr>
        <w:t>bath/Heating block at 37</w:t>
      </w:r>
      <w:r>
        <w:rPr>
          <w:rFonts w:ascii="Arial" w:hAnsi="Arial" w:cs="Arial"/>
          <w:sz w:val="24"/>
        </w:rPr>
        <w:t>°</w:t>
      </w:r>
      <w:r w:rsidR="00165C1E">
        <w:rPr>
          <w:rFonts w:ascii="Arial" w:hAnsi="Arial"/>
          <w:sz w:val="24"/>
        </w:rPr>
        <w:t>C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Supplies: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Test tubes – 10 x 75</w:t>
      </w:r>
      <w:r w:rsidR="007B73D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mm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Serological pipettes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15F45">
        <w:rPr>
          <w:rFonts w:ascii="Arial" w:hAnsi="Arial"/>
          <w:sz w:val="24"/>
        </w:rPr>
        <w:t xml:space="preserve">0.9% </w:t>
      </w:r>
      <w:r w:rsidR="007B73D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aline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Anti-IgG</w:t>
      </w:r>
    </w:p>
    <w:p w:rsidR="00165C1E" w:rsidRDefault="00165C1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IgG-coated cells</w:t>
      </w:r>
    </w:p>
    <w:p w:rsidR="00165C1E" w:rsidRDefault="003155E8">
      <w:pPr>
        <w:pStyle w:val="Heading9"/>
        <w:ind w:left="2880"/>
        <w:rPr>
          <w:spacing w:val="-2"/>
          <w:lang w:val="en-GB"/>
        </w:rPr>
      </w:pPr>
      <w:r>
        <w:t>Inert Plasma – Group compatible</w:t>
      </w:r>
      <w:r w:rsidR="00165C1E">
        <w:t xml:space="preserve"> (Pool of </w:t>
      </w:r>
      <w:r w:rsidR="00C15F45">
        <w:t>at least</w:t>
      </w:r>
      <w:r w:rsidR="00165C1E">
        <w:t>six normal plasma samples known to be non-reactive with screening cells).</w:t>
      </w:r>
      <w:r w:rsidR="00165C1E">
        <w:rPr>
          <w:spacing w:val="-2"/>
          <w:lang w:val="en-GB"/>
        </w:rPr>
        <w:t xml:space="preserve"> </w:t>
      </w:r>
    </w:p>
    <w:p w:rsidR="00165C1E" w:rsidRDefault="00165C1E">
      <w:pPr>
        <w:pStyle w:val="Heading9"/>
        <w:ind w:left="2880"/>
        <w:rPr>
          <w:spacing w:val="-2"/>
          <w:lang w:val="en-GB"/>
        </w:rPr>
      </w:pPr>
      <w:r>
        <w:rPr>
          <w:spacing w:val="-2"/>
          <w:lang w:val="en-GB"/>
        </w:rPr>
        <w:t>Test cells (antibody screen cells or a panel of cells for antibody identifi</w:t>
      </w:r>
      <w:r>
        <w:rPr>
          <w:spacing w:val="-2"/>
          <w:lang w:val="en-GB"/>
        </w:rPr>
        <w:softHyphen/>
        <w:t>cation</w:t>
      </w:r>
      <w:r w:rsidR="009F00BD">
        <w:rPr>
          <w:spacing w:val="-2"/>
          <w:lang w:val="en-GB"/>
        </w:rPr>
        <w:t>).</w:t>
      </w:r>
    </w:p>
    <w:p w:rsidR="00165C1E" w:rsidRDefault="00165C1E">
      <w:pPr>
        <w:pStyle w:val="Heading9"/>
        <w:ind w:left="2880"/>
      </w:pPr>
      <w:r>
        <w:rPr>
          <w:spacing w:val="-2"/>
          <w:lang w:val="en-GB"/>
        </w:rPr>
        <w:t>6% Bovine serum albumin (BSA).</w:t>
      </w:r>
    </w:p>
    <w:p w:rsidR="00165C1E" w:rsidRPr="0092580C" w:rsidRDefault="00165C1E">
      <w:pPr>
        <w:pStyle w:val="Header"/>
        <w:tabs>
          <w:tab w:val="clear" w:pos="4320"/>
          <w:tab w:val="clear" w:pos="8640"/>
        </w:tabs>
        <w:suppressAutoHyphens/>
        <w:rPr>
          <w:rFonts w:ascii="Arial" w:hAnsi="Arial" w:cs="Arial"/>
          <w:spacing w:val="-2"/>
          <w:sz w:val="22"/>
          <w:lang w:val="en-GB"/>
        </w:rPr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Quality Control</w:t>
      </w:r>
    </w:p>
    <w:p w:rsidR="00165C1E" w:rsidRPr="0092580C" w:rsidRDefault="00165C1E">
      <w:pPr>
        <w:rPr>
          <w:rFonts w:ascii="Arial" w:hAnsi="Arial"/>
          <w:sz w:val="22"/>
        </w:rPr>
      </w:pPr>
    </w:p>
    <w:p w:rsidR="00165C1E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ind w:left="1418" w:hanging="709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  <w:lang w:val="en-GB"/>
        </w:rPr>
        <w:t>A control consisting of the indicator red cell and the pooled neutralising plasma must always be included.</w:t>
      </w:r>
    </w:p>
    <w:p w:rsidR="00165C1E" w:rsidRPr="0092580C" w:rsidRDefault="00165C1E">
      <w:pPr>
        <w:ind w:left="720"/>
        <w:rPr>
          <w:rFonts w:ascii="Arial" w:hAnsi="Arial"/>
          <w:sz w:val="22"/>
        </w:rPr>
      </w:pPr>
    </w:p>
    <w:p w:rsidR="00165C1E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ind w:left="1418" w:hanging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absence of activity in the 6% albumin control indicates dilution of a weakly reactive antibody and an invalid test.</w:t>
      </w:r>
    </w:p>
    <w:p w:rsidR="00165C1E" w:rsidRPr="0092580C" w:rsidRDefault="00165C1E">
      <w:pPr>
        <w:rPr>
          <w:rFonts w:ascii="Arial" w:hAnsi="Arial"/>
          <w:b/>
          <w:sz w:val="22"/>
        </w:rPr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Procedure</w:t>
      </w:r>
    </w:p>
    <w:p w:rsidR="00165C1E" w:rsidRPr="0092580C" w:rsidRDefault="00165C1E">
      <w:pPr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 w:hanging="709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Prepare serial twofold dilutions of patient’s plasma in saline. The dilution range should be from 1 in 2 to 1 in 512, or to one tube beyond the known titer. Refer to SP.002 – Titrations. The volume prepared should be not less than 0.3 mL for each red cell sample to be tested.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For each red cell sample to be tested, place 2 drops of each plasma dilution into each of two sets of appropriately labeled 10 x 75 mm test tubes.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To one set, add 2 drops of inert pooled plasma to each tube.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To the other set, add 2 drops of 6% albumin to each tube.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 w:hanging="709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Gently agitate the contents of each tube and incubate the tubes at room temperature for at least 30 minutes.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Add 1 drop of a 3% suspension of red cells to each tube.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Gently agitate the contents of each tube and incubate the tubes at 37</w:t>
            </w:r>
            <w:r w:rsidRPr="00466E6F">
              <w:rPr>
                <w:rFonts w:ascii="Arial" w:hAnsi="Arial" w:cs="Arial"/>
                <w:sz w:val="24"/>
              </w:rPr>
              <w:t>°</w:t>
            </w:r>
            <w:r w:rsidRPr="00466E6F">
              <w:rPr>
                <w:rFonts w:ascii="Arial" w:hAnsi="Arial"/>
                <w:sz w:val="24"/>
              </w:rPr>
              <w:t>C for 1 hour.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Wash the cells four times in saline, add anti-IgG, and centrifuge for 10-15 seconds at 3400 rpm.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A21F9B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Resuspend the cell buttons and examine for agglutination; confirm all non-reactive tests microscopically. Grade and record the results.</w:t>
            </w:r>
          </w:p>
        </w:tc>
      </w:tr>
      <w:tr w:rsidR="006A02CD" w:rsidRPr="00466E6F" w:rsidTr="00466E6F">
        <w:trPr>
          <w:jc w:val="center"/>
        </w:trPr>
        <w:tc>
          <w:tcPr>
            <w:tcW w:w="8890" w:type="dxa"/>
            <w:shd w:val="clear" w:color="auto" w:fill="auto"/>
          </w:tcPr>
          <w:p w:rsidR="006A02CD" w:rsidRPr="00466E6F" w:rsidRDefault="006A02CD" w:rsidP="00466E6F">
            <w:pPr>
              <w:numPr>
                <w:ilvl w:val="1"/>
                <w:numId w:val="1"/>
              </w:numPr>
              <w:tabs>
                <w:tab w:val="clear" w:pos="1571"/>
                <w:tab w:val="num" w:pos="743"/>
              </w:tabs>
              <w:ind w:left="743"/>
              <w:rPr>
                <w:rFonts w:ascii="Arial" w:hAnsi="Arial"/>
                <w:sz w:val="24"/>
              </w:rPr>
            </w:pPr>
            <w:r w:rsidRPr="00466E6F">
              <w:rPr>
                <w:rFonts w:ascii="Arial" w:hAnsi="Arial"/>
                <w:sz w:val="24"/>
              </w:rPr>
              <w:t>Confirm the validity of negative results by adding IgG-coated red cells.</w:t>
            </w:r>
          </w:p>
        </w:tc>
      </w:tr>
    </w:tbl>
    <w:p w:rsidR="006A02CD" w:rsidRPr="0092580C" w:rsidRDefault="006A02CD" w:rsidP="006A02CD">
      <w:pPr>
        <w:ind w:left="1418"/>
        <w:rPr>
          <w:rFonts w:ascii="Arial" w:hAnsi="Arial"/>
        </w:rPr>
      </w:pPr>
    </w:p>
    <w:p w:rsidR="00165C1E" w:rsidRDefault="00165C1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Reporting  </w:t>
      </w:r>
    </w:p>
    <w:p w:rsidR="00165C1E" w:rsidRPr="0092580C" w:rsidRDefault="00165C1E">
      <w:pPr>
        <w:rPr>
          <w:rFonts w:ascii="Arial" w:hAnsi="Arial"/>
          <w:b/>
          <w:sz w:val="22"/>
        </w:rPr>
      </w:pPr>
    </w:p>
    <w:p w:rsidR="00A21F9B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ind w:left="1418" w:hanging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Inhibition of antibody activity in the tubes to which plasma has been added suggests anti-Ch or anti-Rg specificity; this inhibition is often complete.</w:t>
      </w:r>
    </w:p>
    <w:p w:rsidR="0092580C" w:rsidRDefault="0092580C" w:rsidP="0092580C">
      <w:pPr>
        <w:ind w:left="1418"/>
        <w:rPr>
          <w:rFonts w:ascii="Arial" w:hAnsi="Arial"/>
          <w:sz w:val="24"/>
        </w:rPr>
      </w:pPr>
    </w:p>
    <w:p w:rsidR="00165C1E" w:rsidRPr="00A21F9B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ind w:left="1418" w:hanging="709"/>
        <w:rPr>
          <w:rFonts w:ascii="Arial" w:hAnsi="Arial"/>
          <w:sz w:val="24"/>
        </w:rPr>
      </w:pPr>
      <w:r w:rsidRPr="00A21F9B">
        <w:rPr>
          <w:rFonts w:ascii="Arial" w:hAnsi="Arial"/>
          <w:sz w:val="24"/>
        </w:rPr>
        <w:t>The presence of partial inhibition suggests the possibilit</w:t>
      </w:r>
      <w:r w:rsidR="0092580C">
        <w:rPr>
          <w:rFonts w:ascii="Arial" w:hAnsi="Arial"/>
          <w:sz w:val="24"/>
        </w:rPr>
        <w:t>y of additional alloantibodies.</w:t>
      </w:r>
      <w:r w:rsidRPr="00A21F9B">
        <w:rPr>
          <w:rFonts w:ascii="Arial" w:hAnsi="Arial"/>
          <w:sz w:val="24"/>
        </w:rPr>
        <w:t xml:space="preserve"> These antibodies should be identified before reporting the final results, see table below:</w:t>
      </w:r>
    </w:p>
    <w:p w:rsidR="00165C1E" w:rsidRPr="0092580C" w:rsidRDefault="00165C1E">
      <w:pPr>
        <w:rPr>
          <w:rFonts w:ascii="Arial" w:hAnsi="Arial"/>
          <w:sz w:val="18"/>
        </w:rPr>
      </w:pPr>
    </w:p>
    <w:p w:rsidR="00165C1E" w:rsidRDefault="00165C1E">
      <w:pPr>
        <w:suppressAutoHyphens/>
        <w:rPr>
          <w:spacing w:val="-2"/>
          <w:u w:val="single"/>
          <w:lang w:val="en-GB"/>
        </w:rPr>
      </w:pPr>
      <w:r>
        <w:rPr>
          <w:rFonts w:ascii="Arial" w:hAnsi="Arial"/>
          <w:spacing w:val="-2"/>
          <w:sz w:val="24"/>
          <w:u w:val="single"/>
          <w:lang w:val="en-GB"/>
        </w:rPr>
        <w:t>Interpretation of Results</w:t>
      </w:r>
      <w:r>
        <w:rPr>
          <w:spacing w:val="-2"/>
          <w:u w:val="single"/>
          <w:lang w:val="en-GB"/>
        </w:rPr>
        <w:t>:</w:t>
      </w:r>
    </w:p>
    <w:p w:rsidR="00165C1E" w:rsidRDefault="00165C1E">
      <w:pPr>
        <w:suppressAutoHyphens/>
        <w:rPr>
          <w:rFonts w:ascii="Arial" w:hAnsi="Arial" w:cs="Arial"/>
          <w:spacing w:val="-2"/>
          <w:sz w:val="24"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3690"/>
      </w:tblGrid>
      <w:tr w:rsidR="00165C1E">
        <w:trPr>
          <w:jc w:val="center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</w:tcBorders>
          </w:tcPr>
          <w:p w:rsidR="00165C1E" w:rsidRDefault="00165C1E">
            <w:pPr>
              <w:suppressAutoHyphens/>
              <w:spacing w:before="90"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fldChar w:fldCharType="begin"/>
            </w:r>
            <w:r>
              <w:rPr>
                <w:rFonts w:ascii="Arial" w:hAnsi="Arial"/>
                <w:spacing w:val="-2"/>
                <w:lang w:val="en-GB"/>
              </w:rPr>
              <w:instrText xml:space="preserve">PRIVATE </w:instrText>
            </w:r>
            <w:r>
              <w:rPr>
                <w:rFonts w:ascii="Arial" w:hAnsi="Arial"/>
                <w:spacing w:val="-2"/>
                <w:lang w:val="en-GB"/>
              </w:rPr>
              <w:fldChar w:fldCharType="end"/>
            </w:r>
            <w:r w:rsidR="00A74F96">
              <w:rPr>
                <w:rFonts w:ascii="Arial" w:hAnsi="Arial"/>
                <w:spacing w:val="-2"/>
                <w:lang w:val="en-GB"/>
              </w:rPr>
              <w:t xml:space="preserve">   </w:t>
            </w:r>
            <w:r>
              <w:rPr>
                <w:rFonts w:ascii="Arial" w:hAnsi="Arial"/>
                <w:spacing w:val="-2"/>
                <w:lang w:val="en-GB"/>
              </w:rPr>
              <w:t>TEST</w:t>
            </w:r>
            <w:r w:rsidR="00A74F96">
              <w:rPr>
                <w:rFonts w:ascii="Arial" w:hAnsi="Arial"/>
                <w:spacing w:val="-2"/>
                <w:lang w:val="en-GB"/>
              </w:rPr>
              <w:t xml:space="preserve"> </w:t>
            </w:r>
            <w:r>
              <w:rPr>
                <w:rFonts w:ascii="Arial" w:hAnsi="Arial"/>
                <w:spacing w:val="-2"/>
                <w:lang w:val="en-GB"/>
              </w:rPr>
              <w:t>PLASMA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6" w:space="0" w:color="auto"/>
            </w:tcBorders>
          </w:tcPr>
          <w:p w:rsidR="00165C1E" w:rsidRDefault="00165C1E">
            <w:pPr>
              <w:suppressAutoHyphens/>
              <w:spacing w:before="90"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CONTROL PLASMA</w:t>
            </w:r>
          </w:p>
        </w:tc>
        <w:tc>
          <w:tcPr>
            <w:tcW w:w="369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165C1E" w:rsidRDefault="00165C1E">
            <w:pPr>
              <w:suppressAutoHyphens/>
              <w:spacing w:before="90"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ab/>
              <w:t>INTERPRETATION</w:t>
            </w:r>
          </w:p>
        </w:tc>
      </w:tr>
      <w:tr w:rsidR="00165C1E">
        <w:trPr>
          <w:jc w:val="center"/>
        </w:trPr>
        <w:tc>
          <w:tcPr>
            <w:tcW w:w="2520" w:type="dxa"/>
            <w:tcBorders>
              <w:top w:val="single" w:sz="6" w:space="0" w:color="auto"/>
              <w:left w:val="double" w:sz="6" w:space="0" w:color="auto"/>
            </w:tcBorders>
          </w:tcPr>
          <w:p w:rsidR="00165C1E" w:rsidRDefault="00165C1E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No reac</w:t>
            </w:r>
            <w:r>
              <w:rPr>
                <w:rFonts w:ascii="Arial" w:hAnsi="Arial"/>
                <w:spacing w:val="-2"/>
                <w:lang w:val="en-GB"/>
              </w:rPr>
              <w:softHyphen/>
              <w:t>tivity with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all cells tested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Reactivity with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all cells tested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Antibody neutralised specificity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Chido or Rodgers</w:t>
            </w:r>
          </w:p>
        </w:tc>
      </w:tr>
      <w:tr w:rsidR="00165C1E">
        <w:trPr>
          <w:jc w:val="center"/>
        </w:trPr>
        <w:tc>
          <w:tcPr>
            <w:tcW w:w="2520" w:type="dxa"/>
            <w:tcBorders>
              <w:top w:val="single" w:sz="6" w:space="0" w:color="auto"/>
              <w:left w:val="double" w:sz="6" w:space="0" w:color="auto"/>
            </w:tcBorders>
          </w:tcPr>
          <w:p w:rsidR="00165C1E" w:rsidRDefault="00165C1E">
            <w:pPr>
              <w:suppressAutoHyphens/>
              <w:spacing w:before="90"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No reac</w:t>
            </w:r>
            <w:r>
              <w:rPr>
                <w:rFonts w:ascii="Arial" w:hAnsi="Arial"/>
                <w:spacing w:val="-2"/>
                <w:lang w:val="en-GB"/>
              </w:rPr>
              <w:softHyphen/>
              <w:t>tivity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65C1E" w:rsidRDefault="00165C1E">
            <w:pPr>
              <w:suppressAutoHyphens/>
              <w:spacing w:before="90"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No reactivity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Dilution of antibody has occurred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No conclusion can be made</w:t>
            </w:r>
          </w:p>
        </w:tc>
      </w:tr>
      <w:tr w:rsidR="00165C1E">
        <w:trPr>
          <w:jc w:val="center"/>
        </w:trPr>
        <w:tc>
          <w:tcPr>
            <w:tcW w:w="25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Reac</w:t>
            </w:r>
            <w:r>
              <w:rPr>
                <w:rFonts w:ascii="Arial" w:hAnsi="Arial"/>
                <w:spacing w:val="-2"/>
                <w:lang w:val="en-GB"/>
              </w:rPr>
              <w:softHyphen/>
              <w:t>tivity with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some cells tested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Reactivity with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all cells tested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65C1E" w:rsidRDefault="00165C1E">
            <w:pPr>
              <w:suppressAutoHyphens/>
              <w:spacing w:before="90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Anti-Ch or Anti-Rg plus an additional</w:t>
            </w:r>
          </w:p>
          <w:p w:rsidR="00165C1E" w:rsidRDefault="00165C1E">
            <w:pPr>
              <w:suppressAutoHyphens/>
              <w:spacing w:after="54"/>
              <w:rPr>
                <w:rFonts w:ascii="Arial" w:hAnsi="Arial"/>
                <w:spacing w:val="-2"/>
                <w:lang w:val="en-GB"/>
              </w:rPr>
            </w:pPr>
            <w:r>
              <w:rPr>
                <w:rFonts w:ascii="Arial" w:hAnsi="Arial"/>
                <w:spacing w:val="-2"/>
                <w:lang w:val="en-GB"/>
              </w:rPr>
              <w:t>antibody maybe present</w:t>
            </w:r>
          </w:p>
        </w:tc>
      </w:tr>
    </w:tbl>
    <w:p w:rsidR="00165C1E" w:rsidRDefault="00165C1E">
      <w:pPr>
        <w:rPr>
          <w:rFonts w:ascii="Arial" w:hAnsi="Arial"/>
          <w:sz w:val="24"/>
        </w:rPr>
      </w:pPr>
    </w:p>
    <w:p w:rsidR="00165C1E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ind w:left="1418" w:hanging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confirm the presence of additional antibody(ies) prepare a large volume of inhibited plasma and test it against a reagent red cell panel to determine whether the non-neutralized activity displays specificity towards a particular antigen. </w:t>
      </w:r>
    </w:p>
    <w:p w:rsidR="00165C1E" w:rsidRPr="0092580C" w:rsidRDefault="00165C1E">
      <w:pPr>
        <w:ind w:left="720"/>
        <w:rPr>
          <w:rFonts w:ascii="Arial" w:hAnsi="Arial"/>
          <w:sz w:val="22"/>
        </w:rPr>
      </w:pPr>
    </w:p>
    <w:p w:rsidR="00165C1E" w:rsidRDefault="00165C1E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Procedural Notes</w:t>
      </w:r>
    </w:p>
    <w:p w:rsidR="00165C1E" w:rsidRPr="0092580C" w:rsidRDefault="00165C1E">
      <w:pPr>
        <w:spacing w:line="228" w:lineRule="auto"/>
        <w:rPr>
          <w:rFonts w:ascii="Arial" w:hAnsi="Arial"/>
          <w:sz w:val="22"/>
        </w:rPr>
      </w:pPr>
    </w:p>
    <w:p w:rsidR="00165C1E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spacing w:line="228" w:lineRule="auto"/>
        <w:ind w:left="1418" w:hanging="709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  <w:lang w:val="en-GB"/>
        </w:rPr>
        <w:t xml:space="preserve">Some red cell related HLA antibodies </w:t>
      </w:r>
      <w:r w:rsidR="00A21F9B">
        <w:rPr>
          <w:rFonts w:ascii="Arial" w:hAnsi="Arial"/>
          <w:spacing w:val="-2"/>
          <w:sz w:val="24"/>
          <w:lang w:val="en-GB"/>
        </w:rPr>
        <w:t>(</w:t>
      </w:r>
      <w:r>
        <w:rPr>
          <w:rFonts w:ascii="Arial" w:hAnsi="Arial"/>
          <w:spacing w:val="-2"/>
          <w:sz w:val="24"/>
          <w:lang w:val="en-GB"/>
        </w:rPr>
        <w:t>e.g. Bg</w:t>
      </w:r>
      <w:r w:rsidR="00A21F9B">
        <w:rPr>
          <w:rFonts w:ascii="Arial" w:hAnsi="Arial"/>
          <w:spacing w:val="-2"/>
          <w:sz w:val="24"/>
          <w:lang w:val="en-GB"/>
        </w:rPr>
        <w:t>)</w:t>
      </w:r>
      <w:r>
        <w:rPr>
          <w:rFonts w:ascii="Arial" w:hAnsi="Arial"/>
          <w:spacing w:val="-2"/>
          <w:sz w:val="24"/>
          <w:lang w:val="en-GB"/>
        </w:rPr>
        <w:t xml:space="preserve"> may be neutralised with human plasma.</w:t>
      </w:r>
    </w:p>
    <w:p w:rsidR="00165C1E" w:rsidRDefault="00165C1E">
      <w:pPr>
        <w:spacing w:line="228" w:lineRule="auto"/>
        <w:ind w:left="720"/>
        <w:rPr>
          <w:rFonts w:ascii="Arial" w:hAnsi="Arial"/>
          <w:sz w:val="24"/>
        </w:rPr>
      </w:pPr>
    </w:p>
    <w:p w:rsidR="00165C1E" w:rsidRDefault="00165C1E" w:rsidP="0092580C">
      <w:pPr>
        <w:numPr>
          <w:ilvl w:val="1"/>
          <w:numId w:val="1"/>
        </w:numPr>
        <w:tabs>
          <w:tab w:val="clear" w:pos="1571"/>
          <w:tab w:val="num" w:pos="1418"/>
        </w:tabs>
        <w:spacing w:line="228" w:lineRule="auto"/>
        <w:ind w:left="1418" w:hanging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Plasma may also inhibit anti-Cromer.</w:t>
      </w:r>
    </w:p>
    <w:p w:rsidR="00165C1E" w:rsidRPr="0092580C" w:rsidRDefault="00165C1E">
      <w:pPr>
        <w:spacing w:line="228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 </w:t>
      </w:r>
    </w:p>
    <w:p w:rsidR="00165C1E" w:rsidRDefault="00165C1E">
      <w:pPr>
        <w:numPr>
          <w:ilvl w:val="0"/>
          <w:numId w:val="1"/>
        </w:numPr>
        <w:spacing w:line="228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165C1E" w:rsidRPr="0092580C" w:rsidRDefault="00165C1E">
      <w:pPr>
        <w:spacing w:line="228" w:lineRule="auto"/>
        <w:rPr>
          <w:rFonts w:ascii="Arial" w:hAnsi="Arial"/>
          <w:b/>
          <w:sz w:val="22"/>
          <w:szCs w:val="22"/>
        </w:rPr>
      </w:pPr>
    </w:p>
    <w:p w:rsidR="004A11C2" w:rsidRPr="003A3C43" w:rsidRDefault="004A11C2" w:rsidP="0092580C">
      <w:pPr>
        <w:numPr>
          <w:ilvl w:val="1"/>
          <w:numId w:val="1"/>
        </w:numPr>
        <w:tabs>
          <w:tab w:val="clear" w:pos="1571"/>
          <w:tab w:val="num" w:pos="1418"/>
        </w:tabs>
        <w:suppressAutoHyphens/>
        <w:ind w:left="1418" w:hanging="709"/>
        <w:rPr>
          <w:rFonts w:ascii="Arial" w:hAnsi="Arial"/>
          <w:spacing w:val="-2"/>
          <w:sz w:val="24"/>
          <w:lang w:val="en-GB"/>
        </w:rPr>
      </w:pPr>
      <w:r w:rsidRPr="003A3C43">
        <w:rPr>
          <w:rFonts w:ascii="Arial" w:hAnsi="Arial"/>
          <w:spacing w:val="-2"/>
          <w:sz w:val="24"/>
          <w:lang w:val="en-GB"/>
        </w:rPr>
        <w:t xml:space="preserve">Judd, WJ ed. Judd’s Methods in Immunohematology, 3rd ed,   </w:t>
      </w:r>
      <w:smartTag w:uri="urn:schemas-microsoft-com:office:smarttags" w:element="place">
        <w:smartTag w:uri="urn:schemas-microsoft-com:office:smarttags" w:element="City">
          <w:r w:rsidRPr="003A3C43">
            <w:rPr>
              <w:rFonts w:ascii="Arial" w:hAnsi="Arial"/>
              <w:spacing w:val="-2"/>
              <w:sz w:val="24"/>
              <w:lang w:val="en-GB"/>
            </w:rPr>
            <w:t>Bethesda</w:t>
          </w:r>
        </w:smartTag>
        <w:r w:rsidRPr="003A3C43">
          <w:rPr>
            <w:rFonts w:ascii="Arial" w:hAnsi="Arial"/>
            <w:spacing w:val="-2"/>
            <w:sz w:val="24"/>
            <w:lang w:val="en-GB"/>
          </w:rPr>
          <w:t xml:space="preserve">, </w:t>
        </w:r>
        <w:smartTag w:uri="urn:schemas-microsoft-com:office:smarttags" w:element="State">
          <w:r w:rsidRPr="003A3C43">
            <w:rPr>
              <w:rFonts w:ascii="Arial" w:hAnsi="Arial"/>
              <w:spacing w:val="-2"/>
              <w:sz w:val="24"/>
              <w:lang w:val="en-GB"/>
            </w:rPr>
            <w:t>MD</w:t>
          </w:r>
        </w:smartTag>
      </w:smartTag>
      <w:r>
        <w:rPr>
          <w:rFonts w:ascii="Arial" w:hAnsi="Arial"/>
          <w:spacing w:val="-2"/>
          <w:sz w:val="24"/>
          <w:lang w:val="en-GB"/>
        </w:rPr>
        <w:t>: pg. 345-347.</w:t>
      </w:r>
    </w:p>
    <w:p w:rsidR="004A11C2" w:rsidRDefault="004A11C2" w:rsidP="004A11C2">
      <w:pPr>
        <w:suppressAutoHyphens/>
        <w:rPr>
          <w:rFonts w:ascii="Arial" w:hAnsi="Arial"/>
          <w:spacing w:val="-2"/>
          <w:sz w:val="24"/>
          <w:lang w:val="en-GB"/>
        </w:rPr>
      </w:pPr>
    </w:p>
    <w:p w:rsidR="004A11C2" w:rsidRDefault="004A11C2" w:rsidP="0092580C">
      <w:pPr>
        <w:numPr>
          <w:ilvl w:val="1"/>
          <w:numId w:val="1"/>
        </w:numPr>
        <w:tabs>
          <w:tab w:val="clear" w:pos="1571"/>
          <w:tab w:val="num" w:pos="1418"/>
        </w:tabs>
        <w:suppressAutoHyphens/>
        <w:ind w:left="1418" w:hanging="709"/>
        <w:rPr>
          <w:rFonts w:ascii="Arial" w:hAnsi="Arial"/>
          <w:spacing w:val="-2"/>
          <w:sz w:val="24"/>
          <w:lang w:val="en-GB"/>
        </w:rPr>
      </w:pPr>
      <w:r w:rsidRPr="00781F37">
        <w:rPr>
          <w:rFonts w:ascii="Arial" w:hAnsi="Arial"/>
          <w:spacing w:val="-2"/>
          <w:sz w:val="24"/>
          <w:lang w:val="en-GB"/>
        </w:rPr>
        <w:t xml:space="preserve">Roback, JD. ed. AABB Technical Manual, </w:t>
      </w:r>
      <w:r w:rsidR="00326560">
        <w:rPr>
          <w:rFonts w:ascii="Arial" w:hAnsi="Arial"/>
          <w:spacing w:val="-2"/>
          <w:sz w:val="24"/>
          <w:lang w:val="en-GB"/>
        </w:rPr>
        <w:t>17</w:t>
      </w:r>
      <w:r w:rsidRPr="00781F37">
        <w:rPr>
          <w:rFonts w:ascii="Arial" w:hAnsi="Arial"/>
          <w:spacing w:val="-2"/>
          <w:sz w:val="24"/>
          <w:lang w:val="en-GB"/>
        </w:rPr>
        <w:t xml:space="preserve">th ed. </w:t>
      </w:r>
      <w:smartTag w:uri="urn:schemas-microsoft-com:office:smarttags" w:element="place">
        <w:smartTag w:uri="urn:schemas-microsoft-com:office:smarttags" w:element="City">
          <w:r w:rsidRPr="00781F37">
            <w:rPr>
              <w:rFonts w:ascii="Arial" w:hAnsi="Arial"/>
              <w:spacing w:val="-2"/>
              <w:sz w:val="24"/>
              <w:lang w:val="en-GB"/>
            </w:rPr>
            <w:t>Bethesda</w:t>
          </w:r>
        </w:smartTag>
        <w:r w:rsidRPr="00781F37">
          <w:rPr>
            <w:rFonts w:ascii="Arial" w:hAnsi="Arial"/>
            <w:spacing w:val="-2"/>
            <w:sz w:val="24"/>
            <w:lang w:val="en-GB"/>
          </w:rPr>
          <w:t xml:space="preserve">, </w:t>
        </w:r>
        <w:smartTag w:uri="urn:schemas-microsoft-com:office:smarttags" w:element="State">
          <w:r w:rsidRPr="00781F37">
            <w:rPr>
              <w:rFonts w:ascii="Arial" w:hAnsi="Arial"/>
              <w:spacing w:val="-2"/>
              <w:sz w:val="24"/>
              <w:lang w:val="en-GB"/>
            </w:rPr>
            <w:t>MD</w:t>
          </w:r>
        </w:smartTag>
      </w:smartTag>
      <w:r w:rsidRPr="00781F37">
        <w:rPr>
          <w:rFonts w:ascii="Arial" w:hAnsi="Arial"/>
          <w:spacing w:val="-2"/>
          <w:sz w:val="24"/>
          <w:lang w:val="en-GB"/>
        </w:rPr>
        <w:t>: American Association</w:t>
      </w:r>
      <w:r>
        <w:rPr>
          <w:rFonts w:ascii="Arial" w:hAnsi="Arial"/>
          <w:spacing w:val="-2"/>
          <w:sz w:val="24"/>
          <w:lang w:val="en-GB"/>
        </w:rPr>
        <w:t xml:space="preserve"> of Blood Banks, 20</w:t>
      </w:r>
      <w:r w:rsidR="00326560">
        <w:rPr>
          <w:rFonts w:ascii="Arial" w:hAnsi="Arial"/>
          <w:spacing w:val="-2"/>
          <w:sz w:val="24"/>
          <w:lang w:val="en-GB"/>
        </w:rPr>
        <w:t>11</w:t>
      </w:r>
      <w:r>
        <w:rPr>
          <w:rFonts w:ascii="Arial" w:hAnsi="Arial"/>
          <w:spacing w:val="-2"/>
          <w:sz w:val="24"/>
          <w:lang w:val="en-GB"/>
        </w:rPr>
        <w:t>: pg 91</w:t>
      </w:r>
      <w:r w:rsidR="00326560">
        <w:rPr>
          <w:rFonts w:ascii="Arial" w:hAnsi="Arial"/>
          <w:spacing w:val="-2"/>
          <w:sz w:val="24"/>
          <w:lang w:val="en-GB"/>
        </w:rPr>
        <w:t>1</w:t>
      </w:r>
      <w:r>
        <w:rPr>
          <w:rFonts w:ascii="Arial" w:hAnsi="Arial"/>
          <w:spacing w:val="-2"/>
          <w:sz w:val="24"/>
          <w:lang w:val="en-GB"/>
        </w:rPr>
        <w:t>-91</w:t>
      </w:r>
      <w:r w:rsidR="00326560">
        <w:rPr>
          <w:rFonts w:ascii="Arial" w:hAnsi="Arial"/>
          <w:spacing w:val="-2"/>
          <w:sz w:val="24"/>
          <w:lang w:val="en-GB"/>
        </w:rPr>
        <w:t>2</w:t>
      </w:r>
      <w:r>
        <w:rPr>
          <w:rFonts w:ascii="Arial" w:hAnsi="Arial"/>
          <w:spacing w:val="-2"/>
          <w:sz w:val="24"/>
          <w:lang w:val="en-GB"/>
        </w:rPr>
        <w:t>.</w:t>
      </w:r>
    </w:p>
    <w:p w:rsidR="001E6E7B" w:rsidRDefault="001E6E7B" w:rsidP="001E6E7B">
      <w:pPr>
        <w:pStyle w:val="ListParagraph"/>
        <w:rPr>
          <w:rFonts w:ascii="Arial" w:hAnsi="Arial"/>
          <w:spacing w:val="-2"/>
          <w:sz w:val="24"/>
          <w:lang w:val="en-GB"/>
        </w:rPr>
      </w:pPr>
    </w:p>
    <w:p w:rsidR="001E6E7B" w:rsidRDefault="001E6E7B" w:rsidP="001E6E7B">
      <w:pPr>
        <w:numPr>
          <w:ilvl w:val="0"/>
          <w:numId w:val="1"/>
        </w:numPr>
        <w:suppressAutoHyphens/>
        <w:rPr>
          <w:rFonts w:ascii="Arial" w:hAnsi="Arial"/>
          <w:b/>
          <w:spacing w:val="-2"/>
          <w:sz w:val="28"/>
          <w:lang w:val="en-GB"/>
        </w:rPr>
      </w:pPr>
      <w:r w:rsidRPr="001E6E7B">
        <w:rPr>
          <w:rFonts w:ascii="Arial" w:hAnsi="Arial"/>
          <w:b/>
          <w:spacing w:val="-2"/>
          <w:sz w:val="28"/>
          <w:lang w:val="en-GB"/>
        </w:rPr>
        <w:t>Revision History</w:t>
      </w:r>
    </w:p>
    <w:p w:rsidR="001E6E7B" w:rsidRPr="0092580C" w:rsidRDefault="001E6E7B" w:rsidP="001E6E7B">
      <w:pPr>
        <w:suppressAutoHyphens/>
        <w:rPr>
          <w:rFonts w:ascii="Arial" w:hAnsi="Arial"/>
          <w:b/>
          <w:spacing w:val="-2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71"/>
      </w:tblGrid>
      <w:tr w:rsidR="001E6E7B" w:rsidRPr="00466E6F" w:rsidTr="0092580C">
        <w:tc>
          <w:tcPr>
            <w:tcW w:w="3085" w:type="dxa"/>
            <w:shd w:val="clear" w:color="auto" w:fill="BFBFBF"/>
          </w:tcPr>
          <w:p w:rsidR="001E6E7B" w:rsidRPr="00466E6F" w:rsidRDefault="001E6E7B" w:rsidP="0092580C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  <w:t>Revision Date</w:t>
            </w:r>
          </w:p>
        </w:tc>
        <w:tc>
          <w:tcPr>
            <w:tcW w:w="5771" w:type="dxa"/>
            <w:shd w:val="clear" w:color="auto" w:fill="BFBFBF"/>
          </w:tcPr>
          <w:p w:rsidR="001E6E7B" w:rsidRPr="00466E6F" w:rsidRDefault="001E6E7B" w:rsidP="0092580C">
            <w:pPr>
              <w:suppressAutoHyphens/>
              <w:jc w:val="center"/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  <w:t>Summary of Revision</w:t>
            </w:r>
          </w:p>
        </w:tc>
      </w:tr>
      <w:tr w:rsidR="001E6E7B" w:rsidRPr="00466E6F" w:rsidTr="0092580C">
        <w:tc>
          <w:tcPr>
            <w:tcW w:w="3085" w:type="dxa"/>
            <w:shd w:val="clear" w:color="auto" w:fill="auto"/>
          </w:tcPr>
          <w:p w:rsidR="001E6E7B" w:rsidRPr="00466E6F" w:rsidRDefault="001E6E7B" w:rsidP="00466E6F">
            <w:p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September 1, 2014</w:t>
            </w:r>
          </w:p>
        </w:tc>
        <w:tc>
          <w:tcPr>
            <w:tcW w:w="5771" w:type="dxa"/>
            <w:shd w:val="clear" w:color="auto" w:fill="auto"/>
          </w:tcPr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Revised name of manual</w:t>
            </w:r>
          </w:p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Revised section 2.0</w:t>
            </w:r>
          </w:p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Replaced “red cells” with “whole blood” in section 3.0</w:t>
            </w:r>
          </w:p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Replaced “Normal Saline” with “0.9% Saline” in section 4.0- Reagents</w:t>
            </w:r>
          </w:p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Revised wording of section 6.1; added section 6.10</w:t>
            </w:r>
          </w:p>
          <w:p w:rsidR="001E6E7B" w:rsidRPr="00466E6F" w:rsidRDefault="001E6E7B" w:rsidP="00466E6F">
            <w:pPr>
              <w:numPr>
                <w:ilvl w:val="0"/>
                <w:numId w:val="10"/>
              </w:numPr>
              <w:suppressAutoHyphens/>
              <w:rPr>
                <w:rFonts w:ascii="Arial" w:hAnsi="Arial"/>
                <w:spacing w:val="-2"/>
                <w:sz w:val="22"/>
                <w:szCs w:val="22"/>
                <w:lang w:val="en-GB"/>
              </w:rPr>
            </w:pPr>
            <w:r w:rsidRPr="00466E6F">
              <w:rPr>
                <w:rFonts w:ascii="Arial" w:hAnsi="Arial"/>
                <w:spacing w:val="-2"/>
                <w:sz w:val="22"/>
                <w:szCs w:val="22"/>
                <w:lang w:val="en-GB"/>
              </w:rPr>
              <w:t>Updated list of references to include most recent editions</w:t>
            </w:r>
          </w:p>
        </w:tc>
      </w:tr>
    </w:tbl>
    <w:p w:rsidR="00165C1E" w:rsidRPr="004A11C2" w:rsidRDefault="00165C1E" w:rsidP="0092580C">
      <w:pPr>
        <w:spacing w:line="228" w:lineRule="auto"/>
        <w:rPr>
          <w:lang w:val="en-GB"/>
        </w:rPr>
      </w:pPr>
    </w:p>
    <w:sectPr w:rsidR="00165C1E" w:rsidRPr="004A11C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66" w:right="1800" w:bottom="662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7E" w:rsidRDefault="00AB7E7E">
      <w:r>
        <w:separator/>
      </w:r>
    </w:p>
  </w:endnote>
  <w:endnote w:type="continuationSeparator" w:id="0">
    <w:p w:rsidR="00AB7E7E" w:rsidRDefault="00AB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9F00BD">
      <w:trPr>
        <w:trHeight w:val="720"/>
      </w:trPr>
      <w:tc>
        <w:tcPr>
          <w:tcW w:w="1368" w:type="dxa"/>
        </w:tcPr>
        <w:p w:rsidR="009F00BD" w:rsidRDefault="009F00BD">
          <w:pPr>
            <w:pStyle w:val="Footer"/>
            <w:jc w:val="center"/>
            <w:rPr>
              <w:sz w:val="8"/>
            </w:rPr>
          </w:pPr>
        </w:p>
        <w:p w:rsidR="009F00BD" w:rsidRDefault="001016EA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F00BD" w:rsidRDefault="009F00BD">
          <w:pPr>
            <w:pStyle w:val="Footer"/>
            <w:jc w:val="center"/>
            <w:rPr>
              <w:rFonts w:ascii="Verdana" w:hAnsi="Verdana"/>
              <w:sz w:val="8"/>
            </w:rPr>
          </w:pPr>
        </w:p>
      </w:tc>
      <w:tc>
        <w:tcPr>
          <w:tcW w:w="5976" w:type="dxa"/>
        </w:tcPr>
        <w:p w:rsidR="009F00BD" w:rsidRDefault="009F00BD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9F00BD" w:rsidRDefault="009F00BD" w:rsidP="007B73D4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9F00BD" w:rsidRDefault="001E6E7B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9F00BD" w:rsidRDefault="009F00BD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SP.021 </w:t>
          </w:r>
          <w:r>
            <w:rPr>
              <w:rFonts w:ascii="Arial" w:hAnsi="Arial"/>
              <w:sz w:val="18"/>
            </w:rPr>
            <w:br/>
          </w:r>
        </w:p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96B92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96B92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9F00BD" w:rsidRDefault="009F0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9F00BD">
      <w:trPr>
        <w:trHeight w:val="720"/>
      </w:trPr>
      <w:tc>
        <w:tcPr>
          <w:tcW w:w="1368" w:type="dxa"/>
        </w:tcPr>
        <w:p w:rsidR="009F00BD" w:rsidRDefault="009F00BD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9F00BD" w:rsidRDefault="001016EA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9F00BD" w:rsidRDefault="009F00BD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9F00BD" w:rsidRDefault="009F00BD" w:rsidP="007B73D4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 </w:t>
          </w:r>
        </w:p>
        <w:p w:rsidR="009F00BD" w:rsidRDefault="001E6E7B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9F00BD" w:rsidRDefault="009F00BD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SP.021 </w:t>
          </w:r>
          <w:r>
            <w:rPr>
              <w:rFonts w:ascii="Arial" w:hAnsi="Arial"/>
              <w:sz w:val="18"/>
            </w:rPr>
            <w:br/>
          </w:r>
        </w:p>
        <w:p w:rsidR="009F00BD" w:rsidRDefault="009F00BD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96B92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96B92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9F00BD" w:rsidRDefault="009F0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7E" w:rsidRDefault="00AB7E7E">
      <w:r>
        <w:separator/>
      </w:r>
    </w:p>
  </w:footnote>
  <w:footnote w:type="continuationSeparator" w:id="0">
    <w:p w:rsidR="00AB7E7E" w:rsidRDefault="00AB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D" w:rsidRDefault="009F00BD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b/>
        <w:sz w:val="28"/>
      </w:rPr>
      <w:t xml:space="preserve">Inhibition of Chido and Rodgers using Plasma </w:t>
    </w:r>
  </w:p>
  <w:p w:rsidR="009F00BD" w:rsidRDefault="009F00BD">
    <w:pPr>
      <w:pStyle w:val="Header"/>
      <w:rPr>
        <w:rFonts w:ascii="Arial" w:hAnsi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D" w:rsidRDefault="001016EA">
    <w:pPr>
      <w:pStyle w:val="Head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sz w:val="22"/>
      </w:rPr>
      <w:drawing>
        <wp:inline distT="0" distB="0" distL="0" distR="0">
          <wp:extent cx="1133475" cy="457200"/>
          <wp:effectExtent l="0" t="0" r="0" b="0"/>
          <wp:docPr id="2" name="Picture 2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2CD" w:rsidRDefault="006A02CD" w:rsidP="006A02CD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Ontario Regional Blood Coordinating Network</w:t>
    </w:r>
  </w:p>
  <w:p w:rsidR="006A02CD" w:rsidRDefault="006A02CD" w:rsidP="006A02CD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Transfusion Technical Resource Manual</w:t>
    </w:r>
  </w:p>
  <w:p w:rsidR="009F00BD" w:rsidRDefault="009F00BD">
    <w:pPr>
      <w:pStyle w:val="Header"/>
      <w:jc w:val="center"/>
      <w:rPr>
        <w:rFonts w:ascii="Arial" w:hAnsi="Arial" w:cs="Arial"/>
        <w:b/>
        <w:bCs/>
        <w:sz w:val="22"/>
      </w:rPr>
    </w:pPr>
  </w:p>
  <w:p w:rsidR="009F00BD" w:rsidRDefault="009F00BD">
    <w:pPr>
      <w:pStyle w:val="Header"/>
      <w:jc w:val="center"/>
      <w:rPr>
        <w:rFonts w:ascii="Arial" w:hAnsi="Arial"/>
        <w:sz w:val="18"/>
      </w:rPr>
    </w:pPr>
    <w:r>
      <w:rPr>
        <w:rFonts w:ascii="Arial" w:hAnsi="Arial"/>
        <w:b/>
        <w:sz w:val="28"/>
      </w:rPr>
      <w:t xml:space="preserve">Inhibition of Chido and Rodgers using Plasma </w:t>
    </w:r>
  </w:p>
  <w:p w:rsidR="009F00BD" w:rsidRDefault="009F00BD">
    <w:pPr>
      <w:pStyle w:val="Header"/>
      <w:jc w:val="center"/>
      <w:rPr>
        <w:rFonts w:ascii="Arial" w:hAnsi="Arial" w:cs="Arial"/>
      </w:rPr>
    </w:pPr>
  </w:p>
  <w:p w:rsidR="009F00BD" w:rsidRDefault="001016EA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78A0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GVxZc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1"/>
      <w:gridCol w:w="4319"/>
    </w:tblGrid>
    <w:tr w:rsidR="009F00BD"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 </w:t>
          </w:r>
        </w:p>
      </w:tc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SP.021</w:t>
          </w:r>
        </w:p>
      </w:tc>
    </w:tr>
    <w:tr w:rsidR="009F00BD"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Special Procedures</w:t>
          </w:r>
        </w:p>
      </w:tc>
    </w:tr>
    <w:tr w:rsidR="009F00BD"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</w:t>
          </w:r>
          <w:r w:rsidR="00C15F45">
            <w:rPr>
              <w:rFonts w:ascii="Arial" w:hAnsi="Arial" w:cs="Arial"/>
            </w:rPr>
            <w:t>; 2014/09/01</w:t>
          </w:r>
        </w:p>
      </w:tc>
      <w:tc>
        <w:tcPr>
          <w:tcW w:w="4428" w:type="dxa"/>
        </w:tcPr>
        <w:p w:rsidR="009F00BD" w:rsidRDefault="009F00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396B9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396B9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9F00BD" w:rsidRDefault="001016EA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40C5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HTmAPs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9F00BD">
      <w:rPr>
        <w:rFonts w:ascii="Arial" w:hAnsi="Arial" w:cs="Arial"/>
      </w:rPr>
      <w:tab/>
    </w:r>
  </w:p>
  <w:p w:rsidR="009F00BD" w:rsidRDefault="009F00BD">
    <w:pPr>
      <w:pStyle w:val="Header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3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" w15:restartNumberingAfterBreak="0">
    <w:nsid w:val="34567BF1"/>
    <w:multiLevelType w:val="multilevel"/>
    <w:tmpl w:val="1E78385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104C52"/>
    <w:multiLevelType w:val="hybridMultilevel"/>
    <w:tmpl w:val="9E385D5A"/>
    <w:lvl w:ilvl="0" w:tplc="86D8728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8"/>
    <w:rsid w:val="001016EA"/>
    <w:rsid w:val="00165C1E"/>
    <w:rsid w:val="00191636"/>
    <w:rsid w:val="001E026F"/>
    <w:rsid w:val="001E6E7B"/>
    <w:rsid w:val="002A6843"/>
    <w:rsid w:val="002C3E03"/>
    <w:rsid w:val="003155E8"/>
    <w:rsid w:val="00326560"/>
    <w:rsid w:val="00396B92"/>
    <w:rsid w:val="00466E6F"/>
    <w:rsid w:val="004A11C2"/>
    <w:rsid w:val="005B6B8D"/>
    <w:rsid w:val="006A02CD"/>
    <w:rsid w:val="006A6A16"/>
    <w:rsid w:val="00735311"/>
    <w:rsid w:val="007B73D4"/>
    <w:rsid w:val="00833CD4"/>
    <w:rsid w:val="008D2951"/>
    <w:rsid w:val="0092580C"/>
    <w:rsid w:val="009F00BD"/>
    <w:rsid w:val="00A21F9B"/>
    <w:rsid w:val="00A74F96"/>
    <w:rsid w:val="00AB7E7E"/>
    <w:rsid w:val="00AF11B9"/>
    <w:rsid w:val="00C0405B"/>
    <w:rsid w:val="00C15F45"/>
    <w:rsid w:val="00CC058F"/>
    <w:rsid w:val="00D3198C"/>
    <w:rsid w:val="00D376E3"/>
    <w:rsid w:val="00E53A18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33D45A-515C-4905-AA3F-D1875D83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C3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45"/>
    <w:pPr>
      <w:ind w:left="720"/>
    </w:pPr>
  </w:style>
  <w:style w:type="table" w:styleId="TableGrid">
    <w:name w:val="Table Grid"/>
    <w:basedOn w:val="TableNormal"/>
    <w:rsid w:val="006A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SP.021 - Inhibition of Chido and Rodgers using Plasma</vt:lpstr>
    </vt:vector>
  </TitlesOfParts>
  <Company>The Ottawa Hospital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SP.021 - Inhibition of Chido and Rodgers using Plasma</dc:title>
  <dc:subject/>
  <dc:creator>Transfusion Ontario Program Office</dc:creator>
  <cp:keywords/>
  <cp:lastModifiedBy>Nesrallah, Heather</cp:lastModifiedBy>
  <cp:revision>2</cp:revision>
  <cp:lastPrinted>2015-01-06T18:47:00Z</cp:lastPrinted>
  <dcterms:created xsi:type="dcterms:W3CDTF">2020-08-11T15:19:00Z</dcterms:created>
  <dcterms:modified xsi:type="dcterms:W3CDTF">2020-08-11T15:19:00Z</dcterms:modified>
</cp:coreProperties>
</file>