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5C" w:rsidRDefault="0005451B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</w:t>
      </w:r>
      <w:r w:rsidR="00BC0D5C">
        <w:rPr>
          <w:rFonts w:ascii="Arial" w:hAnsi="Arial"/>
          <w:b/>
          <w:sz w:val="28"/>
        </w:rPr>
        <w:t>rinciple</w:t>
      </w:r>
    </w:p>
    <w:p w:rsidR="00BC0D5C" w:rsidRDefault="00BC0D5C">
      <w:pPr>
        <w:spacing w:line="228" w:lineRule="auto"/>
        <w:rPr>
          <w:rFonts w:ascii="Arial" w:hAnsi="Arial"/>
          <w:b/>
          <w:sz w:val="24"/>
        </w:rPr>
      </w:pPr>
    </w:p>
    <w:p w:rsidR="00BC0D5C" w:rsidRDefault="00BC0D5C">
      <w:pPr>
        <w:suppressAutoHyphens/>
        <w:spacing w:after="120" w:line="228" w:lineRule="auto"/>
        <w:ind w:left="72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Urine from Sd (a+) individuals or from guinea pigs contain</w:t>
      </w:r>
      <w:r w:rsidR="009740B3">
        <w:rPr>
          <w:rFonts w:ascii="Arial" w:hAnsi="Arial"/>
          <w:spacing w:val="-2"/>
          <w:sz w:val="24"/>
          <w:lang w:val="en-GB"/>
        </w:rPr>
        <w:t>s soluble</w:t>
      </w:r>
      <w:r>
        <w:rPr>
          <w:rFonts w:ascii="Arial" w:hAnsi="Arial"/>
          <w:spacing w:val="-2"/>
          <w:sz w:val="24"/>
          <w:lang w:val="en-GB"/>
        </w:rPr>
        <w:t xml:space="preserve"> Sd</w:t>
      </w:r>
      <w:r>
        <w:rPr>
          <w:rFonts w:ascii="Arial" w:hAnsi="Arial"/>
          <w:spacing w:val="-3"/>
          <w:sz w:val="24"/>
          <w:vertAlign w:val="superscript"/>
          <w:lang w:val="en-GB"/>
        </w:rPr>
        <w:t>a</w:t>
      </w:r>
      <w:r>
        <w:rPr>
          <w:rFonts w:ascii="Arial" w:hAnsi="Arial"/>
          <w:spacing w:val="-2"/>
          <w:sz w:val="24"/>
          <w:lang w:val="en-GB"/>
        </w:rPr>
        <w:t xml:space="preserve"> substance which will </w:t>
      </w:r>
      <w:r w:rsidR="009740B3">
        <w:rPr>
          <w:rFonts w:ascii="Arial" w:hAnsi="Arial"/>
          <w:spacing w:val="-2"/>
          <w:sz w:val="24"/>
          <w:lang w:val="en-GB"/>
        </w:rPr>
        <w:t xml:space="preserve">inhibit or </w:t>
      </w:r>
      <w:r>
        <w:rPr>
          <w:rFonts w:ascii="Arial" w:hAnsi="Arial"/>
          <w:spacing w:val="-2"/>
          <w:sz w:val="24"/>
          <w:lang w:val="en-GB"/>
        </w:rPr>
        <w:t>neutralise anti-Sd</w:t>
      </w:r>
      <w:r>
        <w:rPr>
          <w:rFonts w:ascii="Arial" w:hAnsi="Arial"/>
          <w:spacing w:val="-3"/>
          <w:sz w:val="24"/>
          <w:vertAlign w:val="superscript"/>
          <w:lang w:val="en-GB"/>
        </w:rPr>
        <w:t>a</w:t>
      </w:r>
      <w:r>
        <w:rPr>
          <w:rFonts w:ascii="Arial" w:hAnsi="Arial"/>
          <w:spacing w:val="-2"/>
          <w:sz w:val="24"/>
          <w:lang w:val="en-GB"/>
        </w:rPr>
        <w:t xml:space="preserve"> if present in plasma.</w:t>
      </w:r>
    </w:p>
    <w:p w:rsidR="00BC0D5C" w:rsidRDefault="00BC0D5C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Scope and Related Policies</w:t>
      </w:r>
    </w:p>
    <w:p w:rsidR="00BC0D5C" w:rsidRDefault="00BC0D5C">
      <w:pPr>
        <w:spacing w:line="228" w:lineRule="auto"/>
        <w:rPr>
          <w:rFonts w:ascii="Arial" w:hAnsi="Arial"/>
          <w:b/>
          <w:sz w:val="24"/>
        </w:rPr>
      </w:pPr>
    </w:p>
    <w:p w:rsidR="00BC0D5C" w:rsidRDefault="00BC0D5C" w:rsidP="00A137FC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spacing w:line="228" w:lineRule="auto"/>
        <w:ind w:left="1418" w:right="720" w:hanging="709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A frozen pool of urine will be maintained for this purpose.</w:t>
      </w:r>
    </w:p>
    <w:p w:rsidR="00BC0D5C" w:rsidRDefault="00BC0D5C">
      <w:pPr>
        <w:suppressAutoHyphens/>
        <w:spacing w:line="228" w:lineRule="auto"/>
        <w:ind w:left="720" w:right="720"/>
        <w:rPr>
          <w:rFonts w:ascii="Arial" w:hAnsi="Arial"/>
          <w:spacing w:val="-2"/>
          <w:sz w:val="24"/>
          <w:lang w:val="en-GB"/>
        </w:rPr>
      </w:pPr>
    </w:p>
    <w:p w:rsidR="00BC0D5C" w:rsidRDefault="00BC0D5C" w:rsidP="00A137FC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spacing w:line="228" w:lineRule="auto"/>
        <w:ind w:left="1418" w:right="720" w:hanging="709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For human urine, an early morning sample (after fasting) is most suitable.</w:t>
      </w:r>
    </w:p>
    <w:p w:rsidR="00BC0D5C" w:rsidRDefault="00BC0D5C">
      <w:pPr>
        <w:suppressAutoHyphens/>
        <w:spacing w:line="228" w:lineRule="auto"/>
        <w:ind w:right="720"/>
        <w:rPr>
          <w:rFonts w:ascii="Arial" w:hAnsi="Arial"/>
          <w:spacing w:val="-2"/>
          <w:sz w:val="24"/>
          <w:lang w:val="en-GB"/>
        </w:rPr>
      </w:pPr>
    </w:p>
    <w:p w:rsidR="00BC0D5C" w:rsidRDefault="00BC0D5C" w:rsidP="00A137FC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spacing w:line="228" w:lineRule="auto"/>
        <w:ind w:left="1418" w:right="720" w:hanging="709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Guinea pig urine contains potent Sd</w:t>
      </w:r>
      <w:r>
        <w:rPr>
          <w:rFonts w:ascii="Arial" w:hAnsi="Arial"/>
          <w:spacing w:val="-3"/>
          <w:sz w:val="24"/>
          <w:vertAlign w:val="superscript"/>
          <w:lang w:val="en-GB"/>
        </w:rPr>
        <w:t>a</w:t>
      </w:r>
      <w:r>
        <w:rPr>
          <w:rFonts w:ascii="Arial" w:hAnsi="Arial"/>
          <w:spacing w:val="-2"/>
          <w:sz w:val="24"/>
          <w:lang w:val="en-GB"/>
        </w:rPr>
        <w:t xml:space="preserve"> substance and is the product of choice.</w:t>
      </w:r>
    </w:p>
    <w:p w:rsidR="00BC0D5C" w:rsidRDefault="00BC0D5C">
      <w:pPr>
        <w:spacing w:line="228" w:lineRule="auto"/>
        <w:rPr>
          <w:rFonts w:ascii="Arial" w:hAnsi="Arial"/>
          <w:sz w:val="24"/>
        </w:rPr>
      </w:pPr>
    </w:p>
    <w:p w:rsidR="00BC0D5C" w:rsidRDefault="00BC0D5C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</w:t>
      </w:r>
    </w:p>
    <w:p w:rsidR="00BC0D5C" w:rsidRDefault="00BC0D5C">
      <w:pPr>
        <w:spacing w:line="228" w:lineRule="auto"/>
        <w:rPr>
          <w:rFonts w:ascii="Arial" w:hAnsi="Arial"/>
          <w:sz w:val="24"/>
        </w:rPr>
      </w:pPr>
    </w:p>
    <w:p w:rsidR="00BC0D5C" w:rsidRPr="009740B3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Patient Plasma</w:t>
      </w:r>
      <w:r w:rsidR="009740B3">
        <w:rPr>
          <w:rFonts w:ascii="Arial" w:hAnsi="Arial"/>
          <w:sz w:val="24"/>
        </w:rPr>
        <w:t xml:space="preserve"> (suspected of containing anti-Sd</w:t>
      </w:r>
      <w:r w:rsidR="009740B3">
        <w:rPr>
          <w:rFonts w:ascii="Arial" w:hAnsi="Arial"/>
          <w:sz w:val="24"/>
          <w:vertAlign w:val="superscript"/>
        </w:rPr>
        <w:t xml:space="preserve">a </w:t>
      </w:r>
      <w:r w:rsidR="009740B3">
        <w:rPr>
          <w:rFonts w:ascii="Arial" w:hAnsi="Arial"/>
          <w:sz w:val="24"/>
        </w:rPr>
        <w:t>)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</w:p>
    <w:p w:rsidR="00BC0D5C" w:rsidRDefault="00BC0D5C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</w:t>
      </w:r>
    </w:p>
    <w:p w:rsidR="00BC0D5C" w:rsidRDefault="00BC0D5C">
      <w:pPr>
        <w:spacing w:line="228" w:lineRule="auto"/>
        <w:rPr>
          <w:rFonts w:ascii="Arial" w:hAnsi="Arial"/>
          <w:sz w:val="24"/>
        </w:rPr>
      </w:pP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Cell Washer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centrifuge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Block for test tubes</w:t>
      </w:r>
    </w:p>
    <w:p w:rsidR="00BC0D5C" w:rsidRDefault="00BC0D5C">
      <w:pPr>
        <w:spacing w:line="228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Microscope</w:t>
      </w:r>
    </w:p>
    <w:p w:rsidR="00BC0D5C" w:rsidRDefault="00BC0D5C">
      <w:pPr>
        <w:spacing w:line="228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Water bath/Heating block at 37</w:t>
      </w:r>
      <w:r w:rsidR="00571799">
        <w:rPr>
          <w:rFonts w:ascii="Arial" w:hAnsi="Arial" w:cs="Arial"/>
          <w:sz w:val="24"/>
        </w:rPr>
        <w:t>°</w:t>
      </w:r>
      <w:r>
        <w:rPr>
          <w:rFonts w:ascii="Arial" w:hAnsi="Arial"/>
          <w:sz w:val="24"/>
        </w:rPr>
        <w:t>C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Supplies: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Test tubes – 10 x 75</w:t>
      </w:r>
      <w:r w:rsidR="0057179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mm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pipettes</w:t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C0D5C" w:rsidRDefault="00BC0D5C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740B3">
        <w:rPr>
          <w:rFonts w:ascii="Arial" w:hAnsi="Arial"/>
          <w:sz w:val="24"/>
        </w:rPr>
        <w:t>0.9%</w:t>
      </w:r>
      <w:r w:rsidR="00571799">
        <w:rPr>
          <w:rFonts w:ascii="Arial" w:hAnsi="Arial"/>
          <w:sz w:val="24"/>
        </w:rPr>
        <w:t xml:space="preserve"> s</w:t>
      </w:r>
      <w:r>
        <w:rPr>
          <w:rFonts w:ascii="Arial" w:hAnsi="Arial"/>
          <w:sz w:val="24"/>
        </w:rPr>
        <w:t>aline</w:t>
      </w:r>
    </w:p>
    <w:p w:rsidR="00BC0D5C" w:rsidRDefault="00BC0D5C">
      <w:pPr>
        <w:suppressAutoHyphens/>
        <w:spacing w:line="228" w:lineRule="auto"/>
        <w:ind w:left="28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Urine from guinea pigs (G.P.U.) or</w:t>
      </w:r>
    </w:p>
    <w:p w:rsidR="00BC0D5C" w:rsidRDefault="00BC0D5C">
      <w:pPr>
        <w:suppressAutoHyphens/>
        <w:spacing w:line="228" w:lineRule="auto"/>
        <w:ind w:left="28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Urine from Sd</w:t>
      </w:r>
      <w:r w:rsidR="0005451B">
        <w:rPr>
          <w:rFonts w:ascii="Arial" w:hAnsi="Arial"/>
          <w:spacing w:val="-2"/>
          <w:sz w:val="24"/>
          <w:lang w:val="en-GB"/>
        </w:rPr>
        <w:t xml:space="preserve"> </w:t>
      </w:r>
      <w:r>
        <w:rPr>
          <w:rFonts w:ascii="Arial" w:hAnsi="Arial"/>
          <w:spacing w:val="-2"/>
          <w:sz w:val="24"/>
          <w:lang w:val="en-GB"/>
        </w:rPr>
        <w:t>(a+) individuals.</w:t>
      </w:r>
    </w:p>
    <w:p w:rsidR="00BC0D5C" w:rsidRDefault="00BC0D5C">
      <w:pPr>
        <w:pStyle w:val="BodyText2"/>
        <w:spacing w:line="228" w:lineRule="auto"/>
        <w:ind w:left="2880"/>
      </w:pPr>
      <w:r>
        <w:t xml:space="preserve">Phosphate buffered saline PBS - pH 7.4 </w:t>
      </w:r>
    </w:p>
    <w:p w:rsidR="00BC0D5C" w:rsidRDefault="00BC0D5C">
      <w:pPr>
        <w:pStyle w:val="BodyText2"/>
        <w:spacing w:line="228" w:lineRule="auto"/>
        <w:ind w:left="2880"/>
      </w:pPr>
    </w:p>
    <w:p w:rsidR="00BC0D5C" w:rsidRDefault="00571799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BC0D5C">
        <w:rPr>
          <w:rFonts w:ascii="Arial" w:hAnsi="Arial"/>
          <w:b/>
          <w:sz w:val="28"/>
        </w:rPr>
        <w:lastRenderedPageBreak/>
        <w:t>Quality Control</w:t>
      </w:r>
    </w:p>
    <w:p w:rsidR="00BC0D5C" w:rsidRDefault="00BC0D5C">
      <w:pPr>
        <w:ind w:left="720"/>
        <w:rPr>
          <w:rFonts w:ascii="Arial" w:hAnsi="Arial"/>
          <w:sz w:val="24"/>
        </w:rPr>
      </w:pPr>
    </w:p>
    <w:p w:rsidR="00BC0D5C" w:rsidRDefault="00BC0D5C" w:rsidP="00A137FC">
      <w:pPr>
        <w:numPr>
          <w:ilvl w:val="1"/>
          <w:numId w:val="1"/>
        </w:numPr>
        <w:tabs>
          <w:tab w:val="clear" w:pos="720"/>
          <w:tab w:val="num" w:pos="1418"/>
        </w:tabs>
        <w:ind w:left="1418" w:hanging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A dilution control must be used if human urine is used for the inhibition.</w:t>
      </w:r>
    </w:p>
    <w:p w:rsidR="00BC0D5C" w:rsidRDefault="00BC0D5C">
      <w:pPr>
        <w:rPr>
          <w:rFonts w:ascii="Arial" w:hAnsi="Arial"/>
          <w:b/>
          <w:sz w:val="24"/>
        </w:rPr>
      </w:pPr>
    </w:p>
    <w:p w:rsidR="00BC0D5C" w:rsidRDefault="00BC0D5C">
      <w:pPr>
        <w:pStyle w:val="Heading9"/>
        <w:numPr>
          <w:ilvl w:val="0"/>
          <w:numId w:val="1"/>
        </w:numPr>
      </w:pPr>
      <w:r>
        <w:t>Procedure</w:t>
      </w:r>
    </w:p>
    <w:p w:rsidR="00E00549" w:rsidRDefault="00E00549" w:rsidP="00E00549">
      <w:pPr>
        <w:suppressAutoHyphens/>
        <w:rPr>
          <w:rFonts w:ascii="Arial" w:hAnsi="Arial"/>
          <w:spacing w:val="-2"/>
          <w:sz w:val="24"/>
          <w:lang w:val="en-GB"/>
        </w:rPr>
      </w:pPr>
    </w:p>
    <w:p w:rsidR="00BC0D5C" w:rsidRPr="00457701" w:rsidRDefault="00BC0D5C" w:rsidP="00E00549">
      <w:pPr>
        <w:suppressAutoHyphens/>
        <w:rPr>
          <w:rFonts w:ascii="Arial" w:hAnsi="Arial"/>
          <w:b/>
          <w:spacing w:val="-2"/>
          <w:sz w:val="24"/>
          <w:lang w:val="en-GB"/>
        </w:rPr>
      </w:pPr>
      <w:r w:rsidRPr="00457701">
        <w:rPr>
          <w:rFonts w:ascii="Arial" w:hAnsi="Arial"/>
          <w:b/>
          <w:spacing w:val="-2"/>
          <w:sz w:val="24"/>
          <w:lang w:val="en-GB"/>
        </w:rPr>
        <w:t>Urine:</w:t>
      </w:r>
    </w:p>
    <w:p w:rsidR="009539E5" w:rsidRDefault="009539E5" w:rsidP="00E00549">
      <w:pPr>
        <w:suppressAutoHyphens/>
        <w:rPr>
          <w:rFonts w:ascii="Arial" w:hAnsi="Arial"/>
          <w:i/>
          <w:spacing w:val="-2"/>
          <w:sz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4"/>
      </w:tblGrid>
      <w:tr w:rsidR="0005451B" w:rsidRPr="00E86118" w:rsidTr="00E86118">
        <w:trPr>
          <w:jc w:val="center"/>
        </w:trPr>
        <w:tc>
          <w:tcPr>
            <w:tcW w:w="8464" w:type="dxa"/>
            <w:shd w:val="clear" w:color="auto" w:fill="auto"/>
          </w:tcPr>
          <w:p w:rsidR="0005451B" w:rsidRPr="00E86118" w:rsidRDefault="0005451B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55"/>
              </w:tabs>
              <w:suppressAutoHyphens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Centrifuge urine specimen</w:t>
            </w:r>
          </w:p>
        </w:tc>
      </w:tr>
      <w:tr w:rsidR="0005451B" w:rsidRPr="00E86118" w:rsidTr="00E86118">
        <w:trPr>
          <w:jc w:val="center"/>
        </w:trPr>
        <w:tc>
          <w:tcPr>
            <w:tcW w:w="8464" w:type="dxa"/>
            <w:shd w:val="clear" w:color="auto" w:fill="auto"/>
          </w:tcPr>
          <w:p w:rsidR="0005451B" w:rsidRPr="00E86118" w:rsidRDefault="0005451B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55"/>
              </w:tabs>
              <w:suppressAutoHyphens/>
              <w:ind w:left="655" w:hanging="655"/>
              <w:rPr>
                <w:rFonts w:ascii="Arial" w:hAnsi="Arial"/>
                <w:i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Aliquots of urine can be frozen until needed</w:t>
            </w:r>
          </w:p>
        </w:tc>
      </w:tr>
      <w:tr w:rsidR="0005451B" w:rsidRPr="00E86118" w:rsidTr="00E86118">
        <w:trPr>
          <w:jc w:val="center"/>
        </w:trPr>
        <w:tc>
          <w:tcPr>
            <w:tcW w:w="8464" w:type="dxa"/>
            <w:shd w:val="clear" w:color="auto" w:fill="auto"/>
          </w:tcPr>
          <w:p w:rsidR="0005451B" w:rsidRPr="00E86118" w:rsidRDefault="0005451B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55"/>
              </w:tabs>
              <w:suppressAutoHyphens/>
              <w:ind w:left="655" w:hanging="655"/>
              <w:rPr>
                <w:rFonts w:ascii="Arial" w:hAnsi="Arial"/>
                <w:sz w:val="24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For use, dilute G.P.U. with an</w:t>
            </w:r>
            <w:r w:rsidRPr="00E86118">
              <w:rPr>
                <w:spacing w:val="-2"/>
                <w:lang w:val="en-GB"/>
              </w:rPr>
              <w:t xml:space="preserve"> </w:t>
            </w: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equal volume of pH 7.4 PBS</w:t>
            </w:r>
          </w:p>
        </w:tc>
      </w:tr>
    </w:tbl>
    <w:p w:rsidR="00E00549" w:rsidRDefault="00E00549" w:rsidP="00E00549">
      <w:pPr>
        <w:suppressAutoHyphens/>
        <w:rPr>
          <w:rFonts w:ascii="Arial" w:hAnsi="Arial"/>
          <w:i/>
          <w:spacing w:val="-2"/>
          <w:sz w:val="24"/>
          <w:lang w:val="en-GB"/>
        </w:rPr>
      </w:pPr>
    </w:p>
    <w:p w:rsidR="00BC0D5C" w:rsidRPr="00457701" w:rsidRDefault="00BC0D5C" w:rsidP="00E00549">
      <w:pPr>
        <w:suppressAutoHyphens/>
        <w:rPr>
          <w:rFonts w:ascii="Arial" w:hAnsi="Arial"/>
          <w:b/>
          <w:spacing w:val="-2"/>
          <w:sz w:val="24"/>
          <w:lang w:val="en-GB"/>
        </w:rPr>
      </w:pPr>
      <w:r w:rsidRPr="00457701">
        <w:rPr>
          <w:rFonts w:ascii="Arial" w:hAnsi="Arial"/>
          <w:b/>
          <w:spacing w:val="-2"/>
          <w:sz w:val="24"/>
          <w:lang w:val="en-GB"/>
        </w:rPr>
        <w:t>Inhibition:</w:t>
      </w:r>
    </w:p>
    <w:p w:rsidR="00BC0D5C" w:rsidRDefault="00BC0D5C">
      <w:pPr>
        <w:suppressAutoHyphens/>
        <w:ind w:left="720"/>
        <w:rPr>
          <w:rFonts w:ascii="Arial" w:hAnsi="Arial"/>
          <w:spacing w:val="-2"/>
          <w:sz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00549" w:rsidRPr="00E86118" w:rsidTr="00E86118">
        <w:trPr>
          <w:jc w:val="center"/>
        </w:trPr>
        <w:tc>
          <w:tcPr>
            <w:tcW w:w="8488" w:type="dxa"/>
            <w:shd w:val="clear" w:color="auto" w:fill="auto"/>
          </w:tcPr>
          <w:p w:rsidR="00E00549" w:rsidRPr="00E86118" w:rsidRDefault="00E00549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67"/>
              </w:tabs>
              <w:suppressAutoHyphens/>
              <w:ind w:left="667" w:hanging="667"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Add one volume of diluted G.P.U. to 10 volumes of plasma, or one volume of human urine to 1 volume of plasma (TEST).</w:t>
            </w:r>
          </w:p>
        </w:tc>
      </w:tr>
      <w:tr w:rsidR="00E00549" w:rsidRPr="00E86118" w:rsidTr="00E86118">
        <w:trPr>
          <w:jc w:val="center"/>
        </w:trPr>
        <w:tc>
          <w:tcPr>
            <w:tcW w:w="8488" w:type="dxa"/>
            <w:shd w:val="clear" w:color="auto" w:fill="auto"/>
          </w:tcPr>
          <w:p w:rsidR="00E00549" w:rsidRPr="00E86118" w:rsidRDefault="00E00549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67"/>
              </w:tabs>
              <w:suppressAutoHyphens/>
              <w:ind w:left="667" w:hanging="667"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If human urine is used, control plasma using 1 volume of saline to 1 volume of plasma is required (CONTROL).</w:t>
            </w:r>
          </w:p>
        </w:tc>
      </w:tr>
      <w:tr w:rsidR="00E00549" w:rsidRPr="00E86118" w:rsidTr="00E86118">
        <w:trPr>
          <w:jc w:val="center"/>
        </w:trPr>
        <w:tc>
          <w:tcPr>
            <w:tcW w:w="8488" w:type="dxa"/>
            <w:shd w:val="clear" w:color="auto" w:fill="auto"/>
          </w:tcPr>
          <w:p w:rsidR="00E00549" w:rsidRPr="00E86118" w:rsidRDefault="00E00549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67"/>
              </w:tabs>
              <w:suppressAutoHyphens/>
              <w:ind w:left="667" w:hanging="667"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If G.P.U. is used, the dilution factor is very minimal: parallel testing of inhibited plasma wit</w:t>
            </w:r>
            <w:r w:rsidR="009539E5" w:rsidRPr="00E86118">
              <w:rPr>
                <w:rFonts w:ascii="Arial" w:hAnsi="Arial"/>
                <w:spacing w:val="-2"/>
                <w:sz w:val="24"/>
                <w:lang w:val="en-GB"/>
              </w:rPr>
              <w:t xml:space="preserve">h neat plasma would be adequate </w:t>
            </w: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(CONTROL).</w:t>
            </w:r>
          </w:p>
        </w:tc>
      </w:tr>
      <w:tr w:rsidR="00E00549" w:rsidRPr="00E86118" w:rsidTr="00E86118">
        <w:trPr>
          <w:jc w:val="center"/>
        </w:trPr>
        <w:tc>
          <w:tcPr>
            <w:tcW w:w="8488" w:type="dxa"/>
            <w:shd w:val="clear" w:color="auto" w:fill="auto"/>
          </w:tcPr>
          <w:p w:rsidR="00E00549" w:rsidRPr="00E86118" w:rsidRDefault="00E00549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67"/>
              </w:tabs>
              <w:suppressAutoHyphens/>
              <w:ind w:left="667" w:hanging="667"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 xml:space="preserve">Incubate both test and control plasma at </w:t>
            </w:r>
            <w:r w:rsidR="00457701">
              <w:rPr>
                <w:rFonts w:ascii="Arial" w:hAnsi="Arial"/>
                <w:spacing w:val="-2"/>
                <w:sz w:val="24"/>
                <w:lang w:val="en-GB"/>
              </w:rPr>
              <w:t>room temperature</w:t>
            </w: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 xml:space="preserve"> for 30 minutes.</w:t>
            </w:r>
          </w:p>
        </w:tc>
      </w:tr>
      <w:tr w:rsidR="00E00549" w:rsidRPr="00E86118" w:rsidTr="00E86118">
        <w:trPr>
          <w:jc w:val="center"/>
        </w:trPr>
        <w:tc>
          <w:tcPr>
            <w:tcW w:w="8488" w:type="dxa"/>
            <w:shd w:val="clear" w:color="auto" w:fill="auto"/>
          </w:tcPr>
          <w:p w:rsidR="00E00549" w:rsidRPr="00E86118" w:rsidRDefault="00E00549" w:rsidP="00457701">
            <w:pPr>
              <w:numPr>
                <w:ilvl w:val="1"/>
                <w:numId w:val="1"/>
              </w:numPr>
              <w:tabs>
                <w:tab w:val="clear" w:pos="720"/>
                <w:tab w:val="num" w:pos="667"/>
              </w:tabs>
              <w:ind w:left="667" w:hanging="667"/>
              <w:rPr>
                <w:rFonts w:ascii="Arial" w:hAnsi="Arial"/>
                <w:spacing w:val="-2"/>
                <w:sz w:val="24"/>
                <w:lang w:val="en-GB"/>
              </w:rPr>
            </w:pP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Test the control and test plasma with appropriate red cell samples at</w:t>
            </w:r>
            <w:r w:rsidR="00457701">
              <w:rPr>
                <w:rFonts w:ascii="Arial" w:hAnsi="Arial"/>
                <w:spacing w:val="-2"/>
                <w:sz w:val="24"/>
                <w:lang w:val="en-GB"/>
              </w:rPr>
              <w:t xml:space="preserve"> room temperature</w:t>
            </w: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, 37</w:t>
            </w:r>
            <w:r w:rsidRPr="00E86118">
              <w:rPr>
                <w:rFonts w:ascii="Arial" w:hAnsi="Arial" w:cs="Arial"/>
                <w:sz w:val="24"/>
              </w:rPr>
              <w:t>°</w:t>
            </w:r>
            <w:r w:rsidRPr="00E86118">
              <w:rPr>
                <w:rFonts w:ascii="Arial" w:hAnsi="Arial"/>
                <w:spacing w:val="-2"/>
                <w:sz w:val="24"/>
                <w:lang w:val="en-GB"/>
              </w:rPr>
              <w:t>C and antiglobulin phases.</w:t>
            </w:r>
          </w:p>
        </w:tc>
      </w:tr>
    </w:tbl>
    <w:p w:rsidR="00E00549" w:rsidRDefault="00E00549" w:rsidP="00E00549">
      <w:pPr>
        <w:suppressAutoHyphens/>
        <w:rPr>
          <w:rFonts w:ascii="Arial" w:hAnsi="Arial"/>
          <w:spacing w:val="-2"/>
          <w:sz w:val="24"/>
          <w:lang w:val="en-GB"/>
        </w:rPr>
      </w:pPr>
    </w:p>
    <w:p w:rsidR="00BC0D5C" w:rsidRDefault="00BC0D5C" w:rsidP="00E00549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Reporting  </w:t>
      </w:r>
    </w:p>
    <w:p w:rsidR="00BC0D5C" w:rsidRDefault="00BC0D5C">
      <w:pPr>
        <w:ind w:left="720"/>
        <w:rPr>
          <w:rFonts w:ascii="Arial" w:hAnsi="Arial"/>
          <w:sz w:val="28"/>
        </w:rPr>
      </w:pPr>
    </w:p>
    <w:p w:rsidR="00BC0D5C" w:rsidRDefault="00BC0D5C" w:rsidP="009539E5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spacing w:after="120"/>
        <w:ind w:left="1418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u w:val="single"/>
          <w:lang w:val="en-GB"/>
        </w:rPr>
        <w:t>Interpretation of results: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8"/>
        <w:gridCol w:w="2448"/>
        <w:gridCol w:w="3924"/>
      </w:tblGrid>
      <w:tr w:rsidR="00BC0D5C">
        <w:trPr>
          <w:jc w:val="center"/>
        </w:trPr>
        <w:tc>
          <w:tcPr>
            <w:tcW w:w="2448" w:type="dxa"/>
            <w:tcBorders>
              <w:top w:val="double" w:sz="6" w:space="0" w:color="auto"/>
              <w:lef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fldChar w:fldCharType="begin"/>
            </w:r>
            <w:r>
              <w:rPr>
                <w:rFonts w:ascii="Arial" w:hAnsi="Arial"/>
                <w:spacing w:val="-2"/>
                <w:sz w:val="24"/>
                <w:lang w:val="en-GB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24"/>
                <w:lang w:val="en-GB"/>
              </w:rPr>
              <w:fldChar w:fldCharType="end"/>
            </w:r>
            <w:r>
              <w:rPr>
                <w:rFonts w:ascii="Arial" w:hAnsi="Arial"/>
                <w:spacing w:val="-2"/>
                <w:sz w:val="24"/>
                <w:lang w:val="en-GB"/>
              </w:rPr>
              <w:t>TEST PLASMA</w:t>
            </w:r>
          </w:p>
        </w:tc>
        <w:tc>
          <w:tcPr>
            <w:tcW w:w="2448" w:type="dxa"/>
            <w:tcBorders>
              <w:top w:val="double" w:sz="6" w:space="0" w:color="auto"/>
              <w:left w:val="sing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CONTROL PLASMA</w:t>
            </w:r>
          </w:p>
        </w:tc>
        <w:tc>
          <w:tcPr>
            <w:tcW w:w="3924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INTERPRETATION</w:t>
            </w:r>
          </w:p>
        </w:tc>
      </w:tr>
      <w:tr w:rsidR="00BC0D5C">
        <w:trPr>
          <w:jc w:val="center"/>
        </w:trPr>
        <w:tc>
          <w:tcPr>
            <w:tcW w:w="2448" w:type="dxa"/>
            <w:tcBorders>
              <w:top w:val="single" w:sz="6" w:space="0" w:color="auto"/>
              <w:lef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No reactivity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No Reactivity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C0D5C" w:rsidRDefault="00BC0D5C">
            <w:pPr>
              <w:suppressAutoHyphens/>
              <w:spacing w:before="90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Dilution of antibody has occurred</w:t>
            </w:r>
          </w:p>
          <w:p w:rsidR="00BC0D5C" w:rsidRDefault="00BC0D5C">
            <w:pPr>
              <w:suppressAutoHyphens/>
              <w:spacing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No conclusion can be made</w:t>
            </w:r>
          </w:p>
        </w:tc>
      </w:tr>
      <w:tr w:rsidR="00BC0D5C">
        <w:trPr>
          <w:jc w:val="center"/>
        </w:trPr>
        <w:tc>
          <w:tcPr>
            <w:tcW w:w="2448" w:type="dxa"/>
            <w:tcBorders>
              <w:top w:val="single" w:sz="6" w:space="0" w:color="auto"/>
              <w:lef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Reactivity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Reactivity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Specificity not Anti-Sd</w:t>
            </w:r>
            <w:r>
              <w:rPr>
                <w:rFonts w:ascii="Arial" w:hAnsi="Arial"/>
                <w:spacing w:val="-3"/>
                <w:sz w:val="24"/>
                <w:vertAlign w:val="superscript"/>
                <w:lang w:val="en-GB"/>
              </w:rPr>
              <w:t>a</w:t>
            </w:r>
          </w:p>
        </w:tc>
      </w:tr>
      <w:tr w:rsidR="00BC0D5C">
        <w:trPr>
          <w:jc w:val="center"/>
        </w:trPr>
        <w:tc>
          <w:tcPr>
            <w:tcW w:w="244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No Reactivity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Reactivity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C0D5C" w:rsidRDefault="00BC0D5C">
            <w:pPr>
              <w:suppressAutoHyphens/>
              <w:spacing w:before="90" w:after="54"/>
              <w:rPr>
                <w:rFonts w:ascii="Arial" w:hAnsi="Arial"/>
                <w:spacing w:val="-2"/>
                <w:sz w:val="24"/>
                <w:lang w:val="en-GB"/>
              </w:rPr>
            </w:pPr>
            <w:r>
              <w:rPr>
                <w:rFonts w:ascii="Arial" w:hAnsi="Arial"/>
                <w:spacing w:val="-2"/>
                <w:sz w:val="24"/>
                <w:lang w:val="en-GB"/>
              </w:rPr>
              <w:t>Anti-Sd</w:t>
            </w:r>
            <w:r>
              <w:rPr>
                <w:rFonts w:ascii="Arial" w:hAnsi="Arial"/>
                <w:spacing w:val="-3"/>
                <w:sz w:val="24"/>
                <w:vertAlign w:val="superscript"/>
                <w:lang w:val="en-GB"/>
              </w:rPr>
              <w:t>a</w:t>
            </w:r>
            <w:r>
              <w:rPr>
                <w:rFonts w:ascii="Arial" w:hAnsi="Arial"/>
                <w:spacing w:val="-2"/>
                <w:sz w:val="24"/>
                <w:lang w:val="en-GB"/>
              </w:rPr>
              <w:t xml:space="preserve"> present</w:t>
            </w:r>
          </w:p>
        </w:tc>
      </w:tr>
    </w:tbl>
    <w:p w:rsidR="00BC0D5C" w:rsidRDefault="00BC0D5C">
      <w:pPr>
        <w:ind w:left="720"/>
        <w:rPr>
          <w:rFonts w:ascii="Arial" w:hAnsi="Arial"/>
          <w:sz w:val="24"/>
        </w:rPr>
      </w:pPr>
    </w:p>
    <w:p w:rsidR="00BC0D5C" w:rsidRDefault="00BC0D5C" w:rsidP="00E00549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Procedural Notes</w:t>
      </w:r>
    </w:p>
    <w:p w:rsidR="00BC0D5C" w:rsidRDefault="00BC0D5C">
      <w:pPr>
        <w:rPr>
          <w:rFonts w:ascii="Arial" w:hAnsi="Arial"/>
          <w:sz w:val="24"/>
        </w:rPr>
      </w:pPr>
    </w:p>
    <w:p w:rsidR="009539E5" w:rsidRDefault="00BC0D5C" w:rsidP="009539E5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ind w:left="1418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G.P.U. is very alkaline</w:t>
      </w:r>
      <w:r w:rsidR="009539E5">
        <w:rPr>
          <w:rFonts w:ascii="Arial" w:hAnsi="Arial"/>
          <w:spacing w:val="-2"/>
          <w:sz w:val="24"/>
          <w:lang w:val="en-GB"/>
        </w:rPr>
        <w:t xml:space="preserve"> </w:t>
      </w:r>
      <w:r>
        <w:rPr>
          <w:rFonts w:ascii="Arial" w:hAnsi="Arial"/>
          <w:spacing w:val="-2"/>
          <w:sz w:val="24"/>
          <w:lang w:val="en-GB"/>
        </w:rPr>
        <w:t>(pH 8.8)</w:t>
      </w:r>
      <w:r w:rsidR="00A137FC">
        <w:rPr>
          <w:rFonts w:ascii="Arial" w:hAnsi="Arial"/>
          <w:spacing w:val="-2"/>
          <w:sz w:val="24"/>
          <w:lang w:val="en-GB"/>
        </w:rPr>
        <w:t>;</w:t>
      </w:r>
      <w:r>
        <w:rPr>
          <w:rFonts w:ascii="Arial" w:hAnsi="Arial"/>
          <w:spacing w:val="-2"/>
          <w:sz w:val="24"/>
          <w:lang w:val="en-GB"/>
        </w:rPr>
        <w:t xml:space="preserve"> some antibodies</w:t>
      </w:r>
      <w:r w:rsidR="00457701">
        <w:rPr>
          <w:rFonts w:ascii="Arial" w:hAnsi="Arial"/>
          <w:spacing w:val="-2"/>
          <w:sz w:val="24"/>
          <w:lang w:val="en-GB"/>
        </w:rPr>
        <w:t xml:space="preserve"> may fail to react at this pH. </w:t>
      </w:r>
      <w:r>
        <w:rPr>
          <w:rFonts w:ascii="Arial" w:hAnsi="Arial"/>
          <w:spacing w:val="-2"/>
          <w:sz w:val="24"/>
          <w:lang w:val="en-GB"/>
        </w:rPr>
        <w:t>The G.P.U. can be acidified to approximately pH 7 with HCl.</w:t>
      </w:r>
    </w:p>
    <w:p w:rsidR="009539E5" w:rsidRDefault="009539E5" w:rsidP="009539E5">
      <w:pPr>
        <w:suppressAutoHyphens/>
        <w:ind w:left="1418"/>
        <w:rPr>
          <w:rFonts w:ascii="Arial" w:hAnsi="Arial"/>
          <w:spacing w:val="-2"/>
          <w:sz w:val="24"/>
          <w:lang w:val="en-GB"/>
        </w:rPr>
      </w:pPr>
    </w:p>
    <w:p w:rsidR="009D0E07" w:rsidRPr="009539E5" w:rsidRDefault="009D0E07" w:rsidP="009539E5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ind w:left="1418"/>
        <w:rPr>
          <w:rFonts w:ascii="Arial" w:hAnsi="Arial"/>
          <w:spacing w:val="-2"/>
          <w:sz w:val="24"/>
          <w:lang w:val="en-GB"/>
        </w:rPr>
      </w:pPr>
      <w:r w:rsidRPr="009539E5">
        <w:rPr>
          <w:rFonts w:ascii="Arial" w:hAnsi="Arial"/>
          <w:spacing w:val="-2"/>
          <w:sz w:val="24"/>
          <w:lang w:val="en-GB"/>
        </w:rPr>
        <w:t>Human urine may also contain ABO and Lewis group substances depending on the secretor status of the donor(s).</w:t>
      </w:r>
      <w:r w:rsidRPr="009539E5">
        <w:rPr>
          <w:rFonts w:ascii="Arial" w:hAnsi="Arial"/>
          <w:spacing w:val="-2"/>
          <w:sz w:val="24"/>
          <w:vertAlign w:val="superscript"/>
          <w:lang w:val="en-GB"/>
        </w:rPr>
        <w:t>9.2</w:t>
      </w:r>
    </w:p>
    <w:p w:rsidR="00BC0D5C" w:rsidRDefault="00BC0D5C">
      <w:pPr>
        <w:ind w:left="720"/>
        <w:rPr>
          <w:rFonts w:ascii="Arial" w:hAnsi="Arial"/>
          <w:sz w:val="24"/>
        </w:rPr>
      </w:pPr>
    </w:p>
    <w:p w:rsidR="009539E5" w:rsidRDefault="009539E5">
      <w:pPr>
        <w:ind w:left="720"/>
        <w:rPr>
          <w:rFonts w:ascii="Arial" w:hAnsi="Arial"/>
          <w:sz w:val="24"/>
        </w:rPr>
      </w:pPr>
    </w:p>
    <w:p w:rsidR="009539E5" w:rsidRDefault="009539E5">
      <w:pPr>
        <w:ind w:left="720"/>
        <w:rPr>
          <w:rFonts w:ascii="Arial" w:hAnsi="Arial"/>
          <w:sz w:val="24"/>
        </w:rPr>
      </w:pPr>
    </w:p>
    <w:p w:rsidR="00BC0D5C" w:rsidRDefault="00BC0D5C" w:rsidP="00E00549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BC0D5C" w:rsidRDefault="00BC0D5C">
      <w:pPr>
        <w:rPr>
          <w:rFonts w:ascii="Arial" w:hAnsi="Arial"/>
          <w:sz w:val="24"/>
        </w:rPr>
      </w:pPr>
    </w:p>
    <w:p w:rsidR="002B603C" w:rsidRPr="003A3C43" w:rsidRDefault="002B603C" w:rsidP="009539E5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ind w:left="1418"/>
        <w:rPr>
          <w:rFonts w:ascii="Arial" w:hAnsi="Arial"/>
          <w:spacing w:val="-2"/>
          <w:sz w:val="24"/>
          <w:lang w:val="en-GB"/>
        </w:rPr>
      </w:pPr>
      <w:r w:rsidRPr="003A3C43">
        <w:rPr>
          <w:rFonts w:ascii="Arial" w:hAnsi="Arial"/>
          <w:spacing w:val="-2"/>
          <w:sz w:val="24"/>
          <w:lang w:val="en-GB"/>
        </w:rPr>
        <w:t>Judd, WJ ed. Judd’s</w:t>
      </w:r>
      <w:r w:rsidR="009539E5">
        <w:rPr>
          <w:rFonts w:ascii="Arial" w:hAnsi="Arial"/>
          <w:spacing w:val="-2"/>
          <w:sz w:val="24"/>
          <w:lang w:val="en-GB"/>
        </w:rPr>
        <w:t xml:space="preserve"> Methods in Immunohematology, </w:t>
      </w:r>
      <w:r w:rsidRPr="003A3C43">
        <w:rPr>
          <w:rFonts w:ascii="Arial" w:hAnsi="Arial"/>
          <w:spacing w:val="-2"/>
          <w:sz w:val="24"/>
          <w:lang w:val="en-GB"/>
        </w:rPr>
        <w:t>3rd ed</w:t>
      </w:r>
      <w:r w:rsidR="009539E5">
        <w:rPr>
          <w:rFonts w:ascii="Arial" w:hAnsi="Arial"/>
          <w:spacing w:val="-2"/>
          <w:sz w:val="24"/>
          <w:lang w:val="en-GB"/>
        </w:rPr>
        <w:t xml:space="preserve">., </w:t>
      </w:r>
      <w:r w:rsidRPr="003A3C43">
        <w:rPr>
          <w:rFonts w:ascii="Arial" w:hAnsi="Arial"/>
          <w:spacing w:val="-2"/>
          <w:sz w:val="24"/>
          <w:lang w:val="en-GB"/>
        </w:rPr>
        <w:t>Bethesda, MD</w:t>
      </w:r>
      <w:r w:rsidR="009D0E07">
        <w:rPr>
          <w:rFonts w:ascii="Arial" w:hAnsi="Arial"/>
          <w:spacing w:val="-2"/>
          <w:sz w:val="24"/>
          <w:lang w:val="en-GB"/>
        </w:rPr>
        <w:t>; 2008</w:t>
      </w:r>
      <w:r>
        <w:rPr>
          <w:rFonts w:ascii="Arial" w:hAnsi="Arial"/>
          <w:spacing w:val="-2"/>
          <w:sz w:val="24"/>
          <w:lang w:val="en-GB"/>
        </w:rPr>
        <w:t>: 323-326.</w:t>
      </w:r>
    </w:p>
    <w:p w:rsidR="002B603C" w:rsidRDefault="002B603C" w:rsidP="002B603C">
      <w:pPr>
        <w:suppressAutoHyphens/>
        <w:rPr>
          <w:rFonts w:ascii="Arial" w:hAnsi="Arial"/>
          <w:spacing w:val="-2"/>
          <w:sz w:val="24"/>
          <w:lang w:val="en-GB"/>
        </w:rPr>
      </w:pPr>
    </w:p>
    <w:p w:rsidR="002B603C" w:rsidRDefault="002B603C" w:rsidP="009539E5">
      <w:pPr>
        <w:numPr>
          <w:ilvl w:val="1"/>
          <w:numId w:val="1"/>
        </w:numPr>
        <w:tabs>
          <w:tab w:val="clear" w:pos="720"/>
          <w:tab w:val="num" w:pos="1418"/>
        </w:tabs>
        <w:suppressAutoHyphens/>
        <w:ind w:left="1418"/>
        <w:rPr>
          <w:rFonts w:ascii="Arial" w:hAnsi="Arial"/>
          <w:spacing w:val="-2"/>
          <w:sz w:val="24"/>
          <w:lang w:val="en-GB"/>
        </w:rPr>
      </w:pPr>
      <w:r w:rsidRPr="00781F37">
        <w:rPr>
          <w:rFonts w:ascii="Arial" w:hAnsi="Arial"/>
          <w:spacing w:val="-2"/>
          <w:sz w:val="24"/>
          <w:lang w:val="en-GB"/>
        </w:rPr>
        <w:t>Roback, JD. ed. AABB Technical Manual, 1</w:t>
      </w:r>
      <w:r w:rsidR="00922D3E">
        <w:rPr>
          <w:rFonts w:ascii="Arial" w:hAnsi="Arial"/>
          <w:spacing w:val="-2"/>
          <w:sz w:val="24"/>
          <w:lang w:val="en-GB"/>
        </w:rPr>
        <w:t>7</w:t>
      </w:r>
      <w:r w:rsidR="009539E5">
        <w:rPr>
          <w:rFonts w:ascii="Arial" w:hAnsi="Arial"/>
          <w:spacing w:val="-2"/>
          <w:sz w:val="24"/>
          <w:lang w:val="en-GB"/>
        </w:rPr>
        <w:t xml:space="preserve">th ed. </w:t>
      </w:r>
      <w:r w:rsidRPr="00781F37">
        <w:rPr>
          <w:rFonts w:ascii="Arial" w:hAnsi="Arial"/>
          <w:spacing w:val="-2"/>
          <w:sz w:val="24"/>
          <w:lang w:val="en-GB"/>
        </w:rPr>
        <w:t>Bethesda, MD: American Association</w:t>
      </w:r>
      <w:r>
        <w:rPr>
          <w:rFonts w:ascii="Arial" w:hAnsi="Arial"/>
          <w:spacing w:val="-2"/>
          <w:sz w:val="24"/>
          <w:lang w:val="en-GB"/>
        </w:rPr>
        <w:t xml:space="preserve"> of Blood Banks</w:t>
      </w:r>
      <w:r w:rsidR="009D0E07">
        <w:rPr>
          <w:rFonts w:ascii="Arial" w:hAnsi="Arial"/>
          <w:spacing w:val="-2"/>
          <w:sz w:val="24"/>
          <w:lang w:val="en-GB"/>
        </w:rPr>
        <w:t xml:space="preserve">; </w:t>
      </w:r>
      <w:r>
        <w:rPr>
          <w:rFonts w:ascii="Arial" w:hAnsi="Arial"/>
          <w:spacing w:val="-2"/>
          <w:sz w:val="24"/>
          <w:lang w:val="en-GB"/>
        </w:rPr>
        <w:t>20</w:t>
      </w:r>
      <w:r w:rsidR="00922D3E">
        <w:rPr>
          <w:rFonts w:ascii="Arial" w:hAnsi="Arial"/>
          <w:spacing w:val="-2"/>
          <w:sz w:val="24"/>
          <w:lang w:val="en-GB"/>
        </w:rPr>
        <w:t>11</w:t>
      </w:r>
      <w:r>
        <w:rPr>
          <w:rFonts w:ascii="Arial" w:hAnsi="Arial"/>
          <w:spacing w:val="-2"/>
          <w:sz w:val="24"/>
          <w:lang w:val="en-GB"/>
        </w:rPr>
        <w:t>:91</w:t>
      </w:r>
      <w:r w:rsidR="00922D3E">
        <w:rPr>
          <w:rFonts w:ascii="Arial" w:hAnsi="Arial"/>
          <w:spacing w:val="-2"/>
          <w:sz w:val="24"/>
          <w:lang w:val="en-GB"/>
        </w:rPr>
        <w:t>3</w:t>
      </w:r>
      <w:r>
        <w:rPr>
          <w:rFonts w:ascii="Arial" w:hAnsi="Arial"/>
          <w:spacing w:val="-2"/>
          <w:sz w:val="24"/>
          <w:lang w:val="en-GB"/>
        </w:rPr>
        <w:t>-91</w:t>
      </w:r>
      <w:r w:rsidR="00922D3E">
        <w:rPr>
          <w:rFonts w:ascii="Arial" w:hAnsi="Arial"/>
          <w:spacing w:val="-2"/>
          <w:sz w:val="24"/>
          <w:lang w:val="en-GB"/>
        </w:rPr>
        <w:t>4</w:t>
      </w:r>
      <w:r>
        <w:rPr>
          <w:rFonts w:ascii="Arial" w:hAnsi="Arial"/>
          <w:spacing w:val="-2"/>
          <w:sz w:val="24"/>
          <w:lang w:val="en-GB"/>
        </w:rPr>
        <w:t>.</w:t>
      </w:r>
    </w:p>
    <w:p w:rsidR="009539E5" w:rsidRDefault="009539E5" w:rsidP="009539E5">
      <w:pPr>
        <w:pStyle w:val="ListParagraph"/>
        <w:rPr>
          <w:rFonts w:ascii="Arial" w:hAnsi="Arial"/>
          <w:spacing w:val="-2"/>
          <w:sz w:val="24"/>
          <w:lang w:val="en-GB"/>
        </w:rPr>
      </w:pPr>
    </w:p>
    <w:p w:rsidR="009539E5" w:rsidRPr="009539E5" w:rsidRDefault="009539E5" w:rsidP="009539E5">
      <w:pPr>
        <w:numPr>
          <w:ilvl w:val="0"/>
          <w:numId w:val="1"/>
        </w:numPr>
        <w:suppressAutoHyphens/>
        <w:rPr>
          <w:rFonts w:ascii="Arial" w:hAnsi="Arial"/>
          <w:b/>
          <w:spacing w:val="-2"/>
          <w:sz w:val="24"/>
          <w:lang w:val="en-GB"/>
        </w:rPr>
      </w:pPr>
      <w:r w:rsidRPr="009539E5">
        <w:rPr>
          <w:rFonts w:ascii="Arial" w:hAnsi="Arial"/>
          <w:b/>
          <w:spacing w:val="-2"/>
          <w:sz w:val="28"/>
          <w:lang w:val="en-GB"/>
        </w:rPr>
        <w:t>Revision History</w:t>
      </w:r>
    </w:p>
    <w:p w:rsidR="009539E5" w:rsidRDefault="009539E5" w:rsidP="009539E5">
      <w:pPr>
        <w:suppressAutoHyphens/>
        <w:rPr>
          <w:rFonts w:ascii="Arial" w:hAnsi="Arial"/>
          <w:b/>
          <w:spacing w:val="-2"/>
          <w:sz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71"/>
      </w:tblGrid>
      <w:tr w:rsidR="009539E5" w:rsidRPr="00E86118" w:rsidTr="00457701">
        <w:tc>
          <w:tcPr>
            <w:tcW w:w="3085" w:type="dxa"/>
            <w:shd w:val="clear" w:color="auto" w:fill="BFBFBF"/>
          </w:tcPr>
          <w:p w:rsidR="009539E5" w:rsidRPr="00E86118" w:rsidRDefault="009539E5" w:rsidP="00E86118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  <w:t>Revision Date</w:t>
            </w:r>
          </w:p>
        </w:tc>
        <w:tc>
          <w:tcPr>
            <w:tcW w:w="5771" w:type="dxa"/>
            <w:shd w:val="clear" w:color="auto" w:fill="BFBFBF"/>
          </w:tcPr>
          <w:p w:rsidR="009539E5" w:rsidRPr="00E86118" w:rsidRDefault="009539E5" w:rsidP="00E86118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  <w:t>Summary of Revision</w:t>
            </w:r>
          </w:p>
        </w:tc>
      </w:tr>
      <w:tr w:rsidR="009539E5" w:rsidRPr="00E86118" w:rsidTr="00457701">
        <w:tc>
          <w:tcPr>
            <w:tcW w:w="3085" w:type="dxa"/>
            <w:shd w:val="clear" w:color="auto" w:fill="auto"/>
          </w:tcPr>
          <w:p w:rsidR="009539E5" w:rsidRPr="00E86118" w:rsidRDefault="009539E5" w:rsidP="00E86118">
            <w:p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>September 1, 2014</w:t>
            </w:r>
          </w:p>
        </w:tc>
        <w:tc>
          <w:tcPr>
            <w:tcW w:w="5771" w:type="dxa"/>
            <w:shd w:val="clear" w:color="auto" w:fill="auto"/>
          </w:tcPr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Revised name of manual</w:t>
            </w:r>
          </w:p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 xml:space="preserve">Revised wording of section 1.0 </w:t>
            </w:r>
          </w:p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>Added “suspected of containing anti-Sd</w:t>
            </w:r>
            <w:r w:rsidRPr="00E86118">
              <w:rPr>
                <w:rFonts w:ascii="Arial" w:hAnsi="Arial"/>
                <w:spacing w:val="-2"/>
                <w:sz w:val="22"/>
                <w:szCs w:val="22"/>
                <w:vertAlign w:val="superscript"/>
                <w:lang w:val="en-GB"/>
              </w:rPr>
              <w:t>a</w:t>
            </w: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 xml:space="preserve">” to section 3.0 </w:t>
            </w:r>
          </w:p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 xml:space="preserve">Replaced “Normal Saline” with “0.9% Saline” in section 4.0- </w:t>
            </w:r>
            <w:r w:rsidRPr="00E86118">
              <w:rPr>
                <w:rFonts w:ascii="Arial" w:hAnsi="Arial"/>
                <w:i/>
                <w:spacing w:val="-2"/>
                <w:sz w:val="22"/>
                <w:szCs w:val="22"/>
                <w:lang w:val="en-GB"/>
              </w:rPr>
              <w:t>Reagents</w:t>
            </w:r>
          </w:p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Revised and renumbered sections 6.0 and 8.0</w:t>
            </w:r>
          </w:p>
          <w:p w:rsidR="009539E5" w:rsidRPr="00E86118" w:rsidRDefault="009539E5" w:rsidP="00E86118">
            <w:pPr>
              <w:numPr>
                <w:ilvl w:val="0"/>
                <w:numId w:val="2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E86118">
              <w:rPr>
                <w:rFonts w:ascii="Arial" w:hAnsi="Arial"/>
                <w:spacing w:val="-2"/>
                <w:sz w:val="22"/>
                <w:szCs w:val="22"/>
                <w:lang w:val="en-GB"/>
              </w:rPr>
              <w:t>Updated list of references to include most recent editions</w:t>
            </w:r>
          </w:p>
        </w:tc>
      </w:tr>
    </w:tbl>
    <w:p w:rsidR="009539E5" w:rsidRPr="009539E5" w:rsidRDefault="009539E5" w:rsidP="009539E5">
      <w:pPr>
        <w:suppressAutoHyphens/>
        <w:rPr>
          <w:rFonts w:ascii="Arial" w:hAnsi="Arial"/>
          <w:spacing w:val="-2"/>
          <w:sz w:val="22"/>
          <w:szCs w:val="22"/>
          <w:lang w:val="en-GB"/>
        </w:rPr>
      </w:pPr>
    </w:p>
    <w:p w:rsidR="00BC0D5C" w:rsidRDefault="00BC0D5C">
      <w:pPr>
        <w:ind w:left="720"/>
        <w:rPr>
          <w:rFonts w:ascii="Arial" w:hAnsi="Arial"/>
          <w:sz w:val="24"/>
        </w:rPr>
      </w:pPr>
    </w:p>
    <w:p w:rsidR="00BC0D5C" w:rsidRDefault="00BC0D5C">
      <w:pPr>
        <w:ind w:left="720"/>
        <w:rPr>
          <w:rFonts w:ascii="Arial" w:hAnsi="Arial"/>
          <w:sz w:val="24"/>
        </w:rPr>
      </w:pPr>
    </w:p>
    <w:p w:rsidR="00BC0D5C" w:rsidRDefault="00BC0D5C"/>
    <w:sectPr w:rsidR="00BC0D5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66" w:right="1800" w:bottom="662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86F" w:rsidRDefault="0077386F">
      <w:r>
        <w:separator/>
      </w:r>
    </w:p>
  </w:endnote>
  <w:endnote w:type="continuationSeparator" w:id="0">
    <w:p w:rsidR="0077386F" w:rsidRDefault="007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9740B3">
      <w:trPr>
        <w:trHeight w:val="720"/>
      </w:trPr>
      <w:tc>
        <w:tcPr>
          <w:tcW w:w="1368" w:type="dxa"/>
        </w:tcPr>
        <w:p w:rsidR="009740B3" w:rsidRDefault="009740B3">
          <w:pPr>
            <w:pStyle w:val="Footer"/>
            <w:jc w:val="center"/>
            <w:rPr>
              <w:sz w:val="8"/>
            </w:rPr>
          </w:pPr>
        </w:p>
        <w:p w:rsidR="009740B3" w:rsidRDefault="00387FC8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9740B3" w:rsidRDefault="009740B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9740B3" w:rsidRDefault="009740B3" w:rsidP="00571799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9740B3" w:rsidRDefault="009539E5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9740B3" w:rsidRDefault="009740B3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SP.019 </w:t>
          </w:r>
          <w:r>
            <w:rPr>
              <w:rFonts w:ascii="Arial" w:hAnsi="Arial"/>
              <w:sz w:val="18"/>
            </w:rPr>
            <w:br/>
          </w:r>
        </w:p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91976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91976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9740B3" w:rsidRDefault="00974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9740B3">
      <w:trPr>
        <w:trHeight w:val="720"/>
      </w:trPr>
      <w:tc>
        <w:tcPr>
          <w:tcW w:w="1368" w:type="dxa"/>
        </w:tcPr>
        <w:p w:rsidR="009740B3" w:rsidRDefault="009740B3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9740B3" w:rsidRDefault="00387FC8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9740B3" w:rsidRDefault="009740B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9740B3" w:rsidRDefault="009740B3" w:rsidP="00571799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9740B3" w:rsidRDefault="009539E5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9740B3" w:rsidRDefault="009740B3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SP.019 </w:t>
          </w:r>
          <w:r>
            <w:rPr>
              <w:rFonts w:ascii="Arial" w:hAnsi="Arial"/>
              <w:sz w:val="18"/>
            </w:rPr>
            <w:br/>
          </w:r>
        </w:p>
        <w:p w:rsidR="009740B3" w:rsidRDefault="009740B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91976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91976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9740B3" w:rsidRDefault="0097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86F" w:rsidRDefault="0077386F">
      <w:r>
        <w:separator/>
      </w:r>
    </w:p>
  </w:footnote>
  <w:footnote w:type="continuationSeparator" w:id="0">
    <w:p w:rsidR="0077386F" w:rsidRDefault="0077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B3" w:rsidRDefault="009740B3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pacing w:val="-2"/>
        <w:sz w:val="28"/>
        <w:lang w:val="en-GB"/>
      </w:rPr>
      <w:t>Inhibition of Anti-Sd</w:t>
    </w:r>
    <w:r>
      <w:rPr>
        <w:rFonts w:ascii="Arial" w:hAnsi="Arial"/>
        <w:b/>
        <w:spacing w:val="-2"/>
        <w:sz w:val="28"/>
        <w:vertAlign w:val="superscript"/>
        <w:lang w:val="en-GB"/>
      </w:rPr>
      <w:t>a</w:t>
    </w:r>
    <w:r>
      <w:rPr>
        <w:rFonts w:ascii="Arial" w:hAnsi="Arial"/>
        <w:b/>
        <w:spacing w:val="-2"/>
        <w:sz w:val="28"/>
        <w:lang w:val="en-GB"/>
      </w:rPr>
      <w:t xml:space="preserve"> – Urine </w:t>
    </w:r>
  </w:p>
  <w:p w:rsidR="009740B3" w:rsidRDefault="009740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51B" w:rsidRDefault="00387FC8" w:rsidP="0005451B">
    <w:pPr>
      <w:pStyle w:val="Header"/>
      <w:tabs>
        <w:tab w:val="clear" w:pos="4320"/>
        <w:tab w:val="clear" w:pos="8640"/>
        <w:tab w:val="left" w:pos="3268"/>
      </w:tabs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2"/>
      </w:rPr>
      <w:drawing>
        <wp:inline distT="0" distB="0" distL="0" distR="0">
          <wp:extent cx="1133475" cy="457200"/>
          <wp:effectExtent l="0" t="0" r="0" b="0"/>
          <wp:docPr id="2" name="Picture 2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51B">
      <w:rPr>
        <w:rFonts w:ascii="Arial" w:hAnsi="Arial" w:cs="Arial"/>
        <w:b/>
        <w:bCs/>
        <w:sz w:val="22"/>
      </w:rPr>
      <w:tab/>
    </w:r>
  </w:p>
  <w:p w:rsidR="0005451B" w:rsidRDefault="0005451B" w:rsidP="0005451B">
    <w:pPr>
      <w:pStyle w:val="Header"/>
      <w:tabs>
        <w:tab w:val="clear" w:pos="4320"/>
        <w:tab w:val="clear" w:pos="8640"/>
        <w:tab w:val="left" w:pos="3268"/>
      </w:tabs>
      <w:jc w:val="center"/>
      <w:rPr>
        <w:rFonts w:ascii="Arial" w:hAnsi="Arial" w:cs="Arial"/>
        <w:b/>
        <w:bCs/>
        <w:sz w:val="22"/>
      </w:rPr>
    </w:pPr>
  </w:p>
  <w:p w:rsidR="009740B3" w:rsidRDefault="0005451B" w:rsidP="0005451B">
    <w:pPr>
      <w:pStyle w:val="Header"/>
      <w:tabs>
        <w:tab w:val="clear" w:pos="4320"/>
        <w:tab w:val="clear" w:pos="8640"/>
        <w:tab w:val="left" w:pos="3268"/>
      </w:tabs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Ontario Regional Blood Coordinating Network</w:t>
    </w:r>
  </w:p>
  <w:p w:rsidR="0005451B" w:rsidRDefault="0005451B" w:rsidP="0005451B">
    <w:pPr>
      <w:pStyle w:val="Header"/>
      <w:tabs>
        <w:tab w:val="clear" w:pos="4320"/>
        <w:tab w:val="clear" w:pos="8640"/>
        <w:tab w:val="left" w:pos="3268"/>
      </w:tabs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Transfusion Technical Resource Manual</w:t>
    </w:r>
  </w:p>
  <w:p w:rsidR="009740B3" w:rsidRDefault="009740B3">
    <w:pPr>
      <w:pStyle w:val="Header"/>
      <w:jc w:val="center"/>
      <w:rPr>
        <w:rFonts w:ascii="Arial" w:hAnsi="Arial" w:cs="Arial"/>
        <w:b/>
        <w:bCs/>
        <w:sz w:val="22"/>
      </w:rPr>
    </w:pPr>
  </w:p>
  <w:p w:rsidR="009740B3" w:rsidRDefault="009740B3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pacing w:val="-2"/>
        <w:sz w:val="28"/>
        <w:lang w:val="en-GB"/>
      </w:rPr>
      <w:t>Inhibition of Anti-Sd</w:t>
    </w:r>
    <w:r>
      <w:rPr>
        <w:rFonts w:ascii="Arial" w:hAnsi="Arial"/>
        <w:b/>
        <w:spacing w:val="-2"/>
        <w:sz w:val="28"/>
        <w:vertAlign w:val="superscript"/>
        <w:lang w:val="en-GB"/>
      </w:rPr>
      <w:t>a</w:t>
    </w:r>
    <w:r>
      <w:rPr>
        <w:rFonts w:ascii="Arial" w:hAnsi="Arial"/>
        <w:b/>
        <w:spacing w:val="-2"/>
        <w:sz w:val="28"/>
        <w:lang w:val="en-GB"/>
      </w:rPr>
      <w:t xml:space="preserve"> – Urine</w:t>
    </w:r>
  </w:p>
  <w:p w:rsidR="009740B3" w:rsidRDefault="009740B3">
    <w:pPr>
      <w:pStyle w:val="Header"/>
      <w:jc w:val="center"/>
      <w:rPr>
        <w:rFonts w:ascii="Arial" w:hAnsi="Arial" w:cs="Arial"/>
        <w:b/>
        <w:bCs/>
        <w:sz w:val="28"/>
      </w:rPr>
    </w:pPr>
  </w:p>
  <w:p w:rsidR="009740B3" w:rsidRDefault="00387FC8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CE22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GVxZc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1"/>
      <w:gridCol w:w="4319"/>
    </w:tblGrid>
    <w:tr w:rsidR="009740B3"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 </w:t>
          </w:r>
        </w:p>
      </w:tc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SP.019</w:t>
          </w:r>
        </w:p>
      </w:tc>
    </w:tr>
    <w:tr w:rsidR="009740B3"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Special Procedures</w:t>
          </w:r>
        </w:p>
      </w:tc>
    </w:tr>
    <w:tr w:rsidR="009740B3"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2009/09/01; 2014/09/01</w:t>
          </w:r>
        </w:p>
      </w:tc>
      <w:tc>
        <w:tcPr>
          <w:tcW w:w="4428" w:type="dxa"/>
        </w:tcPr>
        <w:p w:rsidR="009740B3" w:rsidRDefault="009740B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69197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69197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9740B3" w:rsidRDefault="00387FC8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49A2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HTmAPs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9740B3">
      <w:rPr>
        <w:rFonts w:ascii="Arial" w:hAnsi="Arial" w:cs="Arial"/>
      </w:rPr>
      <w:tab/>
    </w:r>
  </w:p>
  <w:p w:rsidR="009740B3" w:rsidRDefault="009740B3">
    <w:pPr>
      <w:pStyle w:val="Header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5F205E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0A351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E6B7B7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6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7" w15:restartNumberingAfterBreak="0">
    <w:nsid w:val="34567BF1"/>
    <w:multiLevelType w:val="multilevel"/>
    <w:tmpl w:val="DCAA0A1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7A2086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C350F9D"/>
    <w:multiLevelType w:val="hybridMultilevel"/>
    <w:tmpl w:val="95F0C0C8"/>
    <w:lvl w:ilvl="0" w:tplc="642EA32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86EB1"/>
    <w:multiLevelType w:val="multilevel"/>
    <w:tmpl w:val="8A821A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2" w15:restartNumberingAfterBreak="0">
    <w:nsid w:val="686D65F5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3D05456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4"/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2"/>
  </w:num>
  <w:num w:numId="15">
    <w:abstractNumId w:val="2"/>
  </w:num>
  <w:num w:numId="16">
    <w:abstractNumId w:val="7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41"/>
    <w:rsid w:val="0005451B"/>
    <w:rsid w:val="00065DAD"/>
    <w:rsid w:val="001934BF"/>
    <w:rsid w:val="001A6EE0"/>
    <w:rsid w:val="002342FA"/>
    <w:rsid w:val="00273141"/>
    <w:rsid w:val="002B603C"/>
    <w:rsid w:val="00303A0D"/>
    <w:rsid w:val="00386EC4"/>
    <w:rsid w:val="00387FC8"/>
    <w:rsid w:val="003B7A6E"/>
    <w:rsid w:val="00457701"/>
    <w:rsid w:val="004D7E1D"/>
    <w:rsid w:val="00536418"/>
    <w:rsid w:val="00571799"/>
    <w:rsid w:val="005D6692"/>
    <w:rsid w:val="006274B6"/>
    <w:rsid w:val="00691976"/>
    <w:rsid w:val="006E7DE0"/>
    <w:rsid w:val="0077386F"/>
    <w:rsid w:val="008157FD"/>
    <w:rsid w:val="00922D3E"/>
    <w:rsid w:val="009539E5"/>
    <w:rsid w:val="009740B3"/>
    <w:rsid w:val="009D0E07"/>
    <w:rsid w:val="00A02938"/>
    <w:rsid w:val="00A137FC"/>
    <w:rsid w:val="00BC0D5C"/>
    <w:rsid w:val="00E00549"/>
    <w:rsid w:val="00E15E30"/>
    <w:rsid w:val="00E540C0"/>
    <w:rsid w:val="00E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4DB58-D1AD-45BE-AAA6-78D5F69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uppressAutoHyphens/>
    </w:pPr>
    <w:rPr>
      <w:rFonts w:ascii="Arial" w:hAnsi="Arial"/>
      <w:spacing w:val="-2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0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D0E07"/>
    <w:pPr>
      <w:ind w:left="720"/>
    </w:pPr>
  </w:style>
  <w:style w:type="table" w:styleId="TableGrid">
    <w:name w:val="Table Grid"/>
    <w:basedOn w:val="TableNormal"/>
    <w:uiPriority w:val="59"/>
    <w:rsid w:val="00054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SP.019 - Inhibition of Anti-Sda-Urine</vt:lpstr>
    </vt:vector>
  </TitlesOfParts>
  <Company>The Ottawa Hospital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SP.019 - Inhibition of Anti-Sda-Urine</dc:title>
  <dc:subject/>
  <dc:creator>Transfusion Ontario Program Office</dc:creator>
  <cp:keywords/>
  <cp:lastModifiedBy>Nesrallah, Heather</cp:lastModifiedBy>
  <cp:revision>2</cp:revision>
  <cp:lastPrinted>2015-01-06T18:47:00Z</cp:lastPrinted>
  <dcterms:created xsi:type="dcterms:W3CDTF">2020-08-11T15:18:00Z</dcterms:created>
  <dcterms:modified xsi:type="dcterms:W3CDTF">2020-08-11T15:18:00Z</dcterms:modified>
</cp:coreProperties>
</file>