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61" w:rsidRDefault="00244061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244061" w:rsidRDefault="00244061">
      <w:pPr>
        <w:rPr>
          <w:rFonts w:ascii="Arial" w:hAnsi="Arial"/>
          <w:b/>
          <w:sz w:val="24"/>
        </w:rPr>
      </w:pPr>
    </w:p>
    <w:p w:rsidR="00244061" w:rsidRDefault="00244061">
      <w:pPr>
        <w:pStyle w:val="BodyTextIndent"/>
      </w:pPr>
      <w:r>
        <w:t xml:space="preserve">Enzyme treated autologous red cells have increased ability to bind cold antibody for removal from plasma.  </w:t>
      </w:r>
    </w:p>
    <w:p w:rsidR="00244061" w:rsidRDefault="00244061">
      <w:pPr>
        <w:ind w:left="720"/>
        <w:rPr>
          <w:rFonts w:ascii="Arial" w:hAnsi="Arial"/>
          <w:sz w:val="24"/>
        </w:rPr>
      </w:pPr>
    </w:p>
    <w:p w:rsidR="00244061" w:rsidRDefault="0024406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244061" w:rsidRDefault="00244061">
      <w:pPr>
        <w:rPr>
          <w:rFonts w:ascii="Arial" w:hAnsi="Arial"/>
          <w:b/>
          <w:sz w:val="24"/>
        </w:rPr>
      </w:pPr>
    </w:p>
    <w:p w:rsidR="00244061" w:rsidRDefault="00244061">
      <w:pPr>
        <w:pStyle w:val="BodyTextIndent"/>
        <w:numPr>
          <w:ilvl w:val="1"/>
          <w:numId w:val="1"/>
        </w:numPr>
      </w:pPr>
      <w:r>
        <w:t>This procedure must not be used for recently transfused (&lt;</w:t>
      </w:r>
      <w:r w:rsidR="00B0380A">
        <w:t xml:space="preserve"> </w:t>
      </w:r>
      <w:r>
        <w:t xml:space="preserve">3 months) </w:t>
      </w:r>
      <w:r w:rsidR="00C166DB">
        <w:t>patients;</w:t>
      </w:r>
      <w:r w:rsidR="009743D7">
        <w:t xml:space="preserve"> alloantibodies could be ad</w:t>
      </w:r>
      <w:r>
        <w:t xml:space="preserve">sorbed by the donors’ red cells.  </w:t>
      </w:r>
    </w:p>
    <w:p w:rsidR="00244061" w:rsidRDefault="00244061">
      <w:pPr>
        <w:pStyle w:val="BodyTextIndent"/>
      </w:pPr>
    </w:p>
    <w:p w:rsidR="00244061" w:rsidRDefault="00244061">
      <w:pPr>
        <w:pStyle w:val="BodyTextIndent"/>
        <w:numPr>
          <w:ilvl w:val="1"/>
          <w:numId w:val="1"/>
        </w:numPr>
      </w:pPr>
      <w:r>
        <w:t>For recently tran</w:t>
      </w:r>
      <w:r w:rsidR="009743D7">
        <w:t>sfused patients use SP.017 - Ad</w:t>
      </w:r>
      <w:r>
        <w:t>sorption of Cold Agglutinins using Rabbit Erythrocyte Stroma – RESt.</w:t>
      </w:r>
    </w:p>
    <w:p w:rsidR="00244061" w:rsidRDefault="00244061">
      <w:pPr>
        <w:rPr>
          <w:rFonts w:ascii="Arial" w:hAnsi="Arial"/>
          <w:sz w:val="24"/>
        </w:rPr>
      </w:pPr>
    </w:p>
    <w:p w:rsidR="00244061" w:rsidRDefault="0024406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244061" w:rsidRDefault="00244061">
      <w:pPr>
        <w:rPr>
          <w:rFonts w:ascii="Arial" w:hAnsi="Arial"/>
          <w:b/>
          <w:sz w:val="24"/>
        </w:rPr>
      </w:pPr>
    </w:p>
    <w:p w:rsidR="00244061" w:rsidRDefault="009743D7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9A471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mL plasma to be ad</w:t>
      </w:r>
      <w:r w:rsidR="00244061">
        <w:rPr>
          <w:rFonts w:ascii="Arial" w:hAnsi="Arial"/>
          <w:sz w:val="24"/>
        </w:rPr>
        <w:t>sorbed</w:t>
      </w:r>
    </w:p>
    <w:p w:rsidR="00244061" w:rsidRDefault="0024406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9A471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mL packed autologous cells</w:t>
      </w:r>
    </w:p>
    <w:p w:rsidR="00244061" w:rsidRDefault="00244061">
      <w:pPr>
        <w:ind w:left="720"/>
        <w:rPr>
          <w:rFonts w:ascii="Arial" w:hAnsi="Arial"/>
          <w:sz w:val="24"/>
        </w:rPr>
      </w:pPr>
    </w:p>
    <w:p w:rsidR="00244061" w:rsidRDefault="0024406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244061" w:rsidRDefault="00244061">
      <w:pPr>
        <w:rPr>
          <w:rFonts w:ascii="Arial" w:hAnsi="Arial"/>
          <w:sz w:val="24"/>
        </w:rPr>
      </w:pPr>
    </w:p>
    <w:p w:rsidR="00244061" w:rsidRDefault="00244061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244061" w:rsidRDefault="009A471F">
      <w:pPr>
        <w:pStyle w:val="Heading9"/>
      </w:pPr>
      <w:r>
        <w:t>Water</w:t>
      </w:r>
      <w:r w:rsidR="00244061">
        <w:t>bath/Heating block at 37</w:t>
      </w:r>
      <w:r>
        <w:rPr>
          <w:rFonts w:cs="Arial"/>
        </w:rPr>
        <w:t>°</w:t>
      </w:r>
      <w:r w:rsidR="00244061">
        <w:t>C</w:t>
      </w:r>
    </w:p>
    <w:p w:rsidR="00244061" w:rsidRDefault="0024406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Refrigerator</w:t>
      </w:r>
    </w:p>
    <w:p w:rsidR="00244061" w:rsidRDefault="00244061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Centrifuge </w:t>
      </w:r>
    </w:p>
    <w:p w:rsidR="00244061" w:rsidRDefault="00244061">
      <w:pPr>
        <w:ind w:left="720"/>
        <w:rPr>
          <w:rFonts w:ascii="Arial" w:hAnsi="Arial"/>
          <w:sz w:val="24"/>
        </w:rPr>
      </w:pPr>
    </w:p>
    <w:p w:rsidR="00244061" w:rsidRDefault="00244061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13 x 100</w:t>
      </w:r>
      <w:r w:rsidR="009A471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244061" w:rsidRDefault="0024406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244061" w:rsidRDefault="00244061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44061" w:rsidRDefault="00244061">
      <w:pPr>
        <w:ind w:left="2880" w:hanging="21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 w:rsidR="00FC187E">
        <w:rPr>
          <w:rFonts w:ascii="Arial" w:hAnsi="Arial"/>
          <w:sz w:val="24"/>
        </w:rPr>
        <w:t>0.9%</w:t>
      </w:r>
      <w:r w:rsidR="009A471F">
        <w:rPr>
          <w:rFonts w:ascii="Arial" w:hAnsi="Arial"/>
          <w:sz w:val="24"/>
        </w:rPr>
        <w:t xml:space="preserve"> s</w:t>
      </w:r>
      <w:r>
        <w:rPr>
          <w:rFonts w:ascii="Arial" w:hAnsi="Arial"/>
          <w:sz w:val="24"/>
        </w:rPr>
        <w:t>aline</w:t>
      </w:r>
    </w:p>
    <w:p w:rsidR="00244061" w:rsidRDefault="00244061">
      <w:pPr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BCA freeze dried papain (reconstitute according to manufacturer’s instruction)</w:t>
      </w:r>
    </w:p>
    <w:p w:rsidR="00244061" w:rsidRDefault="00244061">
      <w:pPr>
        <w:ind w:left="720"/>
        <w:rPr>
          <w:rFonts w:ascii="Arial" w:hAnsi="Arial"/>
          <w:sz w:val="24"/>
        </w:rPr>
      </w:pPr>
    </w:p>
    <w:p w:rsidR="00244061" w:rsidRDefault="0024406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Quality Control – N/A</w:t>
      </w:r>
    </w:p>
    <w:p w:rsidR="009743D7" w:rsidRDefault="009743D7" w:rsidP="009743D7">
      <w:pPr>
        <w:rPr>
          <w:rFonts w:ascii="Arial" w:hAnsi="Arial"/>
          <w:b/>
          <w:sz w:val="28"/>
        </w:rPr>
      </w:pPr>
    </w:p>
    <w:p w:rsidR="00244061" w:rsidRDefault="0024406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244061" w:rsidRDefault="00244061">
      <w:pPr>
        <w:rPr>
          <w:rFonts w:ascii="Arial" w:hAnsi="Arial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166DB" w:rsidRPr="00C60DD8" w:rsidTr="00C60DD8">
        <w:tc>
          <w:tcPr>
            <w:tcW w:w="8748" w:type="dxa"/>
            <w:shd w:val="clear" w:color="auto" w:fill="auto"/>
          </w:tcPr>
          <w:p w:rsidR="00C166DB" w:rsidRPr="00C60DD8" w:rsidRDefault="00C166DB" w:rsidP="00C60DD8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 w:hanging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Wash red cells 3 or 4 times in saline and divide into three equal 1 ml aliquots in 13 x 100 mm test tubes.</w:t>
            </w:r>
          </w:p>
        </w:tc>
      </w:tr>
      <w:tr w:rsidR="00C166DB" w:rsidRPr="00C60DD8" w:rsidTr="00C60DD8">
        <w:tc>
          <w:tcPr>
            <w:tcW w:w="8748" w:type="dxa"/>
            <w:shd w:val="clear" w:color="auto" w:fill="auto"/>
          </w:tcPr>
          <w:p w:rsidR="00C166DB" w:rsidRPr="00C60DD8" w:rsidRDefault="00C166DB" w:rsidP="00C60DD8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 w:hanging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Add 0.5mL of the reconstituted papain to each tube.</w:t>
            </w:r>
          </w:p>
        </w:tc>
      </w:tr>
      <w:tr w:rsidR="00C166DB" w:rsidRPr="00C60DD8" w:rsidTr="00C60DD8">
        <w:tc>
          <w:tcPr>
            <w:tcW w:w="8748" w:type="dxa"/>
            <w:shd w:val="clear" w:color="auto" w:fill="auto"/>
          </w:tcPr>
          <w:p w:rsidR="00C166DB" w:rsidRPr="00C60DD8" w:rsidRDefault="00C166DB" w:rsidP="00C60DD8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 w:hanging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Mix and incubate at 37</w:t>
            </w:r>
            <w:r w:rsidRPr="00C60DD8">
              <w:rPr>
                <w:rFonts w:ascii="Arial" w:hAnsi="Arial" w:cs="Arial"/>
                <w:sz w:val="24"/>
              </w:rPr>
              <w:t>°</w:t>
            </w: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C for 10 minutes.</w:t>
            </w:r>
          </w:p>
        </w:tc>
      </w:tr>
      <w:tr w:rsidR="00C166DB" w:rsidRPr="00C60DD8" w:rsidTr="00C60DD8">
        <w:tc>
          <w:tcPr>
            <w:tcW w:w="8748" w:type="dxa"/>
            <w:shd w:val="clear" w:color="auto" w:fill="auto"/>
          </w:tcPr>
          <w:p w:rsidR="00C166DB" w:rsidRPr="00C60DD8" w:rsidRDefault="00C166DB" w:rsidP="00C60DD8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Wash the red cells 3 times in normal saline. Centrifuge the last wash for 5 minutes at 3000 rpm and remove as much of the supernatant saline as possible. See Procedural Notes 8.1.</w:t>
            </w:r>
          </w:p>
        </w:tc>
      </w:tr>
      <w:tr w:rsidR="00C166DB" w:rsidRPr="00C60DD8" w:rsidTr="00C60DD8">
        <w:tc>
          <w:tcPr>
            <w:tcW w:w="8748" w:type="dxa"/>
            <w:shd w:val="clear" w:color="auto" w:fill="auto"/>
          </w:tcPr>
          <w:p w:rsidR="00C166DB" w:rsidRPr="00C60DD8" w:rsidRDefault="00C166DB" w:rsidP="00C60DD8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To one tube of the enzyme treated red cells add 2 mL of autologous plasma.</w:t>
            </w:r>
          </w:p>
        </w:tc>
      </w:tr>
      <w:tr w:rsidR="00C166DB" w:rsidRPr="00C60DD8" w:rsidTr="00C60DD8">
        <w:tc>
          <w:tcPr>
            <w:tcW w:w="8748" w:type="dxa"/>
            <w:shd w:val="clear" w:color="auto" w:fill="auto"/>
          </w:tcPr>
          <w:p w:rsidR="00C166DB" w:rsidRPr="00C60DD8" w:rsidRDefault="00C166DB" w:rsidP="00C60DD8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 w:hanging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Mix and incubate at 4</w:t>
            </w:r>
            <w:r w:rsidRPr="00C60DD8">
              <w:rPr>
                <w:rFonts w:ascii="Arial" w:hAnsi="Arial" w:cs="Arial"/>
                <w:sz w:val="24"/>
              </w:rPr>
              <w:t>°</w:t>
            </w: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C for 30 minutes.</w:t>
            </w:r>
          </w:p>
        </w:tc>
      </w:tr>
      <w:tr w:rsidR="00C166DB" w:rsidRPr="00C60DD8" w:rsidTr="00C60DD8">
        <w:tc>
          <w:tcPr>
            <w:tcW w:w="8748" w:type="dxa"/>
            <w:shd w:val="clear" w:color="auto" w:fill="auto"/>
          </w:tcPr>
          <w:p w:rsidR="00C166DB" w:rsidRPr="00C60DD8" w:rsidRDefault="00C166DB" w:rsidP="00C60DD8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Centrifuge at 3000 rpm for 5 minutes and immediately transfer plasma into a second tube of enzyme treated red cells.</w:t>
            </w:r>
          </w:p>
        </w:tc>
      </w:tr>
      <w:tr w:rsidR="00C166DB" w:rsidRPr="00C60DD8" w:rsidTr="00C60DD8">
        <w:tc>
          <w:tcPr>
            <w:tcW w:w="8748" w:type="dxa"/>
            <w:shd w:val="clear" w:color="auto" w:fill="auto"/>
          </w:tcPr>
          <w:p w:rsidR="00C166DB" w:rsidRPr="00C60DD8" w:rsidRDefault="00C166DB" w:rsidP="00C60DD8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 w:hanging="709"/>
              <w:rPr>
                <w:rFonts w:ascii="Arial" w:hAnsi="Arial"/>
                <w:spacing w:val="-2"/>
                <w:sz w:val="24"/>
                <w:lang w:val="en-GB"/>
              </w:rPr>
            </w:pP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Mix and incubate at 4</w:t>
            </w:r>
            <w:r w:rsidRPr="00C60DD8">
              <w:rPr>
                <w:rFonts w:ascii="Arial" w:hAnsi="Arial" w:cs="Arial"/>
                <w:sz w:val="24"/>
              </w:rPr>
              <w:t>°</w:t>
            </w: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C for 30 minutes.</w:t>
            </w:r>
          </w:p>
        </w:tc>
      </w:tr>
      <w:tr w:rsidR="00C166DB" w:rsidRPr="00C60DD8" w:rsidTr="00C60DD8">
        <w:tc>
          <w:tcPr>
            <w:tcW w:w="8748" w:type="dxa"/>
            <w:shd w:val="clear" w:color="auto" w:fill="auto"/>
          </w:tcPr>
          <w:p w:rsidR="00C166DB" w:rsidRPr="00C60DD8" w:rsidRDefault="00C166DB" w:rsidP="00C60DD8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suppressAutoHyphens/>
              <w:ind w:left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Repeat steps 6.7 – 6.8 for the third tube of enzyme treated red cells.</w:t>
            </w:r>
          </w:p>
        </w:tc>
      </w:tr>
      <w:tr w:rsidR="00C166DB" w:rsidRPr="00C60DD8" w:rsidTr="00C60DD8">
        <w:tc>
          <w:tcPr>
            <w:tcW w:w="8748" w:type="dxa"/>
            <w:shd w:val="clear" w:color="auto" w:fill="auto"/>
          </w:tcPr>
          <w:p w:rsidR="00C166DB" w:rsidRPr="00C60DD8" w:rsidRDefault="00C166DB" w:rsidP="00C60DD8">
            <w:pPr>
              <w:numPr>
                <w:ilvl w:val="1"/>
                <w:numId w:val="1"/>
              </w:numPr>
              <w:tabs>
                <w:tab w:val="clear" w:pos="1440"/>
                <w:tab w:val="num" w:pos="743"/>
              </w:tabs>
              <w:ind w:left="743"/>
              <w:rPr>
                <w:rFonts w:ascii="Arial" w:hAnsi="Arial"/>
                <w:spacing w:val="-2"/>
                <w:sz w:val="24"/>
                <w:lang w:val="en-GB"/>
              </w:rPr>
            </w:pPr>
            <w:r w:rsidRPr="00C60DD8">
              <w:rPr>
                <w:rFonts w:ascii="Arial" w:hAnsi="Arial"/>
                <w:spacing w:val="-2"/>
                <w:sz w:val="24"/>
                <w:lang w:val="en-GB"/>
              </w:rPr>
              <w:t>Following the final adsorption, test the plasma for alloantibody activity.</w:t>
            </w:r>
          </w:p>
        </w:tc>
      </w:tr>
    </w:tbl>
    <w:p w:rsidR="00C166DB" w:rsidRDefault="00C166DB" w:rsidP="00C166DB">
      <w:pPr>
        <w:suppressAutoHyphens/>
        <w:ind w:left="1440"/>
        <w:rPr>
          <w:rFonts w:ascii="Arial" w:hAnsi="Arial"/>
          <w:spacing w:val="-2"/>
          <w:sz w:val="24"/>
          <w:lang w:val="en-GB"/>
        </w:rPr>
      </w:pPr>
    </w:p>
    <w:p w:rsidR="00244061" w:rsidRDefault="00244061" w:rsidP="00C166DB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244061" w:rsidRDefault="00244061">
      <w:pPr>
        <w:ind w:left="720"/>
        <w:rPr>
          <w:rFonts w:ascii="Arial" w:hAnsi="Arial"/>
          <w:sz w:val="24"/>
        </w:rPr>
      </w:pPr>
    </w:p>
    <w:p w:rsidR="00244061" w:rsidRDefault="00244061" w:rsidP="00C166DB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244061" w:rsidRDefault="00244061">
      <w:pPr>
        <w:rPr>
          <w:rFonts w:ascii="Arial" w:hAnsi="Arial"/>
          <w:b/>
          <w:sz w:val="24"/>
        </w:rPr>
      </w:pPr>
    </w:p>
    <w:p w:rsidR="00244061" w:rsidRDefault="00244061" w:rsidP="00C166DB">
      <w:pPr>
        <w:numPr>
          <w:ilvl w:val="1"/>
          <w:numId w:val="1"/>
        </w:numPr>
        <w:suppressAutoHyphens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  <w:lang w:val="en-GB"/>
        </w:rPr>
        <w:t>To avoid dilution of the plasma and possible loss of weak all</w:t>
      </w:r>
      <w:r w:rsidR="009743D7">
        <w:rPr>
          <w:rFonts w:ascii="Arial" w:hAnsi="Arial"/>
          <w:spacing w:val="-2"/>
          <w:sz w:val="24"/>
          <w:lang w:val="en-GB"/>
        </w:rPr>
        <w:t>oantibody activity during the ad</w:t>
      </w:r>
      <w:r>
        <w:rPr>
          <w:rFonts w:ascii="Arial" w:hAnsi="Arial"/>
          <w:spacing w:val="-2"/>
          <w:sz w:val="24"/>
          <w:lang w:val="en-GB"/>
        </w:rPr>
        <w:t xml:space="preserve">sorption process, it is important to remove as much of the residual saline as possible in Procedure </w:t>
      </w:r>
      <w:r w:rsidR="00FC187E">
        <w:rPr>
          <w:rFonts w:ascii="Arial" w:hAnsi="Arial"/>
          <w:spacing w:val="-2"/>
          <w:sz w:val="24"/>
          <w:lang w:val="en-GB"/>
        </w:rPr>
        <w:t xml:space="preserve">step </w:t>
      </w:r>
      <w:r>
        <w:rPr>
          <w:rFonts w:ascii="Arial" w:hAnsi="Arial"/>
          <w:spacing w:val="-2"/>
          <w:sz w:val="24"/>
          <w:lang w:val="en-GB"/>
        </w:rPr>
        <w:t>6.4.  Placing a narrow strip of filter paper into the packed red cells helps remove saline that surrounds the packed cells.</w:t>
      </w:r>
      <w:r>
        <w:rPr>
          <w:rFonts w:ascii="Arial" w:hAnsi="Arial"/>
          <w:sz w:val="24"/>
        </w:rPr>
        <w:t xml:space="preserve"> </w:t>
      </w:r>
    </w:p>
    <w:p w:rsidR="00244061" w:rsidRDefault="00244061">
      <w:pPr>
        <w:ind w:left="720"/>
        <w:rPr>
          <w:rFonts w:ascii="Arial" w:hAnsi="Arial"/>
          <w:sz w:val="24"/>
        </w:rPr>
      </w:pPr>
    </w:p>
    <w:p w:rsidR="00244061" w:rsidRDefault="00244061" w:rsidP="00C166DB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244061" w:rsidRDefault="00244061">
      <w:pPr>
        <w:rPr>
          <w:rFonts w:ascii="Arial" w:hAnsi="Arial"/>
          <w:sz w:val="24"/>
        </w:rPr>
      </w:pPr>
    </w:p>
    <w:p w:rsidR="00295A04" w:rsidRDefault="00295A04" w:rsidP="00C166DB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 w:rsidRPr="003A3C43">
        <w:rPr>
          <w:rFonts w:ascii="Arial" w:hAnsi="Arial"/>
          <w:spacing w:val="-2"/>
          <w:sz w:val="24"/>
          <w:lang w:val="en-GB"/>
        </w:rPr>
        <w:t xml:space="preserve">Judd, WJ ed. Judd’s Methods in Immunohematology, 3rd ed,   </w:t>
      </w:r>
      <w:smartTag w:uri="urn:schemas-microsoft-com:office:smarttags" w:element="place">
        <w:smartTag w:uri="urn:schemas-microsoft-com:office:smarttags" w:element="City">
          <w:r w:rsidRPr="003A3C43">
            <w:rPr>
              <w:rFonts w:ascii="Arial" w:hAnsi="Arial"/>
              <w:spacing w:val="-2"/>
              <w:sz w:val="24"/>
              <w:lang w:val="en-GB"/>
            </w:rPr>
            <w:t>Bethesda</w:t>
          </w:r>
        </w:smartTag>
        <w:r w:rsidRPr="003A3C43">
          <w:rPr>
            <w:rFonts w:ascii="Arial" w:hAnsi="Arial"/>
            <w:spacing w:val="-2"/>
            <w:sz w:val="24"/>
            <w:lang w:val="en-GB"/>
          </w:rPr>
          <w:t xml:space="preserve">, </w:t>
        </w:r>
        <w:smartTag w:uri="urn:schemas-microsoft-com:office:smarttags" w:element="State">
          <w:r w:rsidRPr="003A3C43">
            <w:rPr>
              <w:rFonts w:ascii="Arial" w:hAnsi="Arial"/>
              <w:spacing w:val="-2"/>
              <w:sz w:val="24"/>
              <w:lang w:val="en-GB"/>
            </w:rPr>
            <w:t>MD</w:t>
          </w:r>
        </w:smartTag>
      </w:smartTag>
      <w:r>
        <w:rPr>
          <w:rFonts w:ascii="Arial" w:hAnsi="Arial"/>
          <w:spacing w:val="-2"/>
          <w:sz w:val="24"/>
          <w:lang w:val="en-GB"/>
        </w:rPr>
        <w:t>: pg. 444-446.</w:t>
      </w:r>
    </w:p>
    <w:p w:rsidR="00C166DB" w:rsidRDefault="00C166DB" w:rsidP="00C166DB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C166DB" w:rsidRDefault="00C166DB" w:rsidP="00C166DB">
      <w:pPr>
        <w:numPr>
          <w:ilvl w:val="0"/>
          <w:numId w:val="1"/>
        </w:numPr>
        <w:suppressAutoHyphens/>
        <w:rPr>
          <w:rFonts w:ascii="Arial" w:hAnsi="Arial"/>
          <w:b/>
          <w:spacing w:val="-2"/>
          <w:sz w:val="28"/>
          <w:lang w:val="en-GB"/>
        </w:rPr>
      </w:pPr>
      <w:r w:rsidRPr="00C166DB">
        <w:rPr>
          <w:rFonts w:ascii="Arial" w:hAnsi="Arial"/>
          <w:b/>
          <w:spacing w:val="-2"/>
          <w:sz w:val="28"/>
          <w:lang w:val="en-GB"/>
        </w:rPr>
        <w:t>Revision History</w:t>
      </w:r>
    </w:p>
    <w:p w:rsidR="00C166DB" w:rsidRPr="00B744B0" w:rsidRDefault="00C166DB" w:rsidP="00C166DB">
      <w:pPr>
        <w:suppressAutoHyphens/>
        <w:ind w:left="720"/>
        <w:rPr>
          <w:rFonts w:ascii="Arial" w:hAnsi="Arial"/>
          <w:b/>
          <w:spacing w:val="-2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4920"/>
      </w:tblGrid>
      <w:tr w:rsidR="00C166DB" w:rsidRPr="00B744B0" w:rsidTr="00C60DD8">
        <w:tc>
          <w:tcPr>
            <w:tcW w:w="3216" w:type="dxa"/>
            <w:shd w:val="clear" w:color="auto" w:fill="D9D9D9"/>
          </w:tcPr>
          <w:p w:rsidR="00C166DB" w:rsidRPr="00C60DD8" w:rsidRDefault="00C166DB" w:rsidP="00C60DD8">
            <w:pPr>
              <w:suppressAutoHyphens/>
              <w:rPr>
                <w:rFonts w:ascii="Arial" w:hAnsi="Arial"/>
                <w:b/>
                <w:spacing w:val="-2"/>
                <w:sz w:val="22"/>
                <w:lang w:val="en-GB"/>
              </w:rPr>
            </w:pPr>
            <w:r w:rsidRPr="00C60DD8">
              <w:rPr>
                <w:rFonts w:ascii="Arial" w:hAnsi="Arial"/>
                <w:b/>
                <w:spacing w:val="-2"/>
                <w:sz w:val="22"/>
                <w:lang w:val="en-GB"/>
              </w:rPr>
              <w:t>Revision Date</w:t>
            </w:r>
          </w:p>
        </w:tc>
        <w:tc>
          <w:tcPr>
            <w:tcW w:w="4920" w:type="dxa"/>
            <w:shd w:val="clear" w:color="auto" w:fill="D9D9D9"/>
          </w:tcPr>
          <w:p w:rsidR="00C166DB" w:rsidRPr="00C60DD8" w:rsidRDefault="00C166DB" w:rsidP="00C60DD8">
            <w:pPr>
              <w:suppressAutoHyphens/>
              <w:rPr>
                <w:rFonts w:ascii="Arial" w:hAnsi="Arial"/>
                <w:b/>
                <w:spacing w:val="-2"/>
                <w:sz w:val="22"/>
                <w:lang w:val="en-GB"/>
              </w:rPr>
            </w:pPr>
            <w:r w:rsidRPr="00C60DD8">
              <w:rPr>
                <w:rFonts w:ascii="Arial" w:hAnsi="Arial"/>
                <w:b/>
                <w:spacing w:val="-2"/>
                <w:sz w:val="22"/>
                <w:lang w:val="en-GB"/>
              </w:rPr>
              <w:t>Summary of Revision</w:t>
            </w:r>
          </w:p>
        </w:tc>
      </w:tr>
      <w:tr w:rsidR="00C166DB" w:rsidRPr="00B744B0" w:rsidTr="00C60DD8">
        <w:tc>
          <w:tcPr>
            <w:tcW w:w="3216" w:type="dxa"/>
            <w:shd w:val="clear" w:color="auto" w:fill="auto"/>
          </w:tcPr>
          <w:p w:rsidR="00C166DB" w:rsidRPr="00C60DD8" w:rsidRDefault="00C166DB" w:rsidP="00C60DD8">
            <w:p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C60DD8">
              <w:rPr>
                <w:rFonts w:ascii="Arial" w:hAnsi="Arial"/>
                <w:spacing w:val="-2"/>
                <w:sz w:val="22"/>
                <w:lang w:val="en-GB"/>
              </w:rPr>
              <w:t>September 1, 2014</w:t>
            </w:r>
          </w:p>
        </w:tc>
        <w:tc>
          <w:tcPr>
            <w:tcW w:w="4920" w:type="dxa"/>
            <w:shd w:val="clear" w:color="auto" w:fill="auto"/>
          </w:tcPr>
          <w:p w:rsidR="00C166DB" w:rsidRPr="00C60DD8" w:rsidRDefault="00C166DB" w:rsidP="00C60DD8">
            <w:pPr>
              <w:numPr>
                <w:ilvl w:val="0"/>
                <w:numId w:val="14"/>
              </w:num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C60DD8">
              <w:rPr>
                <w:rFonts w:ascii="Arial" w:hAnsi="Arial"/>
                <w:spacing w:val="-2"/>
                <w:sz w:val="22"/>
                <w:lang w:val="en-GB"/>
              </w:rPr>
              <w:t>Revised name of manual</w:t>
            </w:r>
          </w:p>
          <w:p w:rsidR="00C166DB" w:rsidRPr="00C60DD8" w:rsidRDefault="00C166DB" w:rsidP="00C60DD8">
            <w:pPr>
              <w:numPr>
                <w:ilvl w:val="0"/>
                <w:numId w:val="14"/>
              </w:num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C60DD8">
              <w:rPr>
                <w:rFonts w:ascii="Arial" w:hAnsi="Arial"/>
                <w:spacing w:val="-2"/>
                <w:sz w:val="22"/>
                <w:lang w:val="en-GB"/>
              </w:rPr>
              <w:t xml:space="preserve">Changed “normal saline” to “0.9 % saline” in section 4.0- </w:t>
            </w:r>
            <w:r w:rsidRPr="00C60DD8">
              <w:rPr>
                <w:rFonts w:ascii="Arial" w:hAnsi="Arial"/>
                <w:i/>
                <w:spacing w:val="-2"/>
                <w:sz w:val="22"/>
                <w:lang w:val="en-GB"/>
              </w:rPr>
              <w:t>Reagents</w:t>
            </w:r>
          </w:p>
          <w:p w:rsidR="00C166DB" w:rsidRPr="00C60DD8" w:rsidRDefault="00C166DB" w:rsidP="00C60DD8">
            <w:pPr>
              <w:numPr>
                <w:ilvl w:val="0"/>
                <w:numId w:val="14"/>
              </w:numPr>
              <w:suppressAutoHyphens/>
              <w:rPr>
                <w:rFonts w:ascii="Arial" w:hAnsi="Arial"/>
                <w:spacing w:val="-2"/>
                <w:sz w:val="22"/>
                <w:lang w:val="en-GB"/>
              </w:rPr>
            </w:pPr>
            <w:r w:rsidRPr="00C60DD8">
              <w:rPr>
                <w:rFonts w:ascii="Arial" w:hAnsi="Arial"/>
                <w:spacing w:val="-2"/>
                <w:sz w:val="22"/>
                <w:lang w:val="en-GB"/>
              </w:rPr>
              <w:t>Revised wording of section 6.0</w:t>
            </w:r>
          </w:p>
        </w:tc>
      </w:tr>
    </w:tbl>
    <w:p w:rsidR="00C166DB" w:rsidRPr="00C166DB" w:rsidRDefault="00C166DB" w:rsidP="00B744B0">
      <w:pPr>
        <w:suppressAutoHyphens/>
        <w:rPr>
          <w:rFonts w:ascii="Arial" w:hAnsi="Arial"/>
          <w:spacing w:val="-2"/>
          <w:sz w:val="22"/>
          <w:lang w:val="en-GB"/>
        </w:rPr>
      </w:pPr>
    </w:p>
    <w:sectPr w:rsidR="00C166DB" w:rsidRPr="00C166D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53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6B" w:rsidRDefault="00A74D6B">
      <w:r>
        <w:separator/>
      </w:r>
    </w:p>
  </w:endnote>
  <w:endnote w:type="continuationSeparator" w:id="0">
    <w:p w:rsidR="00A74D6B" w:rsidRDefault="00A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44061">
      <w:trPr>
        <w:trHeight w:val="720"/>
      </w:trPr>
      <w:tc>
        <w:tcPr>
          <w:tcW w:w="1368" w:type="dxa"/>
        </w:tcPr>
        <w:p w:rsidR="00244061" w:rsidRDefault="00244061">
          <w:pPr>
            <w:pStyle w:val="Footer"/>
            <w:jc w:val="center"/>
            <w:rPr>
              <w:sz w:val="8"/>
            </w:rPr>
          </w:pPr>
        </w:p>
        <w:p w:rsidR="00244061" w:rsidRDefault="001D2F3B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244061" w:rsidRDefault="00244061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A471F" w:rsidRDefault="009A471F" w:rsidP="009A471F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244061" w:rsidRDefault="00FC187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244061">
            <w:rPr>
              <w:rFonts w:ascii="Arial" w:hAnsi="Arial"/>
              <w:sz w:val="18"/>
            </w:rPr>
            <w:t xml:space="preserve"> Manual</w:t>
          </w:r>
        </w:p>
        <w:p w:rsidR="00244061" w:rsidRDefault="00244061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244061" w:rsidRDefault="00244061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44061" w:rsidRDefault="0024406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SP.016 </w:t>
          </w:r>
          <w:r>
            <w:rPr>
              <w:rFonts w:ascii="Arial" w:hAnsi="Arial"/>
              <w:sz w:val="18"/>
            </w:rPr>
            <w:br/>
          </w:r>
        </w:p>
        <w:p w:rsidR="00244061" w:rsidRDefault="0024406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773D8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773D8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44061" w:rsidRDefault="00244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44061">
      <w:trPr>
        <w:trHeight w:val="720"/>
      </w:trPr>
      <w:tc>
        <w:tcPr>
          <w:tcW w:w="1368" w:type="dxa"/>
        </w:tcPr>
        <w:p w:rsidR="00244061" w:rsidRDefault="00244061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44061" w:rsidRDefault="001D2F3B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244061" w:rsidRDefault="00244061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A471F" w:rsidRDefault="009A471F" w:rsidP="009A471F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Ontario Regional Blood Coordinating Network </w:t>
          </w:r>
        </w:p>
        <w:p w:rsidR="00244061" w:rsidRDefault="00FC187E" w:rsidP="00B0380A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244061">
            <w:rPr>
              <w:rFonts w:ascii="Arial" w:hAnsi="Arial"/>
              <w:sz w:val="18"/>
            </w:rPr>
            <w:t xml:space="preserve"> Manual</w:t>
          </w:r>
        </w:p>
        <w:p w:rsidR="00244061" w:rsidRDefault="00244061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244061" w:rsidRDefault="00244061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44061" w:rsidRDefault="0024406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SP.016 </w:t>
          </w:r>
          <w:r>
            <w:rPr>
              <w:rFonts w:ascii="Arial" w:hAnsi="Arial"/>
              <w:sz w:val="18"/>
            </w:rPr>
            <w:br/>
          </w:r>
        </w:p>
        <w:p w:rsidR="00244061" w:rsidRDefault="0024406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773D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773D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44061" w:rsidRDefault="00244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6B" w:rsidRDefault="00A74D6B">
      <w:r>
        <w:separator/>
      </w:r>
    </w:p>
  </w:footnote>
  <w:footnote w:type="continuationSeparator" w:id="0">
    <w:p w:rsidR="00A74D6B" w:rsidRDefault="00A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D7" w:rsidRDefault="009743D7" w:rsidP="009743D7">
    <w:pPr>
      <w:pStyle w:val="Header"/>
      <w:jc w:val="center"/>
      <w:rPr>
        <w:rFonts w:ascii="Arial" w:hAnsi="Arial" w:cs="Arial"/>
        <w:b/>
        <w:bCs/>
        <w:sz w:val="22"/>
      </w:rPr>
    </w:pPr>
  </w:p>
  <w:p w:rsidR="009743D7" w:rsidRDefault="009743D7" w:rsidP="009743D7">
    <w:pPr>
      <w:pStyle w:val="Header"/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>Adsorbing Cold Autoantibodies with Enzyme Treated Autologous Red Cells</w:t>
    </w:r>
  </w:p>
  <w:p w:rsidR="00244061" w:rsidRDefault="00244061">
    <w:pPr>
      <w:pStyle w:val="Header"/>
      <w:rPr>
        <w:rFonts w:ascii="Arial" w:hAnsi="Arial"/>
        <w:sz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61" w:rsidRDefault="001D2F3B">
    <w:pPr>
      <w:pStyle w:val="Head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80A" w:rsidRDefault="00B0380A" w:rsidP="00B0380A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B0380A" w:rsidRDefault="00B0380A" w:rsidP="00B0380A">
    <w:pPr>
      <w:pStyle w:val="Header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244061" w:rsidRDefault="00244061">
    <w:pPr>
      <w:pStyle w:val="Header"/>
      <w:jc w:val="center"/>
      <w:rPr>
        <w:rFonts w:ascii="Arial" w:hAnsi="Arial" w:cs="Arial"/>
        <w:b/>
        <w:bCs/>
        <w:sz w:val="22"/>
      </w:rPr>
    </w:pPr>
  </w:p>
  <w:p w:rsidR="00C166DB" w:rsidRDefault="009743D7" w:rsidP="009743D7">
    <w:pPr>
      <w:pStyle w:val="Header"/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 xml:space="preserve">Adsorbing Cold Autoantibodies with Enzyme </w:t>
    </w:r>
  </w:p>
  <w:p w:rsidR="009743D7" w:rsidRDefault="009743D7" w:rsidP="009743D7">
    <w:pPr>
      <w:pStyle w:val="Header"/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>Treated Autologous Red Cells</w:t>
    </w:r>
  </w:p>
  <w:p w:rsidR="00244061" w:rsidRDefault="00244061">
    <w:pPr>
      <w:pStyle w:val="Header"/>
      <w:jc w:val="center"/>
      <w:rPr>
        <w:rFonts w:ascii="Arial" w:hAnsi="Arial"/>
        <w:b/>
        <w:bCs/>
        <w:sz w:val="28"/>
      </w:rPr>
    </w:pPr>
  </w:p>
  <w:p w:rsidR="00244061" w:rsidRDefault="001D2F3B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5D5F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244061">
      <w:tc>
        <w:tcPr>
          <w:tcW w:w="4428" w:type="dxa"/>
        </w:tcPr>
        <w:p w:rsidR="00244061" w:rsidRDefault="0024406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244061" w:rsidRDefault="0024406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SP.016</w:t>
          </w:r>
        </w:p>
      </w:tc>
    </w:tr>
    <w:tr w:rsidR="00244061">
      <w:tc>
        <w:tcPr>
          <w:tcW w:w="4428" w:type="dxa"/>
        </w:tcPr>
        <w:p w:rsidR="00244061" w:rsidRDefault="0024406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244061" w:rsidRDefault="0024406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244061">
      <w:tc>
        <w:tcPr>
          <w:tcW w:w="4428" w:type="dxa"/>
        </w:tcPr>
        <w:p w:rsidR="00244061" w:rsidRDefault="0024406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9A471F">
            <w:rPr>
              <w:rFonts w:ascii="Arial" w:hAnsi="Arial" w:cs="Arial"/>
            </w:rPr>
            <w:t xml:space="preserve">  2009/09/01</w:t>
          </w:r>
          <w:r w:rsidR="00FC187E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244061" w:rsidRDefault="0024406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3773D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3773D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244061" w:rsidRDefault="001D2F3B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0404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244061">
      <w:rPr>
        <w:rFonts w:ascii="Arial" w:hAnsi="Arial" w:cs="Arial"/>
      </w:rPr>
      <w:tab/>
    </w:r>
  </w:p>
  <w:p w:rsidR="00244061" w:rsidRDefault="00244061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24D6EBC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61B1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6AFB67DD"/>
    <w:multiLevelType w:val="hybridMultilevel"/>
    <w:tmpl w:val="87A41CD6"/>
    <w:lvl w:ilvl="0" w:tplc="6DDAA19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3362E3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D7"/>
    <w:rsid w:val="001B6DBC"/>
    <w:rsid w:val="001D2F3B"/>
    <w:rsid w:val="00244061"/>
    <w:rsid w:val="00295A04"/>
    <w:rsid w:val="003773D8"/>
    <w:rsid w:val="00407FB3"/>
    <w:rsid w:val="00821CAC"/>
    <w:rsid w:val="00882285"/>
    <w:rsid w:val="009743D7"/>
    <w:rsid w:val="009A471F"/>
    <w:rsid w:val="00A13097"/>
    <w:rsid w:val="00A74D6B"/>
    <w:rsid w:val="00B0380A"/>
    <w:rsid w:val="00B744B0"/>
    <w:rsid w:val="00C00EE2"/>
    <w:rsid w:val="00C166DB"/>
    <w:rsid w:val="00C47EE9"/>
    <w:rsid w:val="00C60DD8"/>
    <w:rsid w:val="00C74E95"/>
    <w:rsid w:val="00D35D38"/>
    <w:rsid w:val="00D52BDA"/>
    <w:rsid w:val="00DF543F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DDD6A-46A9-41DA-9436-DE0660D1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288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uppressAutoHyphens/>
      <w:jc w:val="center"/>
    </w:pPr>
    <w:rPr>
      <w:b/>
      <w:spacing w:val="-2"/>
      <w:sz w:val="28"/>
      <w:lang w:val="en-GB"/>
    </w:rPr>
  </w:style>
  <w:style w:type="paragraph" w:styleId="BodyTextIndent">
    <w:name w:val="Body Text Indent"/>
    <w:basedOn w:val="Normal"/>
    <w:pPr>
      <w:suppressAutoHyphens/>
      <w:ind w:left="720"/>
    </w:pPr>
    <w:rPr>
      <w:rFonts w:ascii="Arial" w:hAnsi="Arial"/>
      <w:spacing w:val="-2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187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1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SP.016 -  Cold Autoabsorption-Using Enzyme Treated cells</vt:lpstr>
    </vt:vector>
  </TitlesOfParts>
  <Company>The Ottawa Hospital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SP.016 -  Cold Autoabsorption-Using Enzyme Treated cells</dc:title>
  <dc:subject/>
  <dc:creator>hedgett</dc:creator>
  <cp:keywords/>
  <cp:lastModifiedBy>Nesrallah, Heather</cp:lastModifiedBy>
  <cp:revision>2</cp:revision>
  <cp:lastPrinted>2015-01-06T18:48:00Z</cp:lastPrinted>
  <dcterms:created xsi:type="dcterms:W3CDTF">2020-08-11T15:16:00Z</dcterms:created>
  <dcterms:modified xsi:type="dcterms:W3CDTF">2020-08-11T15:16:00Z</dcterms:modified>
</cp:coreProperties>
</file>