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B7" w:rsidRDefault="007629B7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Principle</w:t>
      </w:r>
    </w:p>
    <w:p w:rsidR="007629B7" w:rsidRDefault="007629B7">
      <w:pPr>
        <w:spacing w:line="228" w:lineRule="auto"/>
        <w:rPr>
          <w:rFonts w:ascii="Arial" w:hAnsi="Arial"/>
          <w:b/>
          <w:sz w:val="24"/>
        </w:rPr>
      </w:pPr>
    </w:p>
    <w:p w:rsidR="007629B7" w:rsidRDefault="007629B7">
      <w:pPr>
        <w:suppressAutoHyphens/>
        <w:spacing w:line="228" w:lineRule="auto"/>
        <w:ind w:left="720" w:right="480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When a patient has a warm reactive autoantibody present in their plasma, it may mask a clinically significant alloantibody. To determine the presence of any alloantibo</w:t>
      </w:r>
      <w:r w:rsidR="004D7FE1">
        <w:rPr>
          <w:rFonts w:ascii="Arial" w:hAnsi="Arial"/>
          <w:spacing w:val="-2"/>
          <w:sz w:val="24"/>
          <w:lang w:val="en-GB"/>
        </w:rPr>
        <w:t>dies the autoantibody must be ad</w:t>
      </w:r>
      <w:r>
        <w:rPr>
          <w:rFonts w:ascii="Arial" w:hAnsi="Arial"/>
          <w:spacing w:val="-2"/>
          <w:sz w:val="24"/>
          <w:lang w:val="en-GB"/>
        </w:rPr>
        <w:t>sorbed out. When pretransfusion autologous cell</w:t>
      </w:r>
      <w:r w:rsidR="004D7FE1">
        <w:rPr>
          <w:rFonts w:ascii="Arial" w:hAnsi="Arial"/>
          <w:spacing w:val="-2"/>
          <w:sz w:val="24"/>
          <w:lang w:val="en-GB"/>
        </w:rPr>
        <w:t>s are no longer available for ad</w:t>
      </w:r>
      <w:r>
        <w:rPr>
          <w:rFonts w:ascii="Arial" w:hAnsi="Arial"/>
          <w:spacing w:val="-2"/>
          <w:sz w:val="24"/>
          <w:lang w:val="en-GB"/>
        </w:rPr>
        <w:t>sorption, homologous cells may be used. It is preferable to use cells of a similar phen</w:t>
      </w:r>
      <w:r w:rsidR="004D7FE1">
        <w:rPr>
          <w:rFonts w:ascii="Arial" w:hAnsi="Arial"/>
          <w:spacing w:val="-2"/>
          <w:sz w:val="24"/>
          <w:lang w:val="en-GB"/>
        </w:rPr>
        <w:t>otype to the patient to avoid ad</w:t>
      </w:r>
      <w:r>
        <w:rPr>
          <w:rFonts w:ascii="Arial" w:hAnsi="Arial"/>
          <w:spacing w:val="-2"/>
          <w:sz w:val="24"/>
          <w:lang w:val="en-GB"/>
        </w:rPr>
        <w:t xml:space="preserve">sorbing out any alloantibodies the patient might form.  </w:t>
      </w:r>
    </w:p>
    <w:p w:rsidR="007629B7" w:rsidRDefault="007629B7">
      <w:pPr>
        <w:spacing w:line="228" w:lineRule="auto"/>
        <w:rPr>
          <w:rFonts w:ascii="Arial" w:hAnsi="Arial"/>
          <w:b/>
          <w:sz w:val="24"/>
        </w:rPr>
      </w:pPr>
    </w:p>
    <w:p w:rsidR="007629B7" w:rsidRDefault="007629B7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Scope and Related Policies </w:t>
      </w:r>
    </w:p>
    <w:p w:rsidR="007629B7" w:rsidRDefault="007629B7">
      <w:pPr>
        <w:spacing w:line="228" w:lineRule="auto"/>
        <w:rPr>
          <w:rFonts w:ascii="Arial" w:hAnsi="Arial"/>
          <w:b/>
          <w:sz w:val="24"/>
        </w:rPr>
      </w:pPr>
    </w:p>
    <w:p w:rsidR="007629B7" w:rsidRDefault="007629B7">
      <w:pPr>
        <w:numPr>
          <w:ilvl w:val="1"/>
          <w:numId w:val="1"/>
        </w:numPr>
        <w:suppressAutoHyphens/>
        <w:spacing w:line="228" w:lineRule="auto"/>
        <w:ind w:right="480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 xml:space="preserve">The use of ZZAP treated cells simplifies this as, with the exception of Rh and Jk, most antigens </w:t>
      </w:r>
      <w:r w:rsidR="004D4173">
        <w:rPr>
          <w:rFonts w:ascii="Arial" w:hAnsi="Arial"/>
          <w:spacing w:val="-2"/>
          <w:sz w:val="24"/>
          <w:lang w:val="en-GB"/>
        </w:rPr>
        <w:t xml:space="preserve">to commonly encountered clinically significant antibodies </w:t>
      </w:r>
      <w:r>
        <w:rPr>
          <w:rFonts w:ascii="Arial" w:hAnsi="Arial"/>
          <w:spacing w:val="-2"/>
          <w:sz w:val="24"/>
          <w:lang w:val="en-GB"/>
        </w:rPr>
        <w:t>are destroyed.</w:t>
      </w:r>
      <w:r w:rsidR="004D4173">
        <w:rPr>
          <w:rFonts w:ascii="Arial" w:hAnsi="Arial"/>
          <w:spacing w:val="-2"/>
          <w:sz w:val="24"/>
          <w:vertAlign w:val="superscript"/>
          <w:lang w:val="en-GB"/>
        </w:rPr>
        <w:t>9.1</w:t>
      </w:r>
    </w:p>
    <w:p w:rsidR="007629B7" w:rsidRDefault="007629B7">
      <w:pPr>
        <w:suppressAutoHyphens/>
        <w:spacing w:line="228" w:lineRule="auto"/>
        <w:ind w:left="720" w:right="480"/>
        <w:rPr>
          <w:rFonts w:ascii="Arial" w:hAnsi="Arial"/>
          <w:spacing w:val="-2"/>
          <w:sz w:val="24"/>
          <w:lang w:val="en-GB"/>
        </w:rPr>
      </w:pPr>
    </w:p>
    <w:p w:rsidR="007629B7" w:rsidRDefault="007629B7">
      <w:pPr>
        <w:numPr>
          <w:ilvl w:val="1"/>
          <w:numId w:val="1"/>
        </w:numPr>
        <w:spacing w:line="228" w:lineRule="auto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  <w:lang w:val="en-GB"/>
        </w:rPr>
        <w:t>Interpretation of the final results should be done i</w:t>
      </w:r>
      <w:smartTag w:uri="urn:schemas-microsoft-com:office:smarttags" w:element="PersonName">
        <w:r>
          <w:rPr>
            <w:rFonts w:ascii="Arial" w:hAnsi="Arial"/>
            <w:spacing w:val="-2"/>
            <w:sz w:val="24"/>
            <w:lang w:val="en-GB"/>
          </w:rPr>
          <w:t>n c</w:t>
        </w:r>
      </w:smartTag>
      <w:r>
        <w:rPr>
          <w:rFonts w:ascii="Arial" w:hAnsi="Arial"/>
          <w:spacing w:val="-2"/>
          <w:sz w:val="24"/>
          <w:lang w:val="en-GB"/>
        </w:rPr>
        <w:t xml:space="preserve">ollaboration with a </w:t>
      </w:r>
      <w:r w:rsidR="004D4173">
        <w:rPr>
          <w:rFonts w:ascii="Arial" w:hAnsi="Arial"/>
          <w:spacing w:val="-2"/>
          <w:sz w:val="24"/>
          <w:lang w:val="en-GB"/>
        </w:rPr>
        <w:t>Technical Supervisor</w:t>
      </w:r>
      <w:r>
        <w:rPr>
          <w:rFonts w:ascii="Arial" w:hAnsi="Arial"/>
          <w:spacing w:val="-2"/>
          <w:sz w:val="24"/>
          <w:lang w:val="en-GB"/>
        </w:rPr>
        <w:t xml:space="preserve"> and reviewed by the </w:t>
      </w:r>
      <w:r w:rsidR="004D4173">
        <w:rPr>
          <w:rFonts w:ascii="Arial" w:hAnsi="Arial"/>
          <w:spacing w:val="-2"/>
          <w:sz w:val="24"/>
          <w:lang w:val="en-GB"/>
        </w:rPr>
        <w:t xml:space="preserve">TS </w:t>
      </w:r>
      <w:r>
        <w:rPr>
          <w:rFonts w:ascii="Arial" w:hAnsi="Arial"/>
          <w:spacing w:val="-2"/>
          <w:sz w:val="24"/>
          <w:lang w:val="en-GB"/>
        </w:rPr>
        <w:t xml:space="preserve">Medical </w:t>
      </w:r>
      <w:r w:rsidR="009A4CAE">
        <w:rPr>
          <w:rFonts w:ascii="Arial" w:hAnsi="Arial"/>
          <w:spacing w:val="-2"/>
          <w:sz w:val="24"/>
          <w:lang w:val="en-GB"/>
        </w:rPr>
        <w:t xml:space="preserve">Director </w:t>
      </w:r>
      <w:r>
        <w:rPr>
          <w:rFonts w:ascii="Arial" w:hAnsi="Arial"/>
          <w:spacing w:val="-2"/>
          <w:sz w:val="24"/>
          <w:lang w:val="en-GB"/>
        </w:rPr>
        <w:t>or designate before reporting.</w:t>
      </w:r>
    </w:p>
    <w:p w:rsidR="007629B7" w:rsidRDefault="007629B7">
      <w:pPr>
        <w:spacing w:line="228" w:lineRule="auto"/>
        <w:rPr>
          <w:rFonts w:ascii="Arial" w:hAnsi="Arial"/>
          <w:sz w:val="24"/>
        </w:rPr>
      </w:pPr>
    </w:p>
    <w:p w:rsidR="007629B7" w:rsidRDefault="007629B7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Specimen</w:t>
      </w:r>
    </w:p>
    <w:p w:rsidR="007629B7" w:rsidRDefault="007629B7">
      <w:pPr>
        <w:spacing w:line="228" w:lineRule="auto"/>
        <w:rPr>
          <w:rFonts w:ascii="Arial" w:hAnsi="Arial"/>
          <w:sz w:val="24"/>
        </w:rPr>
      </w:pPr>
    </w:p>
    <w:p w:rsidR="007629B7" w:rsidRDefault="007629B7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Patient plasma to be a</w:t>
      </w:r>
      <w:r w:rsidR="004A06EF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>sorbed.</w:t>
      </w:r>
    </w:p>
    <w:p w:rsidR="007629B7" w:rsidRDefault="007629B7">
      <w:pPr>
        <w:spacing w:line="228" w:lineRule="auto"/>
        <w:ind w:left="720"/>
        <w:rPr>
          <w:rFonts w:ascii="Arial" w:hAnsi="Arial"/>
          <w:sz w:val="24"/>
        </w:rPr>
      </w:pPr>
    </w:p>
    <w:p w:rsidR="007629B7" w:rsidRDefault="007629B7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Material</w:t>
      </w:r>
    </w:p>
    <w:p w:rsidR="007629B7" w:rsidRDefault="007629B7">
      <w:pPr>
        <w:spacing w:line="228" w:lineRule="auto"/>
        <w:rPr>
          <w:rFonts w:ascii="Arial" w:hAnsi="Arial"/>
          <w:sz w:val="24"/>
        </w:rPr>
      </w:pPr>
    </w:p>
    <w:p w:rsidR="007629B7" w:rsidRDefault="007629B7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Equipment: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Serological centrifuge</w:t>
      </w:r>
    </w:p>
    <w:p w:rsidR="007629B7" w:rsidRDefault="007629B7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Block for test tubes</w:t>
      </w:r>
    </w:p>
    <w:p w:rsidR="007629B7" w:rsidRDefault="007629B7">
      <w:pPr>
        <w:spacing w:line="228" w:lineRule="auto"/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>Water bath/Heating block at 37</w:t>
      </w:r>
      <w:r w:rsidR="009A4CAE">
        <w:rPr>
          <w:rFonts w:ascii="Arial" w:hAnsi="Arial" w:cs="Arial"/>
          <w:sz w:val="24"/>
        </w:rPr>
        <w:t>°</w:t>
      </w:r>
      <w:r>
        <w:rPr>
          <w:rFonts w:ascii="Arial" w:hAnsi="Arial"/>
          <w:sz w:val="24"/>
        </w:rPr>
        <w:t>C</w:t>
      </w:r>
    </w:p>
    <w:p w:rsidR="007629B7" w:rsidRDefault="007629B7">
      <w:pPr>
        <w:spacing w:line="228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629B7" w:rsidRDefault="007629B7">
      <w:pPr>
        <w:spacing w:line="228" w:lineRule="auto"/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b/>
          <w:sz w:val="24"/>
          <w:lang w:val="fr-CA"/>
        </w:rPr>
        <w:t>Supplies:</w:t>
      </w: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  <w:t>10</w:t>
      </w:r>
      <w:r w:rsidR="009A4CAE">
        <w:rPr>
          <w:rFonts w:ascii="Arial" w:hAnsi="Arial"/>
          <w:sz w:val="24"/>
          <w:lang w:val="fr-CA"/>
        </w:rPr>
        <w:t xml:space="preserve"> </w:t>
      </w:r>
      <w:r>
        <w:rPr>
          <w:rFonts w:ascii="Arial" w:hAnsi="Arial"/>
          <w:sz w:val="24"/>
          <w:lang w:val="fr-CA"/>
        </w:rPr>
        <w:t xml:space="preserve">mL tubes </w:t>
      </w:r>
    </w:p>
    <w:p w:rsidR="007629B7" w:rsidRDefault="007629B7">
      <w:pPr>
        <w:spacing w:line="228" w:lineRule="auto"/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  <w:t>Serological pipettes</w:t>
      </w:r>
    </w:p>
    <w:p w:rsidR="007629B7" w:rsidRDefault="007629B7">
      <w:pPr>
        <w:spacing w:line="228" w:lineRule="auto"/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</w:p>
    <w:p w:rsidR="007629B7" w:rsidRDefault="007629B7">
      <w:pPr>
        <w:spacing w:line="228" w:lineRule="auto"/>
        <w:ind w:left="720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b/>
          <w:sz w:val="24"/>
        </w:rPr>
        <w:t>Reagents: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2"/>
          <w:sz w:val="24"/>
          <w:lang w:val="en-GB"/>
        </w:rPr>
        <w:t>ZZAP treated RBC's (see SP.01</w:t>
      </w:r>
      <w:r w:rsidR="004D4173">
        <w:rPr>
          <w:rFonts w:ascii="Arial" w:hAnsi="Arial"/>
          <w:spacing w:val="-2"/>
          <w:sz w:val="24"/>
          <w:lang w:val="en-GB"/>
        </w:rPr>
        <w:t>0</w:t>
      </w:r>
      <w:r>
        <w:rPr>
          <w:rFonts w:ascii="Arial" w:hAnsi="Arial"/>
          <w:spacing w:val="-2"/>
          <w:sz w:val="24"/>
          <w:lang w:val="en-GB"/>
        </w:rPr>
        <w:t xml:space="preserve">) the same Rh and Jk </w:t>
      </w:r>
    </w:p>
    <w:p w:rsidR="007629B7" w:rsidRDefault="007629B7">
      <w:pPr>
        <w:spacing w:line="228" w:lineRule="auto"/>
        <w:ind w:left="2880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phenotype as the patient (2</w:t>
      </w:r>
      <w:r w:rsidR="009A4CAE">
        <w:rPr>
          <w:rFonts w:ascii="Arial" w:hAnsi="Arial"/>
          <w:spacing w:val="-2"/>
          <w:sz w:val="24"/>
          <w:lang w:val="en-GB"/>
        </w:rPr>
        <w:t xml:space="preserve"> </w:t>
      </w:r>
      <w:r>
        <w:rPr>
          <w:rFonts w:ascii="Arial" w:hAnsi="Arial"/>
          <w:spacing w:val="-2"/>
          <w:sz w:val="24"/>
          <w:lang w:val="en-GB"/>
        </w:rPr>
        <w:t>mL)</w:t>
      </w:r>
    </w:p>
    <w:p w:rsidR="004D4173" w:rsidRDefault="004D4173">
      <w:pPr>
        <w:spacing w:line="228" w:lineRule="auto"/>
        <w:ind w:left="2880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lastRenderedPageBreak/>
        <w:t>Group O reagent screening cells</w:t>
      </w:r>
    </w:p>
    <w:p w:rsidR="007E652A" w:rsidRDefault="007E652A">
      <w:pPr>
        <w:spacing w:line="228" w:lineRule="auto"/>
        <w:ind w:left="2880"/>
        <w:rPr>
          <w:rFonts w:ascii="Arial" w:hAnsi="Arial"/>
          <w:spacing w:val="-2"/>
          <w:sz w:val="24"/>
          <w:lang w:val="en-GB"/>
        </w:rPr>
      </w:pPr>
    </w:p>
    <w:p w:rsidR="007629B7" w:rsidRDefault="007629B7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Quality Control – N/A</w:t>
      </w:r>
    </w:p>
    <w:p w:rsidR="007629B7" w:rsidRDefault="007629B7">
      <w:pPr>
        <w:rPr>
          <w:rFonts w:ascii="Arial" w:hAnsi="Arial"/>
          <w:b/>
          <w:sz w:val="28"/>
        </w:rPr>
      </w:pPr>
    </w:p>
    <w:p w:rsidR="007629B7" w:rsidRDefault="007629B7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Procedure</w:t>
      </w:r>
    </w:p>
    <w:p w:rsidR="007629B7" w:rsidRDefault="007629B7">
      <w:pPr>
        <w:rPr>
          <w:rFonts w:ascii="Arial" w:hAnsi="Arial"/>
          <w:b/>
          <w:sz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0"/>
      </w:tblGrid>
      <w:tr w:rsidR="003B7159" w:rsidRPr="00B30D21" w:rsidTr="00B30D21">
        <w:tc>
          <w:tcPr>
            <w:tcW w:w="7416" w:type="dxa"/>
            <w:shd w:val="clear" w:color="auto" w:fill="auto"/>
          </w:tcPr>
          <w:p w:rsidR="003B7159" w:rsidRPr="00B30D21" w:rsidRDefault="003B7159" w:rsidP="00B30D21">
            <w:pPr>
              <w:numPr>
                <w:ilvl w:val="1"/>
                <w:numId w:val="1"/>
              </w:numPr>
              <w:tabs>
                <w:tab w:val="clear" w:pos="1440"/>
                <w:tab w:val="num" w:pos="687"/>
              </w:tabs>
              <w:suppressAutoHyphens/>
              <w:ind w:left="687"/>
              <w:rPr>
                <w:rFonts w:ascii="Arial" w:hAnsi="Arial"/>
                <w:spacing w:val="-2"/>
                <w:sz w:val="24"/>
                <w:lang w:val="en-GB"/>
              </w:rPr>
            </w:pP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>Dispense 1 mL of each washed ZZAP treated cell into 3 appropriately labelled 10 mL tubes.</w:t>
            </w:r>
          </w:p>
        </w:tc>
      </w:tr>
      <w:tr w:rsidR="003B7159" w:rsidRPr="00B30D21" w:rsidTr="00B30D21">
        <w:tc>
          <w:tcPr>
            <w:tcW w:w="7416" w:type="dxa"/>
            <w:shd w:val="clear" w:color="auto" w:fill="auto"/>
          </w:tcPr>
          <w:p w:rsidR="003B7159" w:rsidRPr="00B30D21" w:rsidRDefault="003B7159" w:rsidP="00B30D21">
            <w:pPr>
              <w:numPr>
                <w:ilvl w:val="1"/>
                <w:numId w:val="1"/>
              </w:numPr>
              <w:tabs>
                <w:tab w:val="clear" w:pos="1440"/>
                <w:tab w:val="num" w:pos="687"/>
              </w:tabs>
              <w:suppressAutoHyphens/>
              <w:ind w:left="687"/>
              <w:rPr>
                <w:rFonts w:ascii="Arial" w:hAnsi="Arial"/>
                <w:spacing w:val="-2"/>
                <w:sz w:val="24"/>
                <w:lang w:val="en-GB"/>
              </w:rPr>
            </w:pP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>To 1 tube of each cell type, add 1 mL of patient’s plasma and mix.</w:t>
            </w:r>
          </w:p>
        </w:tc>
      </w:tr>
      <w:tr w:rsidR="003B7159" w:rsidRPr="00B30D21" w:rsidTr="00B30D21">
        <w:tc>
          <w:tcPr>
            <w:tcW w:w="7416" w:type="dxa"/>
            <w:shd w:val="clear" w:color="auto" w:fill="auto"/>
          </w:tcPr>
          <w:p w:rsidR="003B7159" w:rsidRPr="00B30D21" w:rsidRDefault="003B7159" w:rsidP="00B30D21">
            <w:pPr>
              <w:numPr>
                <w:ilvl w:val="1"/>
                <w:numId w:val="1"/>
              </w:numPr>
              <w:tabs>
                <w:tab w:val="clear" w:pos="1440"/>
                <w:tab w:val="num" w:pos="687"/>
              </w:tabs>
              <w:suppressAutoHyphens/>
              <w:ind w:left="687"/>
              <w:rPr>
                <w:rFonts w:ascii="Arial" w:hAnsi="Arial"/>
                <w:spacing w:val="-2"/>
                <w:sz w:val="24"/>
                <w:lang w:val="en-GB"/>
              </w:rPr>
            </w:pP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>Incubate at 37</w:t>
            </w:r>
            <w:r w:rsidRPr="00B30D21">
              <w:rPr>
                <w:rFonts w:ascii="Arial" w:hAnsi="Arial" w:cs="Arial"/>
                <w:sz w:val="24"/>
              </w:rPr>
              <w:t>°</w:t>
            </w: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>C for 30 minutes. Mix gently every 10 minutes.</w:t>
            </w:r>
          </w:p>
        </w:tc>
      </w:tr>
      <w:tr w:rsidR="003B7159" w:rsidRPr="00B30D21" w:rsidTr="00B30D21">
        <w:tc>
          <w:tcPr>
            <w:tcW w:w="7416" w:type="dxa"/>
            <w:shd w:val="clear" w:color="auto" w:fill="auto"/>
          </w:tcPr>
          <w:p w:rsidR="003B7159" w:rsidRPr="00B30D21" w:rsidRDefault="003B7159" w:rsidP="00B30D21">
            <w:pPr>
              <w:numPr>
                <w:ilvl w:val="1"/>
                <w:numId w:val="1"/>
              </w:numPr>
              <w:tabs>
                <w:tab w:val="clear" w:pos="1440"/>
                <w:tab w:val="num" w:pos="687"/>
              </w:tabs>
              <w:suppressAutoHyphens/>
              <w:ind w:left="687"/>
              <w:rPr>
                <w:rFonts w:ascii="Arial" w:hAnsi="Arial"/>
                <w:spacing w:val="-2"/>
                <w:sz w:val="24"/>
                <w:lang w:val="en-GB"/>
              </w:rPr>
            </w:pP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>Centrifuge at 3000 rpm x 5 minutes.</w:t>
            </w:r>
          </w:p>
        </w:tc>
      </w:tr>
      <w:tr w:rsidR="003B7159" w:rsidRPr="00B30D21" w:rsidTr="00B30D21">
        <w:tc>
          <w:tcPr>
            <w:tcW w:w="7416" w:type="dxa"/>
            <w:shd w:val="clear" w:color="auto" w:fill="auto"/>
          </w:tcPr>
          <w:p w:rsidR="003B7159" w:rsidRPr="00B30D21" w:rsidRDefault="003B7159" w:rsidP="00B30D21">
            <w:pPr>
              <w:numPr>
                <w:ilvl w:val="1"/>
                <w:numId w:val="1"/>
              </w:numPr>
              <w:tabs>
                <w:tab w:val="clear" w:pos="1440"/>
                <w:tab w:val="num" w:pos="687"/>
              </w:tabs>
              <w:suppressAutoHyphens/>
              <w:ind w:left="687"/>
              <w:rPr>
                <w:rFonts w:ascii="Arial" w:hAnsi="Arial"/>
                <w:spacing w:val="-2"/>
                <w:sz w:val="24"/>
                <w:lang w:val="en-GB"/>
              </w:rPr>
            </w:pP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>Transfer plasma to next aliquot of each corresponding c</w:t>
            </w:r>
            <w:r w:rsidR="007E652A" w:rsidRPr="00B30D21">
              <w:rPr>
                <w:rFonts w:ascii="Arial" w:hAnsi="Arial"/>
                <w:spacing w:val="-2"/>
                <w:sz w:val="24"/>
                <w:lang w:val="en-GB"/>
              </w:rPr>
              <w:t>ell and repeat steps 6.3 and 6.</w:t>
            </w: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>4.</w:t>
            </w:r>
          </w:p>
        </w:tc>
      </w:tr>
      <w:tr w:rsidR="003B7159" w:rsidRPr="00B30D21" w:rsidTr="00B30D21">
        <w:tc>
          <w:tcPr>
            <w:tcW w:w="7416" w:type="dxa"/>
            <w:shd w:val="clear" w:color="auto" w:fill="auto"/>
          </w:tcPr>
          <w:p w:rsidR="003B7159" w:rsidRPr="00B30D21" w:rsidRDefault="003B7159" w:rsidP="00B30D21">
            <w:pPr>
              <w:numPr>
                <w:ilvl w:val="1"/>
                <w:numId w:val="1"/>
              </w:numPr>
              <w:tabs>
                <w:tab w:val="clear" w:pos="1440"/>
                <w:tab w:val="num" w:pos="687"/>
              </w:tabs>
              <w:suppressAutoHyphens/>
              <w:ind w:left="687"/>
              <w:rPr>
                <w:rFonts w:ascii="Arial" w:hAnsi="Arial"/>
                <w:spacing w:val="-2"/>
                <w:sz w:val="24"/>
                <w:lang w:val="en-GB"/>
              </w:rPr>
            </w:pP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 xml:space="preserve">Transfer twice adsorbed plasma(s) to the third aliquot of each corresponding cell and repeat steps 6.3 and 6.4. </w:t>
            </w:r>
          </w:p>
        </w:tc>
      </w:tr>
      <w:tr w:rsidR="003B7159" w:rsidRPr="00B30D21" w:rsidTr="00B30D21">
        <w:tc>
          <w:tcPr>
            <w:tcW w:w="7416" w:type="dxa"/>
            <w:shd w:val="clear" w:color="auto" w:fill="auto"/>
          </w:tcPr>
          <w:p w:rsidR="003B7159" w:rsidRPr="00B30D21" w:rsidRDefault="003B7159" w:rsidP="00B30D21">
            <w:pPr>
              <w:numPr>
                <w:ilvl w:val="1"/>
                <w:numId w:val="1"/>
              </w:numPr>
              <w:tabs>
                <w:tab w:val="clear" w:pos="1440"/>
                <w:tab w:val="num" w:pos="687"/>
              </w:tabs>
              <w:suppressAutoHyphens/>
              <w:ind w:left="687"/>
              <w:rPr>
                <w:rFonts w:ascii="Arial" w:hAnsi="Arial"/>
                <w:spacing w:val="-2"/>
                <w:sz w:val="24"/>
                <w:lang w:val="en-GB"/>
              </w:rPr>
            </w:pP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>Test each aliquot against screen cells by IDAT to determine the presence of any alloantibodies. See Procedural Notes 8.1.</w:t>
            </w:r>
          </w:p>
        </w:tc>
      </w:tr>
      <w:tr w:rsidR="003B7159" w:rsidRPr="00B30D21" w:rsidTr="00B30D21">
        <w:tc>
          <w:tcPr>
            <w:tcW w:w="7416" w:type="dxa"/>
            <w:shd w:val="clear" w:color="auto" w:fill="auto"/>
          </w:tcPr>
          <w:p w:rsidR="003B7159" w:rsidRPr="00B30D21" w:rsidRDefault="003B7159" w:rsidP="00B30D21">
            <w:pPr>
              <w:numPr>
                <w:ilvl w:val="1"/>
                <w:numId w:val="1"/>
              </w:numPr>
              <w:tabs>
                <w:tab w:val="clear" w:pos="1440"/>
                <w:tab w:val="num" w:pos="687"/>
              </w:tabs>
              <w:suppressAutoHyphens/>
              <w:ind w:left="687"/>
              <w:rPr>
                <w:rFonts w:ascii="Arial" w:hAnsi="Arial"/>
                <w:spacing w:val="-2"/>
                <w:sz w:val="24"/>
                <w:lang w:val="en-GB"/>
              </w:rPr>
            </w:pP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>If alloantibodies are present proceed to antibody investigation (see SP.001</w:t>
            </w:r>
            <w:r w:rsidR="00362B4B">
              <w:rPr>
                <w:rFonts w:ascii="Arial" w:hAnsi="Arial"/>
                <w:spacing w:val="-2"/>
                <w:sz w:val="24"/>
                <w:lang w:val="en-GB"/>
              </w:rPr>
              <w:t>-</w:t>
            </w:r>
            <w:r w:rsidRPr="00B30D21">
              <w:rPr>
                <w:rFonts w:ascii="Arial" w:hAnsi="Arial"/>
                <w:spacing w:val="-2"/>
                <w:sz w:val="24"/>
                <w:lang w:val="en-GB"/>
              </w:rPr>
              <w:t xml:space="preserve"> Guideline to Continuing Investigation).</w:t>
            </w:r>
          </w:p>
        </w:tc>
      </w:tr>
    </w:tbl>
    <w:p w:rsidR="007629B7" w:rsidRDefault="007629B7">
      <w:pPr>
        <w:ind w:left="720"/>
        <w:rPr>
          <w:rFonts w:ascii="Arial" w:hAnsi="Arial"/>
          <w:sz w:val="24"/>
        </w:rPr>
      </w:pPr>
    </w:p>
    <w:p w:rsidR="007629B7" w:rsidRDefault="007629B7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Reporting – N/A</w:t>
      </w:r>
    </w:p>
    <w:p w:rsidR="007629B7" w:rsidRDefault="007629B7">
      <w:pPr>
        <w:ind w:left="720"/>
        <w:rPr>
          <w:rFonts w:ascii="Arial" w:hAnsi="Arial"/>
          <w:sz w:val="24"/>
        </w:rPr>
      </w:pPr>
    </w:p>
    <w:p w:rsidR="007629B7" w:rsidRDefault="007629B7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Procedural Notes</w:t>
      </w:r>
    </w:p>
    <w:p w:rsidR="007629B7" w:rsidRDefault="007629B7">
      <w:pPr>
        <w:rPr>
          <w:rFonts w:ascii="Arial" w:hAnsi="Arial"/>
          <w:sz w:val="24"/>
        </w:rPr>
      </w:pPr>
    </w:p>
    <w:p w:rsidR="00362B4B" w:rsidRPr="00362B4B" w:rsidRDefault="004D7FE1" w:rsidP="00362B4B">
      <w:pPr>
        <w:numPr>
          <w:ilvl w:val="1"/>
          <w:numId w:val="1"/>
        </w:numPr>
        <w:suppressAutoHyphens/>
        <w:spacing w:after="120"/>
        <w:rPr>
          <w:rFonts w:ascii="Arial" w:hAnsi="Arial"/>
          <w:spacing w:val="-2"/>
          <w:sz w:val="24"/>
          <w:lang w:val="en-GB"/>
        </w:rPr>
      </w:pPr>
      <w:r w:rsidRPr="00362B4B">
        <w:rPr>
          <w:rFonts w:ascii="Arial" w:hAnsi="Arial"/>
          <w:sz w:val="24"/>
        </w:rPr>
        <w:t>The ad</w:t>
      </w:r>
      <w:r w:rsidR="007629B7" w:rsidRPr="00362B4B">
        <w:rPr>
          <w:rFonts w:ascii="Arial" w:hAnsi="Arial"/>
          <w:sz w:val="24"/>
        </w:rPr>
        <w:t xml:space="preserve">sorbed plasma should be retested using the procedure that </w:t>
      </w:r>
      <w:r w:rsidR="004D4173" w:rsidRPr="00362B4B">
        <w:rPr>
          <w:rFonts w:ascii="Arial" w:hAnsi="Arial"/>
          <w:sz w:val="24"/>
        </w:rPr>
        <w:t>the auto</w:t>
      </w:r>
      <w:r w:rsidR="007629B7" w:rsidRPr="00362B4B">
        <w:rPr>
          <w:rFonts w:ascii="Arial" w:hAnsi="Arial"/>
          <w:sz w:val="24"/>
        </w:rPr>
        <w:t>antibody</w:t>
      </w:r>
      <w:r w:rsidR="004D4173" w:rsidRPr="00362B4B">
        <w:rPr>
          <w:rFonts w:ascii="Arial" w:hAnsi="Arial"/>
          <w:sz w:val="24"/>
        </w:rPr>
        <w:t xml:space="preserve"> demonstrated reactivity to ensure it was adsorbed completely</w:t>
      </w:r>
      <w:r w:rsidR="007629B7" w:rsidRPr="00362B4B">
        <w:rPr>
          <w:rFonts w:ascii="Arial" w:hAnsi="Arial"/>
          <w:sz w:val="24"/>
        </w:rPr>
        <w:t>.</w:t>
      </w:r>
    </w:p>
    <w:p w:rsidR="00362B4B" w:rsidRPr="00362B4B" w:rsidRDefault="007629B7" w:rsidP="00362B4B">
      <w:pPr>
        <w:numPr>
          <w:ilvl w:val="1"/>
          <w:numId w:val="1"/>
        </w:numPr>
        <w:suppressAutoHyphens/>
        <w:spacing w:after="120"/>
        <w:rPr>
          <w:rFonts w:ascii="Arial" w:hAnsi="Arial"/>
          <w:spacing w:val="-2"/>
          <w:sz w:val="24"/>
          <w:lang w:val="en-GB"/>
        </w:rPr>
      </w:pPr>
      <w:r w:rsidRPr="00362B4B">
        <w:rPr>
          <w:rFonts w:ascii="Arial" w:hAnsi="Arial"/>
          <w:spacing w:val="-2"/>
          <w:sz w:val="24"/>
          <w:lang w:val="en-GB"/>
        </w:rPr>
        <w:t>If the Rh and Jk phenotype of the patient cannot be determined, group O red cells of the phenotypes R1</w:t>
      </w:r>
      <w:r w:rsidR="002D4B71" w:rsidRPr="00362B4B">
        <w:rPr>
          <w:rFonts w:ascii="Arial" w:hAnsi="Arial"/>
          <w:spacing w:val="-2"/>
          <w:sz w:val="24"/>
          <w:lang w:val="en-GB"/>
        </w:rPr>
        <w:t xml:space="preserve">R1, R2R2 and rr must be used. </w:t>
      </w:r>
      <w:r w:rsidRPr="00362B4B">
        <w:rPr>
          <w:rFonts w:ascii="Arial" w:hAnsi="Arial"/>
          <w:spacing w:val="-2"/>
          <w:sz w:val="24"/>
          <w:lang w:val="en-GB"/>
        </w:rPr>
        <w:t>One of these cells should be Jk(a</w:t>
      </w:r>
      <w:r w:rsidR="002D4B71" w:rsidRPr="00362B4B">
        <w:rPr>
          <w:rFonts w:ascii="Arial" w:hAnsi="Arial"/>
          <w:spacing w:val="-2"/>
          <w:sz w:val="24"/>
          <w:lang w:val="en-GB"/>
        </w:rPr>
        <w:t>-b+) and one should be Jk (a+b-).</w:t>
      </w:r>
    </w:p>
    <w:p w:rsidR="007629B7" w:rsidRDefault="007629B7">
      <w:pPr>
        <w:numPr>
          <w:ilvl w:val="1"/>
          <w:numId w:val="1"/>
        </w:numPr>
        <w:suppressAutoHyphens/>
        <w:spacing w:after="120"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>T</w:t>
      </w:r>
      <w:r w:rsidR="00216AA6">
        <w:rPr>
          <w:rFonts w:ascii="Arial" w:hAnsi="Arial"/>
          <w:spacing w:val="-2"/>
          <w:sz w:val="24"/>
          <w:lang w:val="en-GB"/>
        </w:rPr>
        <w:t>hree</w:t>
      </w:r>
      <w:r w:rsidR="004D7FE1">
        <w:rPr>
          <w:rFonts w:ascii="Arial" w:hAnsi="Arial"/>
          <w:spacing w:val="-2"/>
          <w:sz w:val="24"/>
          <w:lang w:val="en-GB"/>
        </w:rPr>
        <w:t xml:space="preserve"> ad</w:t>
      </w:r>
      <w:r>
        <w:rPr>
          <w:rFonts w:ascii="Arial" w:hAnsi="Arial"/>
          <w:spacing w:val="-2"/>
          <w:sz w:val="24"/>
          <w:lang w:val="en-GB"/>
        </w:rPr>
        <w:t xml:space="preserve">sorptions </w:t>
      </w:r>
      <w:r w:rsidR="00216AA6">
        <w:rPr>
          <w:rFonts w:ascii="Arial" w:hAnsi="Arial"/>
          <w:spacing w:val="-2"/>
          <w:sz w:val="24"/>
          <w:lang w:val="en-GB"/>
        </w:rPr>
        <w:t>should be</w:t>
      </w:r>
      <w:r>
        <w:rPr>
          <w:rFonts w:ascii="Arial" w:hAnsi="Arial"/>
          <w:spacing w:val="-2"/>
          <w:sz w:val="24"/>
          <w:lang w:val="en-GB"/>
        </w:rPr>
        <w:t xml:space="preserve"> sufficient to rem</w:t>
      </w:r>
      <w:r w:rsidR="002D4B71">
        <w:rPr>
          <w:rFonts w:ascii="Arial" w:hAnsi="Arial"/>
          <w:spacing w:val="-2"/>
          <w:sz w:val="24"/>
          <w:lang w:val="en-GB"/>
        </w:rPr>
        <w:t xml:space="preserve">ove all autoantibody activity. </w:t>
      </w:r>
      <w:r>
        <w:rPr>
          <w:rFonts w:ascii="Arial" w:hAnsi="Arial"/>
          <w:spacing w:val="-2"/>
          <w:sz w:val="24"/>
          <w:lang w:val="en-GB"/>
        </w:rPr>
        <w:t xml:space="preserve">If this is </w:t>
      </w:r>
      <w:r w:rsidR="00216AA6">
        <w:rPr>
          <w:rFonts w:ascii="Arial" w:hAnsi="Arial"/>
          <w:spacing w:val="-2"/>
          <w:sz w:val="24"/>
          <w:lang w:val="en-GB"/>
        </w:rPr>
        <w:t xml:space="preserve">not </w:t>
      </w:r>
      <w:r>
        <w:rPr>
          <w:rFonts w:ascii="Arial" w:hAnsi="Arial"/>
          <w:spacing w:val="-2"/>
          <w:sz w:val="24"/>
          <w:lang w:val="en-GB"/>
        </w:rPr>
        <w:t xml:space="preserve">the case prepare </w:t>
      </w:r>
      <w:r w:rsidR="00216AA6">
        <w:rPr>
          <w:rFonts w:ascii="Arial" w:hAnsi="Arial"/>
          <w:spacing w:val="-2"/>
          <w:sz w:val="24"/>
          <w:lang w:val="en-GB"/>
        </w:rPr>
        <w:t>another</w:t>
      </w:r>
      <w:r>
        <w:rPr>
          <w:rFonts w:ascii="Arial" w:hAnsi="Arial"/>
          <w:spacing w:val="-2"/>
          <w:sz w:val="24"/>
          <w:lang w:val="en-GB"/>
        </w:rPr>
        <w:t xml:space="preserve"> aliquot of ZZAP treated red cells and repeat Procedure 6.1 – 6.7.</w:t>
      </w:r>
    </w:p>
    <w:p w:rsidR="007629B7" w:rsidRDefault="007629B7">
      <w:pPr>
        <w:numPr>
          <w:ilvl w:val="1"/>
          <w:numId w:val="1"/>
        </w:numPr>
        <w:suppressAutoHyphens/>
        <w:rPr>
          <w:rFonts w:ascii="Arial" w:hAnsi="Arial"/>
          <w:spacing w:val="-2"/>
          <w:sz w:val="24"/>
          <w:lang w:val="en-GB"/>
        </w:rPr>
      </w:pPr>
      <w:r>
        <w:rPr>
          <w:rFonts w:ascii="Arial" w:hAnsi="Arial"/>
          <w:spacing w:val="-2"/>
          <w:sz w:val="24"/>
          <w:lang w:val="en-GB"/>
        </w:rPr>
        <w:t xml:space="preserve">This procedure will be useful only to detect/identify alloantibodies of the usual specificities within the Rh, Duffy, MNSs, and Kidd systems.  Alloantibodies to high frequency antigens or alloantibodies </w:t>
      </w:r>
      <w:r w:rsidR="004D7FE1">
        <w:rPr>
          <w:rFonts w:ascii="Arial" w:hAnsi="Arial"/>
          <w:spacing w:val="-2"/>
          <w:sz w:val="24"/>
          <w:lang w:val="en-GB"/>
        </w:rPr>
        <w:t>to any antigen present on the ad</w:t>
      </w:r>
      <w:r>
        <w:rPr>
          <w:rFonts w:ascii="Arial" w:hAnsi="Arial"/>
          <w:spacing w:val="-2"/>
          <w:sz w:val="24"/>
          <w:lang w:val="en-GB"/>
        </w:rPr>
        <w:t xml:space="preserve">sorbing cells (not destroyed by ZZAP </w:t>
      </w:r>
      <w:r w:rsidR="004D7FE1">
        <w:rPr>
          <w:rFonts w:ascii="Arial" w:hAnsi="Arial"/>
          <w:spacing w:val="-2"/>
          <w:sz w:val="24"/>
          <w:lang w:val="en-GB"/>
        </w:rPr>
        <w:t>reagent) may be ad</w:t>
      </w:r>
      <w:r>
        <w:rPr>
          <w:rFonts w:ascii="Arial" w:hAnsi="Arial"/>
          <w:spacing w:val="-2"/>
          <w:sz w:val="24"/>
          <w:lang w:val="en-GB"/>
        </w:rPr>
        <w:t>sorbed out along with the autoantibody.  Therefore elu</w:t>
      </w:r>
      <w:r w:rsidR="004D7FE1">
        <w:rPr>
          <w:rFonts w:ascii="Arial" w:hAnsi="Arial"/>
          <w:spacing w:val="-2"/>
          <w:sz w:val="24"/>
          <w:lang w:val="en-GB"/>
        </w:rPr>
        <w:t>ates prepared from cells post ad</w:t>
      </w:r>
      <w:r>
        <w:rPr>
          <w:rFonts w:ascii="Arial" w:hAnsi="Arial"/>
          <w:spacing w:val="-2"/>
          <w:sz w:val="24"/>
          <w:lang w:val="en-GB"/>
        </w:rPr>
        <w:t>sorption should be tested for possible specificities.</w:t>
      </w:r>
    </w:p>
    <w:p w:rsidR="007629B7" w:rsidRDefault="007629B7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References</w:t>
      </w:r>
    </w:p>
    <w:p w:rsidR="007629B7" w:rsidRDefault="007629B7">
      <w:pPr>
        <w:rPr>
          <w:rFonts w:ascii="Arial" w:hAnsi="Arial"/>
          <w:sz w:val="24"/>
        </w:rPr>
      </w:pPr>
    </w:p>
    <w:p w:rsidR="002E1145" w:rsidRPr="003A3C43" w:rsidRDefault="002E1145" w:rsidP="002E1145">
      <w:pPr>
        <w:numPr>
          <w:ilvl w:val="1"/>
          <w:numId w:val="1"/>
        </w:numPr>
        <w:suppressAutoHyphens/>
        <w:rPr>
          <w:rFonts w:ascii="Arial" w:hAnsi="Arial"/>
          <w:spacing w:val="-2"/>
          <w:sz w:val="24"/>
          <w:lang w:val="en-GB"/>
        </w:rPr>
      </w:pPr>
      <w:r w:rsidRPr="003A3C43">
        <w:rPr>
          <w:rFonts w:ascii="Arial" w:hAnsi="Arial"/>
          <w:spacing w:val="-2"/>
          <w:sz w:val="24"/>
          <w:lang w:val="en-GB"/>
        </w:rPr>
        <w:t xml:space="preserve">Judd, WJ ed. Judd’s Methods in Immunohematology, 3rd ed,   </w:t>
      </w:r>
      <w:smartTag w:uri="urn:schemas-microsoft-com:office:smarttags" w:element="place">
        <w:smartTag w:uri="urn:schemas-microsoft-com:office:smarttags" w:element="City">
          <w:r w:rsidRPr="003A3C43">
            <w:rPr>
              <w:rFonts w:ascii="Arial" w:hAnsi="Arial"/>
              <w:spacing w:val="-2"/>
              <w:sz w:val="24"/>
              <w:lang w:val="en-GB"/>
            </w:rPr>
            <w:t>Bethesda</w:t>
          </w:r>
        </w:smartTag>
        <w:r w:rsidRPr="003A3C43">
          <w:rPr>
            <w:rFonts w:ascii="Arial" w:hAnsi="Arial"/>
            <w:spacing w:val="-2"/>
            <w:sz w:val="24"/>
            <w:lang w:val="en-GB"/>
          </w:rPr>
          <w:t xml:space="preserve">, </w:t>
        </w:r>
        <w:smartTag w:uri="urn:schemas-microsoft-com:office:smarttags" w:element="State">
          <w:r w:rsidRPr="003A3C43">
            <w:rPr>
              <w:rFonts w:ascii="Arial" w:hAnsi="Arial"/>
              <w:spacing w:val="-2"/>
              <w:sz w:val="24"/>
              <w:lang w:val="en-GB"/>
            </w:rPr>
            <w:t>MD</w:t>
          </w:r>
        </w:smartTag>
      </w:smartTag>
      <w:r>
        <w:rPr>
          <w:rFonts w:ascii="Arial" w:hAnsi="Arial"/>
          <w:spacing w:val="-2"/>
          <w:sz w:val="24"/>
          <w:lang w:val="en-GB"/>
        </w:rPr>
        <w:t>: pg. 469-471</w:t>
      </w:r>
    </w:p>
    <w:p w:rsidR="002E1145" w:rsidRDefault="002E1145" w:rsidP="002E1145">
      <w:pPr>
        <w:suppressAutoHyphens/>
        <w:rPr>
          <w:rFonts w:ascii="Arial" w:hAnsi="Arial"/>
          <w:spacing w:val="-2"/>
          <w:sz w:val="24"/>
          <w:lang w:val="en-GB"/>
        </w:rPr>
      </w:pPr>
    </w:p>
    <w:p w:rsidR="002E1145" w:rsidRDefault="002E1145" w:rsidP="002E1145">
      <w:pPr>
        <w:numPr>
          <w:ilvl w:val="1"/>
          <w:numId w:val="1"/>
        </w:numPr>
        <w:suppressAutoHyphens/>
        <w:rPr>
          <w:rFonts w:ascii="Arial" w:hAnsi="Arial"/>
          <w:spacing w:val="-2"/>
          <w:sz w:val="24"/>
          <w:lang w:val="en-GB"/>
        </w:rPr>
      </w:pPr>
      <w:r w:rsidRPr="00781F37">
        <w:rPr>
          <w:rFonts w:ascii="Arial" w:hAnsi="Arial"/>
          <w:spacing w:val="-2"/>
          <w:sz w:val="24"/>
          <w:lang w:val="en-GB"/>
        </w:rPr>
        <w:t>Roback, JD. ed. AABB Technical Manual, 1</w:t>
      </w:r>
      <w:r w:rsidR="004A06EF">
        <w:rPr>
          <w:rFonts w:ascii="Arial" w:hAnsi="Arial"/>
          <w:spacing w:val="-2"/>
          <w:sz w:val="24"/>
          <w:lang w:val="en-GB"/>
        </w:rPr>
        <w:t>7</w:t>
      </w:r>
      <w:r w:rsidR="00362B4B">
        <w:rPr>
          <w:rFonts w:ascii="Arial" w:hAnsi="Arial"/>
          <w:spacing w:val="-2"/>
          <w:sz w:val="24"/>
          <w:lang w:val="en-GB"/>
        </w:rPr>
        <w:t xml:space="preserve">th ed. </w:t>
      </w:r>
      <w:r w:rsidRPr="00781F37">
        <w:rPr>
          <w:rFonts w:ascii="Arial" w:hAnsi="Arial"/>
          <w:spacing w:val="-2"/>
          <w:sz w:val="24"/>
          <w:lang w:val="en-GB"/>
        </w:rPr>
        <w:t>Bethesda, MD: American Association</w:t>
      </w:r>
      <w:r>
        <w:rPr>
          <w:rFonts w:ascii="Arial" w:hAnsi="Arial"/>
          <w:spacing w:val="-2"/>
          <w:sz w:val="24"/>
          <w:lang w:val="en-GB"/>
        </w:rPr>
        <w:t xml:space="preserve"> of Blood Banks, 20</w:t>
      </w:r>
      <w:r w:rsidR="004A06EF">
        <w:rPr>
          <w:rFonts w:ascii="Arial" w:hAnsi="Arial"/>
          <w:spacing w:val="-2"/>
          <w:sz w:val="24"/>
          <w:lang w:val="en-GB"/>
        </w:rPr>
        <w:t>11</w:t>
      </w:r>
      <w:r>
        <w:rPr>
          <w:rFonts w:ascii="Arial" w:hAnsi="Arial"/>
          <w:spacing w:val="-2"/>
          <w:sz w:val="24"/>
          <w:lang w:val="en-GB"/>
        </w:rPr>
        <w:t>: pg 92</w:t>
      </w:r>
      <w:r w:rsidR="004D4173">
        <w:rPr>
          <w:rFonts w:ascii="Arial" w:hAnsi="Arial"/>
          <w:spacing w:val="-2"/>
          <w:sz w:val="24"/>
          <w:lang w:val="en-GB"/>
        </w:rPr>
        <w:t>5</w:t>
      </w:r>
      <w:r>
        <w:rPr>
          <w:rFonts w:ascii="Arial" w:hAnsi="Arial"/>
          <w:spacing w:val="-2"/>
          <w:sz w:val="24"/>
          <w:lang w:val="en-GB"/>
        </w:rPr>
        <w:t>-92</w:t>
      </w:r>
      <w:r w:rsidR="004A06EF">
        <w:rPr>
          <w:rFonts w:ascii="Arial" w:hAnsi="Arial"/>
          <w:spacing w:val="-2"/>
          <w:sz w:val="24"/>
          <w:lang w:val="en-GB"/>
        </w:rPr>
        <w:t>6</w:t>
      </w:r>
      <w:r w:rsidRPr="00781F37">
        <w:rPr>
          <w:rFonts w:ascii="Arial" w:hAnsi="Arial"/>
          <w:spacing w:val="-2"/>
          <w:sz w:val="24"/>
          <w:lang w:val="en-GB"/>
        </w:rPr>
        <w:t>.</w:t>
      </w:r>
    </w:p>
    <w:p w:rsidR="007E652A" w:rsidRDefault="007E652A" w:rsidP="007E652A">
      <w:pPr>
        <w:pStyle w:val="ListParagraph"/>
        <w:rPr>
          <w:rFonts w:ascii="Arial" w:hAnsi="Arial"/>
          <w:spacing w:val="-2"/>
          <w:sz w:val="24"/>
          <w:lang w:val="en-GB"/>
        </w:rPr>
      </w:pPr>
    </w:p>
    <w:p w:rsidR="007E652A" w:rsidRDefault="007E652A" w:rsidP="007E652A">
      <w:pPr>
        <w:numPr>
          <w:ilvl w:val="0"/>
          <w:numId w:val="1"/>
        </w:numPr>
        <w:suppressAutoHyphens/>
        <w:rPr>
          <w:rFonts w:ascii="Arial" w:hAnsi="Arial"/>
          <w:b/>
          <w:spacing w:val="-2"/>
          <w:sz w:val="28"/>
          <w:lang w:val="en-GB"/>
        </w:rPr>
      </w:pPr>
      <w:r w:rsidRPr="007E652A">
        <w:rPr>
          <w:rFonts w:ascii="Arial" w:hAnsi="Arial"/>
          <w:b/>
          <w:spacing w:val="-2"/>
          <w:sz w:val="28"/>
          <w:lang w:val="en-GB"/>
        </w:rPr>
        <w:t>Revision History</w:t>
      </w:r>
    </w:p>
    <w:p w:rsidR="007E652A" w:rsidRDefault="007E652A" w:rsidP="007E652A">
      <w:pPr>
        <w:suppressAutoHyphens/>
        <w:ind w:left="720"/>
        <w:rPr>
          <w:rFonts w:ascii="Arial" w:hAnsi="Arial"/>
          <w:b/>
          <w:spacing w:val="-2"/>
          <w:sz w:val="28"/>
          <w:lang w:val="en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5062"/>
      </w:tblGrid>
      <w:tr w:rsidR="007E652A" w:rsidRPr="00B30D21" w:rsidTr="00362B4B">
        <w:tc>
          <w:tcPr>
            <w:tcW w:w="3074" w:type="dxa"/>
            <w:shd w:val="clear" w:color="auto" w:fill="D9D9D9"/>
          </w:tcPr>
          <w:p w:rsidR="007E652A" w:rsidRPr="00B30D21" w:rsidRDefault="007E652A" w:rsidP="00B30D21">
            <w:pPr>
              <w:suppressAutoHyphens/>
              <w:jc w:val="center"/>
              <w:rPr>
                <w:rFonts w:ascii="Arial" w:hAnsi="Arial"/>
                <w:b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b/>
                <w:spacing w:val="-2"/>
                <w:sz w:val="22"/>
                <w:lang w:val="en-GB"/>
              </w:rPr>
              <w:t>Revision Date</w:t>
            </w:r>
          </w:p>
        </w:tc>
        <w:tc>
          <w:tcPr>
            <w:tcW w:w="5062" w:type="dxa"/>
            <w:shd w:val="clear" w:color="auto" w:fill="D9D9D9"/>
          </w:tcPr>
          <w:p w:rsidR="007E652A" w:rsidRPr="00B30D21" w:rsidRDefault="007E652A" w:rsidP="00B30D21">
            <w:pPr>
              <w:suppressAutoHyphens/>
              <w:jc w:val="center"/>
              <w:rPr>
                <w:rFonts w:ascii="Arial" w:hAnsi="Arial"/>
                <w:b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b/>
                <w:spacing w:val="-2"/>
                <w:sz w:val="22"/>
                <w:lang w:val="en-GB"/>
              </w:rPr>
              <w:t>Summary of Revision</w:t>
            </w:r>
          </w:p>
        </w:tc>
      </w:tr>
      <w:tr w:rsidR="007E652A" w:rsidRPr="00B30D21" w:rsidTr="00362B4B">
        <w:tc>
          <w:tcPr>
            <w:tcW w:w="3074" w:type="dxa"/>
            <w:shd w:val="clear" w:color="auto" w:fill="auto"/>
          </w:tcPr>
          <w:p w:rsidR="007E652A" w:rsidRPr="00B30D21" w:rsidRDefault="007E652A" w:rsidP="00B30D21">
            <w:pPr>
              <w:suppressAutoHyphens/>
              <w:rPr>
                <w:rFonts w:ascii="Arial" w:hAnsi="Arial"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spacing w:val="-2"/>
                <w:sz w:val="22"/>
                <w:lang w:val="en-GB"/>
              </w:rPr>
              <w:t>September 1, 2014</w:t>
            </w:r>
          </w:p>
        </w:tc>
        <w:tc>
          <w:tcPr>
            <w:tcW w:w="5062" w:type="dxa"/>
            <w:shd w:val="clear" w:color="auto" w:fill="auto"/>
          </w:tcPr>
          <w:p w:rsidR="007E652A" w:rsidRPr="00B30D21" w:rsidRDefault="007E652A" w:rsidP="00B30D21">
            <w:pPr>
              <w:numPr>
                <w:ilvl w:val="0"/>
                <w:numId w:val="14"/>
              </w:numPr>
              <w:suppressAutoHyphens/>
              <w:rPr>
                <w:rFonts w:ascii="Arial" w:hAnsi="Arial"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spacing w:val="-2"/>
                <w:sz w:val="22"/>
                <w:lang w:val="en-GB"/>
              </w:rPr>
              <w:t>Revised name of manual</w:t>
            </w:r>
          </w:p>
          <w:p w:rsidR="007E652A" w:rsidRPr="00B30D21" w:rsidRDefault="007E652A" w:rsidP="00B30D21">
            <w:pPr>
              <w:numPr>
                <w:ilvl w:val="0"/>
                <w:numId w:val="14"/>
              </w:numPr>
              <w:suppressAutoHyphens/>
              <w:rPr>
                <w:rFonts w:ascii="Arial" w:hAnsi="Arial"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spacing w:val="-2"/>
                <w:sz w:val="22"/>
                <w:lang w:val="en-GB"/>
              </w:rPr>
              <w:t>Revised section 2.0</w:t>
            </w:r>
          </w:p>
          <w:p w:rsidR="007E652A" w:rsidRPr="00B30D21" w:rsidRDefault="007E652A" w:rsidP="00B30D21">
            <w:pPr>
              <w:numPr>
                <w:ilvl w:val="0"/>
                <w:numId w:val="14"/>
              </w:numPr>
              <w:suppressAutoHyphens/>
              <w:rPr>
                <w:rFonts w:ascii="Arial" w:hAnsi="Arial"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spacing w:val="-2"/>
                <w:sz w:val="22"/>
                <w:lang w:val="en-GB"/>
              </w:rPr>
              <w:t>Added “Group O reagent screening cells” to section 4.0-</w:t>
            </w:r>
            <w:r w:rsidRPr="00B30D21">
              <w:rPr>
                <w:rFonts w:ascii="Arial" w:hAnsi="Arial"/>
                <w:i/>
                <w:spacing w:val="-2"/>
                <w:sz w:val="22"/>
                <w:lang w:val="en-GB"/>
              </w:rPr>
              <w:t xml:space="preserve"> Reagents</w:t>
            </w:r>
          </w:p>
          <w:p w:rsidR="007E652A" w:rsidRPr="00B30D21" w:rsidRDefault="007E652A" w:rsidP="00B30D21">
            <w:pPr>
              <w:numPr>
                <w:ilvl w:val="0"/>
                <w:numId w:val="14"/>
              </w:numPr>
              <w:suppressAutoHyphens/>
              <w:rPr>
                <w:rFonts w:ascii="Arial" w:hAnsi="Arial"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spacing w:val="-2"/>
                <w:sz w:val="22"/>
                <w:lang w:val="en-GB"/>
              </w:rPr>
              <w:t>Specified “3 appropriately labelled 10 mL tubes” in section 6.1</w:t>
            </w:r>
          </w:p>
          <w:p w:rsidR="007E652A" w:rsidRPr="00B30D21" w:rsidRDefault="007E652A" w:rsidP="00B30D21">
            <w:pPr>
              <w:numPr>
                <w:ilvl w:val="0"/>
                <w:numId w:val="14"/>
              </w:numPr>
              <w:suppressAutoHyphens/>
              <w:rPr>
                <w:rFonts w:ascii="Arial" w:hAnsi="Arial"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spacing w:val="-2"/>
                <w:sz w:val="22"/>
                <w:lang w:val="en-GB"/>
              </w:rPr>
              <w:t>Revised wording to include “to the third aliquot of each corresponding cell and repeat steps 6.3 and 6.4” in section 6.6</w:t>
            </w:r>
          </w:p>
          <w:p w:rsidR="007E652A" w:rsidRPr="00B30D21" w:rsidRDefault="007E652A" w:rsidP="00B30D21">
            <w:pPr>
              <w:numPr>
                <w:ilvl w:val="0"/>
                <w:numId w:val="14"/>
              </w:numPr>
              <w:suppressAutoHyphens/>
              <w:rPr>
                <w:rFonts w:ascii="Arial" w:hAnsi="Arial"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spacing w:val="-2"/>
                <w:sz w:val="22"/>
                <w:lang w:val="en-GB"/>
              </w:rPr>
              <w:t>Revised wording in section 8.0</w:t>
            </w:r>
          </w:p>
          <w:p w:rsidR="007E652A" w:rsidRPr="00B30D21" w:rsidRDefault="007E652A" w:rsidP="00B30D21">
            <w:pPr>
              <w:numPr>
                <w:ilvl w:val="0"/>
                <w:numId w:val="14"/>
              </w:numPr>
              <w:suppressAutoHyphens/>
              <w:rPr>
                <w:rFonts w:ascii="Arial" w:hAnsi="Arial"/>
                <w:spacing w:val="-2"/>
                <w:sz w:val="22"/>
                <w:lang w:val="en-GB"/>
              </w:rPr>
            </w:pPr>
            <w:r w:rsidRPr="00B30D21">
              <w:rPr>
                <w:rFonts w:ascii="Arial" w:hAnsi="Arial"/>
                <w:spacing w:val="-2"/>
                <w:sz w:val="22"/>
                <w:lang w:val="en-GB"/>
              </w:rPr>
              <w:t xml:space="preserve">Updated list of references to include most recent editions </w:t>
            </w:r>
          </w:p>
        </w:tc>
      </w:tr>
    </w:tbl>
    <w:p w:rsidR="007E652A" w:rsidRPr="007E652A" w:rsidRDefault="007E652A" w:rsidP="007E652A">
      <w:pPr>
        <w:suppressAutoHyphens/>
        <w:ind w:left="720"/>
        <w:rPr>
          <w:rFonts w:ascii="Arial" w:hAnsi="Arial"/>
          <w:b/>
          <w:spacing w:val="-2"/>
          <w:sz w:val="28"/>
          <w:lang w:val="en-GB"/>
        </w:rPr>
      </w:pPr>
    </w:p>
    <w:p w:rsidR="007629B7" w:rsidRDefault="007629B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7629B7" w:rsidRDefault="007629B7">
      <w:pPr>
        <w:ind w:left="720"/>
        <w:rPr>
          <w:rFonts w:ascii="Arial" w:hAnsi="Arial"/>
          <w:sz w:val="24"/>
        </w:rPr>
      </w:pPr>
    </w:p>
    <w:p w:rsidR="007629B7" w:rsidRDefault="007629B7">
      <w:pPr>
        <w:ind w:left="720"/>
        <w:rPr>
          <w:rFonts w:ascii="Arial" w:hAnsi="Arial"/>
          <w:sz w:val="24"/>
        </w:rPr>
      </w:pPr>
    </w:p>
    <w:p w:rsidR="007629B7" w:rsidRDefault="007629B7">
      <w:pPr>
        <w:rPr>
          <w:rFonts w:ascii="Arial" w:hAnsi="Arial"/>
          <w:sz w:val="24"/>
        </w:rPr>
      </w:pPr>
    </w:p>
    <w:p w:rsidR="007629B7" w:rsidRDefault="007629B7">
      <w:pPr>
        <w:pStyle w:val="Heading7"/>
      </w:pPr>
    </w:p>
    <w:p w:rsidR="007629B7" w:rsidRDefault="007629B7"/>
    <w:p w:rsidR="007629B7" w:rsidRDefault="007629B7"/>
    <w:p w:rsidR="007629B7" w:rsidRDefault="007629B7"/>
    <w:sectPr w:rsidR="007629B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267" w:right="1800" w:bottom="245" w:left="1800" w:header="720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89D" w:rsidRDefault="0053289D">
      <w:r>
        <w:separator/>
      </w:r>
    </w:p>
  </w:endnote>
  <w:endnote w:type="continuationSeparator" w:id="0">
    <w:p w:rsidR="0053289D" w:rsidRDefault="0053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CE4B6A">
      <w:trPr>
        <w:trHeight w:val="720"/>
      </w:trPr>
      <w:tc>
        <w:tcPr>
          <w:tcW w:w="1368" w:type="dxa"/>
        </w:tcPr>
        <w:p w:rsidR="00CE4B6A" w:rsidRDefault="00CE4B6A">
          <w:pPr>
            <w:pStyle w:val="Footer"/>
            <w:jc w:val="center"/>
            <w:rPr>
              <w:sz w:val="8"/>
            </w:rPr>
          </w:pPr>
        </w:p>
        <w:p w:rsidR="00CE4B6A" w:rsidRDefault="00B94337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1" name="Picture 1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CE4B6A" w:rsidRDefault="00CE4B6A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CE4B6A" w:rsidRDefault="00CE4B6A" w:rsidP="009A4CAE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 </w:t>
          </w:r>
        </w:p>
        <w:p w:rsidR="00CE4B6A" w:rsidRDefault="00542E3C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 Manual</w:t>
          </w:r>
        </w:p>
        <w:p w:rsidR="00CE4B6A" w:rsidRDefault="00CE4B6A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CE4B6A" w:rsidRDefault="00CE4B6A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CE4B6A" w:rsidRDefault="00CE4B6A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SP.015 </w:t>
          </w:r>
          <w:r>
            <w:rPr>
              <w:rFonts w:ascii="Arial" w:hAnsi="Arial"/>
              <w:sz w:val="18"/>
            </w:rPr>
            <w:br/>
          </w:r>
        </w:p>
        <w:p w:rsidR="00CE4B6A" w:rsidRDefault="00CE4B6A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14134C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14134C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CE4B6A" w:rsidRDefault="00CE4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CE4B6A">
      <w:trPr>
        <w:trHeight w:val="720"/>
      </w:trPr>
      <w:tc>
        <w:tcPr>
          <w:tcW w:w="1368" w:type="dxa"/>
        </w:tcPr>
        <w:p w:rsidR="00CE4B6A" w:rsidRDefault="00CE4B6A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CE4B6A" w:rsidRDefault="00B94337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3" name="Picture 3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CE4B6A" w:rsidRDefault="00CE4B6A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CE4B6A" w:rsidRDefault="00CE4B6A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</w:t>
          </w:r>
        </w:p>
        <w:p w:rsidR="00CE4B6A" w:rsidRDefault="00542E3C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 Manual</w:t>
          </w:r>
        </w:p>
        <w:p w:rsidR="00CE4B6A" w:rsidRDefault="00CE4B6A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CE4B6A" w:rsidRDefault="00CE4B6A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CE4B6A" w:rsidRDefault="00CE4B6A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SP.015 </w:t>
          </w:r>
          <w:r>
            <w:rPr>
              <w:rFonts w:ascii="Arial" w:hAnsi="Arial"/>
              <w:sz w:val="18"/>
            </w:rPr>
            <w:br/>
          </w:r>
        </w:p>
        <w:p w:rsidR="00CE4B6A" w:rsidRDefault="00CE4B6A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14134C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14134C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CE4B6A" w:rsidRDefault="00CE4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89D" w:rsidRDefault="0053289D">
      <w:r>
        <w:separator/>
      </w:r>
    </w:p>
  </w:footnote>
  <w:footnote w:type="continuationSeparator" w:id="0">
    <w:p w:rsidR="0053289D" w:rsidRDefault="0053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E3C" w:rsidRDefault="00CE4B6A" w:rsidP="004D7FE1">
    <w:pPr>
      <w:pStyle w:val="Header"/>
      <w:jc w:val="center"/>
      <w:rPr>
        <w:rFonts w:ascii="Arial" w:hAnsi="Arial"/>
        <w:b/>
        <w:spacing w:val="-2"/>
        <w:sz w:val="28"/>
        <w:lang w:val="en-GB"/>
      </w:rPr>
    </w:pPr>
    <w:r>
      <w:rPr>
        <w:rFonts w:ascii="Arial" w:hAnsi="Arial"/>
        <w:b/>
        <w:spacing w:val="-2"/>
        <w:sz w:val="28"/>
        <w:lang w:val="en-GB"/>
      </w:rPr>
      <w:t xml:space="preserve">Adsorbing Autoantibodies with ZZAP </w:t>
    </w:r>
  </w:p>
  <w:p w:rsidR="00CE4B6A" w:rsidRDefault="00CE4B6A" w:rsidP="004D7FE1">
    <w:pPr>
      <w:pStyle w:val="Header"/>
      <w:jc w:val="center"/>
      <w:rPr>
        <w:rFonts w:ascii="Arial" w:hAnsi="Arial"/>
        <w:b/>
        <w:spacing w:val="-2"/>
        <w:sz w:val="28"/>
        <w:lang w:val="en-GB"/>
      </w:rPr>
    </w:pPr>
    <w:r>
      <w:rPr>
        <w:rFonts w:ascii="Arial" w:hAnsi="Arial"/>
        <w:b/>
        <w:spacing w:val="-2"/>
        <w:sz w:val="28"/>
        <w:lang w:val="en-GB"/>
      </w:rPr>
      <w:t>Treated Allogeneic Red Cells</w:t>
    </w:r>
  </w:p>
  <w:p w:rsidR="00CE4B6A" w:rsidRPr="004D7FE1" w:rsidRDefault="00CE4B6A" w:rsidP="004D7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B6A" w:rsidRDefault="00B94337">
    <w:pPr>
      <w:pStyle w:val="Head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noProof/>
        <w:sz w:val="22"/>
      </w:rPr>
      <w:drawing>
        <wp:inline distT="0" distB="0" distL="0" distR="0">
          <wp:extent cx="1133475" cy="457200"/>
          <wp:effectExtent l="0" t="0" r="0" b="0"/>
          <wp:docPr id="2" name="Picture 2" descr="ORBCoN 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BCoN 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2B4B" w:rsidRDefault="00362B4B" w:rsidP="00362B4B">
    <w:pPr>
      <w:pStyle w:val="Head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Ontario Regional Blood Coordinating Network</w:t>
    </w:r>
  </w:p>
  <w:p w:rsidR="00362B4B" w:rsidRDefault="00362B4B" w:rsidP="00362B4B">
    <w:pPr>
      <w:pStyle w:val="Head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Transfusion Technical Resource Manual</w:t>
    </w:r>
  </w:p>
  <w:p w:rsidR="00CE4B6A" w:rsidRDefault="00CE4B6A">
    <w:pPr>
      <w:pStyle w:val="Header"/>
      <w:jc w:val="center"/>
      <w:rPr>
        <w:rFonts w:ascii="Arial" w:hAnsi="Arial" w:cs="Arial"/>
        <w:b/>
        <w:bCs/>
        <w:sz w:val="22"/>
      </w:rPr>
    </w:pPr>
  </w:p>
  <w:p w:rsidR="007E652A" w:rsidRDefault="00CE4B6A" w:rsidP="004D7FE1">
    <w:pPr>
      <w:pStyle w:val="Header"/>
      <w:jc w:val="center"/>
      <w:rPr>
        <w:rFonts w:ascii="Arial" w:hAnsi="Arial"/>
        <w:b/>
        <w:spacing w:val="-2"/>
        <w:sz w:val="28"/>
        <w:lang w:val="en-GB"/>
      </w:rPr>
    </w:pPr>
    <w:r>
      <w:rPr>
        <w:rFonts w:ascii="Arial" w:hAnsi="Arial"/>
        <w:b/>
        <w:spacing w:val="-2"/>
        <w:sz w:val="28"/>
        <w:lang w:val="en-GB"/>
      </w:rPr>
      <w:t xml:space="preserve">Adsorbing Autoantibodies with ZZAP </w:t>
    </w:r>
  </w:p>
  <w:p w:rsidR="00CE4B6A" w:rsidRDefault="00CE4B6A" w:rsidP="004D7FE1">
    <w:pPr>
      <w:pStyle w:val="Header"/>
      <w:jc w:val="center"/>
      <w:rPr>
        <w:rFonts w:ascii="Arial" w:hAnsi="Arial"/>
        <w:b/>
        <w:spacing w:val="-2"/>
        <w:sz w:val="28"/>
        <w:lang w:val="en-GB"/>
      </w:rPr>
    </w:pPr>
    <w:r>
      <w:rPr>
        <w:rFonts w:ascii="Arial" w:hAnsi="Arial"/>
        <w:b/>
        <w:spacing w:val="-2"/>
        <w:sz w:val="28"/>
        <w:lang w:val="en-GB"/>
      </w:rPr>
      <w:t>Treated Allogeneic Red Cells</w:t>
    </w:r>
  </w:p>
  <w:p w:rsidR="00CE4B6A" w:rsidRDefault="00CE4B6A">
    <w:pPr>
      <w:pStyle w:val="Header"/>
      <w:jc w:val="center"/>
      <w:rPr>
        <w:rFonts w:ascii="Arial" w:hAnsi="Arial" w:cs="Arial"/>
        <w:b/>
        <w:bCs/>
        <w:sz w:val="28"/>
      </w:rPr>
    </w:pPr>
  </w:p>
  <w:p w:rsidR="00CE4B6A" w:rsidRDefault="00B94337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20955</wp:posOffset>
              </wp:positionV>
              <wp:extent cx="560070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8766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65pt" to="43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l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"/>
          </w:pict>
        </mc:Fallback>
      </mc:AlternateContent>
    </w:r>
  </w:p>
  <w:tbl>
    <w:tblPr>
      <w:tblW w:w="0" w:type="auto"/>
      <w:tblLook w:val="0000" w:firstRow="0" w:lastRow="0" w:firstColumn="0" w:lastColumn="0" w:noHBand="0" w:noVBand="0"/>
    </w:tblPr>
    <w:tblGrid>
      <w:gridCol w:w="4321"/>
      <w:gridCol w:w="4319"/>
    </w:tblGrid>
    <w:tr w:rsidR="00CE4B6A">
      <w:tc>
        <w:tcPr>
          <w:tcW w:w="4428" w:type="dxa"/>
        </w:tcPr>
        <w:p w:rsidR="00CE4B6A" w:rsidRDefault="00CE4B6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Approved By: </w:t>
          </w:r>
        </w:p>
      </w:tc>
      <w:tc>
        <w:tcPr>
          <w:tcW w:w="4428" w:type="dxa"/>
        </w:tcPr>
        <w:p w:rsidR="00CE4B6A" w:rsidRDefault="00CE4B6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Document No: SP.015</w:t>
          </w:r>
        </w:p>
      </w:tc>
    </w:tr>
    <w:tr w:rsidR="00CE4B6A">
      <w:tc>
        <w:tcPr>
          <w:tcW w:w="4428" w:type="dxa"/>
        </w:tcPr>
        <w:p w:rsidR="00CE4B6A" w:rsidRDefault="00CE4B6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Issued:  2004/04/05</w:t>
          </w:r>
        </w:p>
      </w:tc>
      <w:tc>
        <w:tcPr>
          <w:tcW w:w="4428" w:type="dxa"/>
        </w:tcPr>
        <w:p w:rsidR="00CE4B6A" w:rsidRDefault="00CE4B6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Category:  Special Procedures</w:t>
          </w:r>
        </w:p>
      </w:tc>
    </w:tr>
    <w:tr w:rsidR="00CE4B6A">
      <w:tc>
        <w:tcPr>
          <w:tcW w:w="4428" w:type="dxa"/>
        </w:tcPr>
        <w:p w:rsidR="00CE4B6A" w:rsidRDefault="00CE4B6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Revised:  2009/09/01</w:t>
          </w:r>
          <w:r w:rsidR="004D4173">
            <w:rPr>
              <w:rFonts w:ascii="Arial" w:hAnsi="Arial" w:cs="Arial"/>
            </w:rPr>
            <w:t>; 2014/09/01</w:t>
          </w:r>
        </w:p>
      </w:tc>
      <w:tc>
        <w:tcPr>
          <w:tcW w:w="4428" w:type="dxa"/>
        </w:tcPr>
        <w:p w:rsidR="00CE4B6A" w:rsidRDefault="00CE4B6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14134C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14134C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</w:p>
      </w:tc>
    </w:tr>
  </w:tbl>
  <w:p w:rsidR="00CE4B6A" w:rsidRDefault="00B94337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122555</wp:posOffset>
              </wp:positionV>
              <wp:extent cx="56007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510D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65pt" to="436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D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pelT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"/>
          </w:pict>
        </mc:Fallback>
      </mc:AlternateContent>
    </w:r>
    <w:r w:rsidR="00CE4B6A">
      <w:rPr>
        <w:rFonts w:ascii="Arial" w:hAnsi="Arial" w:cs="Arial"/>
      </w:rPr>
      <w:tab/>
    </w:r>
  </w:p>
  <w:p w:rsidR="00CE4B6A" w:rsidRDefault="00CE4B6A">
    <w:pPr>
      <w:pStyle w:val="Header"/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65074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6AD20EB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86212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4D09CB"/>
    <w:multiLevelType w:val="multilevel"/>
    <w:tmpl w:val="C33EDC5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5" w15:restartNumberingAfterBreak="0">
    <w:nsid w:val="34514205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6" w15:restartNumberingAfterBreak="0">
    <w:nsid w:val="34567BF1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1584246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8" w15:restartNumberingAfterBreak="0">
    <w:nsid w:val="719415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5382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56F7A83"/>
    <w:multiLevelType w:val="hybridMultilevel"/>
    <w:tmpl w:val="334EA4B0"/>
    <w:lvl w:ilvl="0" w:tplc="6274644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E51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2"/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"/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F"/>
    <w:rsid w:val="00057960"/>
    <w:rsid w:val="000C4C4A"/>
    <w:rsid w:val="0014134C"/>
    <w:rsid w:val="001B209E"/>
    <w:rsid w:val="00216AA6"/>
    <w:rsid w:val="0029568C"/>
    <w:rsid w:val="002D4B71"/>
    <w:rsid w:val="002D5525"/>
    <w:rsid w:val="002E1145"/>
    <w:rsid w:val="002E7BC5"/>
    <w:rsid w:val="00362B4B"/>
    <w:rsid w:val="003B7159"/>
    <w:rsid w:val="003D639F"/>
    <w:rsid w:val="004A06EF"/>
    <w:rsid w:val="004C33A0"/>
    <w:rsid w:val="004D4173"/>
    <w:rsid w:val="004D7FE1"/>
    <w:rsid w:val="0053255C"/>
    <w:rsid w:val="0053289D"/>
    <w:rsid w:val="00542E3C"/>
    <w:rsid w:val="0056026F"/>
    <w:rsid w:val="00577F49"/>
    <w:rsid w:val="006E13C7"/>
    <w:rsid w:val="007629B7"/>
    <w:rsid w:val="007A205F"/>
    <w:rsid w:val="007D5468"/>
    <w:rsid w:val="007E652A"/>
    <w:rsid w:val="009A4CAE"/>
    <w:rsid w:val="009C1EFC"/>
    <w:rsid w:val="00A02F7A"/>
    <w:rsid w:val="00A76BC0"/>
    <w:rsid w:val="00A81A4C"/>
    <w:rsid w:val="00B30D21"/>
    <w:rsid w:val="00B94337"/>
    <w:rsid w:val="00CE4B6A"/>
    <w:rsid w:val="00E40356"/>
    <w:rsid w:val="00E83015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7D803-9195-4CA4-B822-813DC1E1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rFonts w:ascii="Verdana" w:hAnsi="Verdan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E7B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5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462F2-77A6-48BD-8367-DC881086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SP.015 -  Absorption - Warm Allogeneic</vt:lpstr>
    </vt:vector>
  </TitlesOfParts>
  <Company>The Ottawa Hospital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SP.015 -  Absorption - Warm Allogeneic</dc:title>
  <dc:subject/>
  <dc:creator>TOPO</dc:creator>
  <cp:keywords/>
  <cp:lastModifiedBy>Nesrallah, Heather</cp:lastModifiedBy>
  <cp:revision>2</cp:revision>
  <cp:lastPrinted>2015-01-06T18:48:00Z</cp:lastPrinted>
  <dcterms:created xsi:type="dcterms:W3CDTF">2020-08-11T15:15:00Z</dcterms:created>
  <dcterms:modified xsi:type="dcterms:W3CDTF">2020-08-11T15:15:00Z</dcterms:modified>
</cp:coreProperties>
</file>