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14" w:rsidRDefault="00877414">
      <w:pPr>
        <w:numPr>
          <w:ilvl w:val="0"/>
          <w:numId w:val="4"/>
        </w:numPr>
        <w:jc w:val="both"/>
        <w:rPr>
          <w:rFonts w:ascii="Arial" w:hAnsi="Arial"/>
          <w:b/>
          <w:sz w:val="28"/>
        </w:rPr>
      </w:pPr>
      <w:bookmarkStart w:id="0" w:name="_GoBack"/>
      <w:bookmarkEnd w:id="0"/>
      <w:r>
        <w:rPr>
          <w:rFonts w:ascii="Arial" w:hAnsi="Arial"/>
          <w:b/>
          <w:sz w:val="28"/>
        </w:rPr>
        <w:t>Principle</w:t>
      </w:r>
    </w:p>
    <w:p w:rsidR="00877414" w:rsidRDefault="00877414">
      <w:pPr>
        <w:rPr>
          <w:rFonts w:ascii="Arial" w:hAnsi="Arial"/>
          <w:sz w:val="24"/>
        </w:rPr>
      </w:pPr>
    </w:p>
    <w:p w:rsidR="00877414" w:rsidRDefault="00877414">
      <w:pPr>
        <w:ind w:left="720"/>
        <w:rPr>
          <w:rFonts w:ascii="Arial" w:hAnsi="Arial"/>
          <w:sz w:val="24"/>
        </w:rPr>
      </w:pPr>
      <w:r>
        <w:rPr>
          <w:rFonts w:ascii="Arial" w:hAnsi="Arial"/>
          <w:sz w:val="24"/>
        </w:rPr>
        <w:t xml:space="preserve">The red cells from a patient with a positive </w:t>
      </w:r>
      <w:r w:rsidR="00DD1B4B">
        <w:rPr>
          <w:rFonts w:ascii="Arial" w:hAnsi="Arial"/>
          <w:sz w:val="24"/>
        </w:rPr>
        <w:t>direct antiglobulin test (</w:t>
      </w:r>
      <w:r>
        <w:rPr>
          <w:rFonts w:ascii="Arial" w:hAnsi="Arial"/>
          <w:sz w:val="24"/>
        </w:rPr>
        <w:t>DAT</w:t>
      </w:r>
      <w:r w:rsidR="00DD1B4B">
        <w:rPr>
          <w:rFonts w:ascii="Arial" w:hAnsi="Arial"/>
          <w:sz w:val="24"/>
        </w:rPr>
        <w:t>)</w:t>
      </w:r>
      <w:r>
        <w:rPr>
          <w:rFonts w:ascii="Arial" w:hAnsi="Arial"/>
          <w:sz w:val="24"/>
        </w:rPr>
        <w:t xml:space="preserve"> and free plasma autoantibody are treated with W.A.R.M. This treatment removes autoantibody, thereby reducing the strength of the positive DAT and freeing antigen sites for adsorption. Concomitantly, the enz</w:t>
      </w:r>
      <w:r w:rsidR="00623D2E">
        <w:rPr>
          <w:rFonts w:ascii="Arial" w:hAnsi="Arial"/>
          <w:sz w:val="24"/>
        </w:rPr>
        <w:t xml:space="preserve">yme premodifies the red cells. </w:t>
      </w:r>
      <w:r>
        <w:rPr>
          <w:rFonts w:ascii="Arial" w:hAnsi="Arial"/>
          <w:sz w:val="24"/>
        </w:rPr>
        <w:t>The red cells, thus prepared, are combined with autologous plasma and the mixture is incubated at 37</w:t>
      </w:r>
      <w:r w:rsidR="00F505E6">
        <w:rPr>
          <w:rFonts w:ascii="Arial" w:hAnsi="Arial" w:cs="Arial"/>
          <w:sz w:val="24"/>
        </w:rPr>
        <w:t>°</w:t>
      </w:r>
      <w:r>
        <w:rPr>
          <w:rFonts w:ascii="Arial" w:hAnsi="Arial"/>
          <w:sz w:val="24"/>
        </w:rPr>
        <w:t>C. The warm-reactive autoantibody binds to the antigen present on the patient’s red cells. This antigen-antibody interaction is enhanced by the enzyme treatment of the cells. Following incubation, the mixture is centrifuged and adsorbed plasma is harvested and tested. By comparing the results of W.A.R.M.-adsorbed plasma with those obtained with the unadsorbed plasma, it is usually possible to confirm the presence of the warm-reactive autoantibody, and detect or identify any additional alloantibody(ies) that may be present.</w:t>
      </w:r>
    </w:p>
    <w:p w:rsidR="00877414" w:rsidRDefault="00877414">
      <w:pPr>
        <w:rPr>
          <w:rFonts w:ascii="Arial" w:hAnsi="Arial"/>
          <w:sz w:val="24"/>
        </w:rPr>
      </w:pPr>
    </w:p>
    <w:p w:rsidR="00877414" w:rsidRDefault="00877414">
      <w:pPr>
        <w:numPr>
          <w:ilvl w:val="0"/>
          <w:numId w:val="4"/>
        </w:numPr>
        <w:outlineLvl w:val="0"/>
        <w:rPr>
          <w:rFonts w:ascii="Arial" w:hAnsi="Arial"/>
          <w:b/>
          <w:sz w:val="28"/>
        </w:rPr>
      </w:pPr>
      <w:r>
        <w:rPr>
          <w:rFonts w:ascii="Arial" w:hAnsi="Arial"/>
          <w:b/>
          <w:sz w:val="28"/>
        </w:rPr>
        <w:t xml:space="preserve">Scope and Related Policies </w:t>
      </w:r>
    </w:p>
    <w:p w:rsidR="00877414" w:rsidRDefault="00877414">
      <w:pPr>
        <w:outlineLvl w:val="0"/>
        <w:rPr>
          <w:rFonts w:ascii="Arial" w:hAnsi="Arial"/>
          <w:b/>
          <w:sz w:val="24"/>
        </w:rPr>
      </w:pPr>
    </w:p>
    <w:p w:rsidR="00877414" w:rsidRDefault="00877414">
      <w:pPr>
        <w:numPr>
          <w:ilvl w:val="1"/>
          <w:numId w:val="20"/>
        </w:numPr>
        <w:outlineLvl w:val="0"/>
        <w:rPr>
          <w:rFonts w:ascii="Arial" w:hAnsi="Arial"/>
          <w:sz w:val="24"/>
        </w:rPr>
      </w:pPr>
      <w:r>
        <w:rPr>
          <w:rFonts w:ascii="Arial" w:hAnsi="Arial"/>
          <w:sz w:val="24"/>
        </w:rPr>
        <w:t>Warm-reactive autoantibodies create complex serological problems that may be extremely time-consuming to resolve, particularly in those patients requiring pretransfusion compatibility testing. Such autoantibodies are produced by patients with warm autoimmune hemolytic anemia (WAIHA), drug-induced immune hemolytic anemia (DIHA) and in a certain population of normal individuals with no overt clinical symptoms.</w:t>
      </w:r>
    </w:p>
    <w:p w:rsidR="00877414" w:rsidRDefault="00877414">
      <w:pPr>
        <w:ind w:left="720"/>
        <w:outlineLvl w:val="0"/>
        <w:rPr>
          <w:rFonts w:ascii="Arial" w:hAnsi="Arial"/>
          <w:sz w:val="24"/>
        </w:rPr>
      </w:pPr>
    </w:p>
    <w:p w:rsidR="00877414" w:rsidRPr="00623D2E" w:rsidRDefault="00877414" w:rsidP="00623D2E">
      <w:pPr>
        <w:numPr>
          <w:ilvl w:val="1"/>
          <w:numId w:val="20"/>
        </w:numPr>
        <w:outlineLvl w:val="0"/>
        <w:rPr>
          <w:rFonts w:ascii="Arial" w:hAnsi="Arial"/>
          <w:sz w:val="24"/>
        </w:rPr>
      </w:pPr>
      <w:r w:rsidRPr="00623D2E">
        <w:rPr>
          <w:rFonts w:ascii="Arial" w:hAnsi="Arial"/>
          <w:sz w:val="24"/>
        </w:rPr>
        <w:t>Some of the autoantibodies have a single specificity (e.g. anti-c, -E, -e, Jk</w:t>
      </w:r>
      <w:r w:rsidRPr="00623D2E">
        <w:rPr>
          <w:rFonts w:ascii="Arial" w:hAnsi="Arial"/>
          <w:sz w:val="24"/>
          <w:vertAlign w:val="superscript"/>
        </w:rPr>
        <w:t>a</w:t>
      </w:r>
      <w:r w:rsidRPr="00623D2E">
        <w:rPr>
          <w:rFonts w:ascii="Arial" w:hAnsi="Arial"/>
          <w:sz w:val="24"/>
        </w:rPr>
        <w:t>). However, the majority of autoantibodies encountered have specificities that cannot be classified without the use of rare cells such as Rh deletion of K</w:t>
      </w:r>
      <w:r w:rsidRPr="00623D2E">
        <w:rPr>
          <w:rFonts w:ascii="Arial" w:hAnsi="Arial"/>
          <w:sz w:val="24"/>
          <w:vertAlign w:val="subscript"/>
        </w:rPr>
        <w:t xml:space="preserve">o </w:t>
      </w:r>
      <w:r w:rsidRPr="00623D2E">
        <w:rPr>
          <w:rFonts w:ascii="Arial" w:hAnsi="Arial"/>
          <w:sz w:val="24"/>
        </w:rPr>
        <w:t xml:space="preserve">cells. Samples from patients with autoantibodies and requiring transfusion can present with 1) a positive DAT due to in vivo coating of autologous red cells and 2) a </w:t>
      </w:r>
      <w:r w:rsidRPr="00623D2E">
        <w:rPr>
          <w:rFonts w:ascii="Arial" w:hAnsi="Arial"/>
          <w:sz w:val="24"/>
        </w:rPr>
        <w:lastRenderedPageBreak/>
        <w:t>positive indirect antiglobulin test (IAT) or antibody screen due to free plasma autoantibody. The autoantibody often reacts with virtually all reagent and donor red cells. Consequently, it is difficult to ascertain whether underlying alloantibodies of potential clinical significance are present.</w:t>
      </w:r>
    </w:p>
    <w:p w:rsidR="00877414" w:rsidRDefault="00877414">
      <w:pPr>
        <w:outlineLvl w:val="0"/>
        <w:rPr>
          <w:rFonts w:ascii="Arial" w:hAnsi="Arial"/>
          <w:sz w:val="24"/>
        </w:rPr>
      </w:pPr>
    </w:p>
    <w:p w:rsidR="00877414" w:rsidRPr="00DD1B4B" w:rsidRDefault="00DD1B4B" w:rsidP="00DD1B4B">
      <w:pPr>
        <w:numPr>
          <w:ilvl w:val="1"/>
          <w:numId w:val="20"/>
        </w:numPr>
        <w:outlineLvl w:val="0"/>
        <w:rPr>
          <w:rFonts w:ascii="Arial" w:hAnsi="Arial"/>
          <w:sz w:val="24"/>
        </w:rPr>
      </w:pPr>
      <w:r w:rsidRPr="00DD1B4B">
        <w:rPr>
          <w:rFonts w:ascii="Arial" w:hAnsi="Arial"/>
          <w:sz w:val="24"/>
        </w:rPr>
        <w:t>Allogeneic a</w:t>
      </w:r>
      <w:r w:rsidR="00877414" w:rsidRPr="00DD1B4B">
        <w:rPr>
          <w:rFonts w:ascii="Arial" w:hAnsi="Arial"/>
          <w:sz w:val="24"/>
        </w:rPr>
        <w:t xml:space="preserve">dsorption procedures </w:t>
      </w:r>
      <w:r w:rsidRPr="00DD1B4B">
        <w:rPr>
          <w:rFonts w:ascii="Arial" w:hAnsi="Arial"/>
          <w:sz w:val="24"/>
        </w:rPr>
        <w:t xml:space="preserve">can also </w:t>
      </w:r>
      <w:r w:rsidR="00877414" w:rsidRPr="00DD1B4B">
        <w:rPr>
          <w:rFonts w:ascii="Arial" w:hAnsi="Arial"/>
          <w:sz w:val="24"/>
        </w:rPr>
        <w:t>be useful in the recognition of underlying alloantibody(ies)</w:t>
      </w:r>
      <w:r w:rsidRPr="00DD1B4B">
        <w:rPr>
          <w:rFonts w:ascii="Arial" w:hAnsi="Arial"/>
          <w:sz w:val="24"/>
        </w:rPr>
        <w:t xml:space="preserve"> in patients where pre-transfusion autologous cells are not available</w:t>
      </w:r>
      <w:r w:rsidR="00877414" w:rsidRPr="00DD1B4B">
        <w:rPr>
          <w:rFonts w:ascii="Arial" w:hAnsi="Arial"/>
          <w:sz w:val="24"/>
        </w:rPr>
        <w:t xml:space="preserve">. Adsorption of </w:t>
      </w:r>
      <w:r w:rsidRPr="00DD1B4B">
        <w:rPr>
          <w:rFonts w:ascii="Arial" w:hAnsi="Arial"/>
          <w:sz w:val="24"/>
        </w:rPr>
        <w:t>the patient’s plasma</w:t>
      </w:r>
      <w:r w:rsidR="00877414" w:rsidRPr="00DD1B4B">
        <w:rPr>
          <w:rFonts w:ascii="Arial" w:hAnsi="Arial"/>
          <w:sz w:val="24"/>
        </w:rPr>
        <w:t xml:space="preserve"> with donor R1R1 R2R2 and rr red cells has been successfully</w:t>
      </w:r>
      <w:r w:rsidRPr="00DD1B4B">
        <w:rPr>
          <w:rFonts w:ascii="Arial" w:hAnsi="Arial"/>
          <w:sz w:val="24"/>
        </w:rPr>
        <w:t xml:space="preserve"> </w:t>
      </w:r>
      <w:r w:rsidR="00877414" w:rsidRPr="00DD1B4B">
        <w:rPr>
          <w:rFonts w:ascii="Arial" w:hAnsi="Arial"/>
          <w:sz w:val="24"/>
        </w:rPr>
        <w:t>employed to determine the presence of alloantibodies in patients with free plasma autoantibody. Although the procedure is helpful, it is time-consuming and laborious. The required red cell phenotypes are not readily available in sufficient quantity in most laboratories. Additionally, there is an inherent risk that an undetected alloantibody may be simultaneously adsorbed by the donor red cells.</w:t>
      </w:r>
    </w:p>
    <w:p w:rsidR="00877414" w:rsidRDefault="00877414">
      <w:pPr>
        <w:ind w:left="720"/>
        <w:outlineLvl w:val="0"/>
        <w:rPr>
          <w:rFonts w:ascii="Arial" w:hAnsi="Arial"/>
          <w:sz w:val="24"/>
        </w:rPr>
      </w:pPr>
    </w:p>
    <w:p w:rsidR="00877414" w:rsidRDefault="00877414">
      <w:pPr>
        <w:numPr>
          <w:ilvl w:val="1"/>
          <w:numId w:val="20"/>
        </w:numPr>
        <w:outlineLvl w:val="0"/>
        <w:rPr>
          <w:rFonts w:ascii="Arial" w:hAnsi="Arial"/>
          <w:sz w:val="24"/>
        </w:rPr>
      </w:pPr>
      <w:r>
        <w:rPr>
          <w:rFonts w:ascii="Arial" w:hAnsi="Arial"/>
          <w:sz w:val="24"/>
        </w:rPr>
        <w:t>An autologous adsorption procedure to remove warm-reactive autoantibody is the most suitable technique to aid in the resolution of these serological complexities particularly in patients who have not received recent transfusion. Red cells needed to perform the procedures are available in the patient specimen. Since the procedure is an autoadsorption, there is little concern that foreign antigens will remove a hidden alloantibody unless the patient was recently transfused.</w:t>
      </w:r>
    </w:p>
    <w:p w:rsidR="00877414" w:rsidRDefault="00877414">
      <w:pPr>
        <w:rPr>
          <w:rFonts w:ascii="Arial" w:hAnsi="Arial"/>
          <w:sz w:val="24"/>
        </w:rPr>
      </w:pPr>
    </w:p>
    <w:p w:rsidR="00877414" w:rsidRDefault="00877414">
      <w:pPr>
        <w:numPr>
          <w:ilvl w:val="0"/>
          <w:numId w:val="4"/>
        </w:numPr>
        <w:outlineLvl w:val="0"/>
        <w:rPr>
          <w:rFonts w:ascii="Arial" w:hAnsi="Arial"/>
          <w:b/>
          <w:sz w:val="28"/>
        </w:rPr>
      </w:pPr>
      <w:r>
        <w:rPr>
          <w:rFonts w:ascii="Arial" w:hAnsi="Arial"/>
          <w:b/>
          <w:sz w:val="28"/>
        </w:rPr>
        <w:t>Specimen</w:t>
      </w:r>
    </w:p>
    <w:p w:rsidR="00877414" w:rsidRDefault="00877414">
      <w:pPr>
        <w:outlineLvl w:val="0"/>
        <w:rPr>
          <w:rFonts w:ascii="Arial" w:hAnsi="Arial"/>
          <w:sz w:val="24"/>
        </w:rPr>
      </w:pPr>
    </w:p>
    <w:p w:rsidR="00877414" w:rsidRDefault="00262871">
      <w:pPr>
        <w:ind w:firstLine="720"/>
        <w:outlineLvl w:val="0"/>
        <w:rPr>
          <w:rFonts w:ascii="Arial" w:hAnsi="Arial"/>
          <w:sz w:val="24"/>
        </w:rPr>
      </w:pPr>
      <w:r>
        <w:rPr>
          <w:rFonts w:ascii="Arial" w:hAnsi="Arial"/>
          <w:sz w:val="24"/>
        </w:rPr>
        <w:t xml:space="preserve">EDTA anticoagulated whole blood. </w:t>
      </w:r>
    </w:p>
    <w:p w:rsidR="00877414" w:rsidRPr="00623D2E" w:rsidRDefault="00877414">
      <w:pPr>
        <w:rPr>
          <w:rFonts w:ascii="Arial" w:hAnsi="Arial"/>
          <w:sz w:val="16"/>
        </w:rPr>
      </w:pPr>
    </w:p>
    <w:p w:rsidR="00877414" w:rsidRDefault="00877414">
      <w:pPr>
        <w:numPr>
          <w:ilvl w:val="0"/>
          <w:numId w:val="5"/>
        </w:numPr>
        <w:rPr>
          <w:rFonts w:ascii="Arial" w:hAnsi="Arial"/>
          <w:b/>
          <w:sz w:val="28"/>
        </w:rPr>
      </w:pPr>
      <w:r>
        <w:rPr>
          <w:rFonts w:ascii="Arial" w:hAnsi="Arial"/>
          <w:b/>
          <w:sz w:val="28"/>
        </w:rPr>
        <w:t xml:space="preserve">Materials </w:t>
      </w:r>
    </w:p>
    <w:p w:rsidR="00877414" w:rsidRPr="00623D2E" w:rsidRDefault="00877414">
      <w:pPr>
        <w:rPr>
          <w:rFonts w:ascii="Arial" w:hAnsi="Arial"/>
          <w:b/>
          <w:sz w:val="18"/>
        </w:rPr>
      </w:pPr>
    </w:p>
    <w:p w:rsidR="00877414" w:rsidRDefault="00877414">
      <w:pPr>
        <w:ind w:firstLine="720"/>
        <w:rPr>
          <w:rFonts w:ascii="Arial" w:hAnsi="Arial"/>
          <w:sz w:val="24"/>
        </w:rPr>
      </w:pPr>
      <w:r>
        <w:rPr>
          <w:rFonts w:ascii="Arial" w:hAnsi="Arial"/>
          <w:b/>
          <w:sz w:val="24"/>
        </w:rPr>
        <w:t>Equipment:</w:t>
      </w:r>
      <w:r>
        <w:rPr>
          <w:rFonts w:ascii="Arial" w:hAnsi="Arial"/>
          <w:sz w:val="24"/>
        </w:rPr>
        <w:t xml:space="preserve">  </w:t>
      </w:r>
      <w:r>
        <w:rPr>
          <w:rFonts w:ascii="Arial" w:hAnsi="Arial"/>
          <w:sz w:val="24"/>
        </w:rPr>
        <w:tab/>
        <w:t>Serological centrifuge</w:t>
      </w:r>
    </w:p>
    <w:p w:rsidR="00877414" w:rsidRDefault="00877414">
      <w:pPr>
        <w:ind w:left="1440"/>
        <w:rPr>
          <w:rFonts w:ascii="Arial" w:hAnsi="Arial"/>
          <w:sz w:val="24"/>
        </w:rPr>
      </w:pPr>
      <w:r>
        <w:rPr>
          <w:rFonts w:ascii="Arial" w:hAnsi="Arial"/>
          <w:sz w:val="24"/>
        </w:rPr>
        <w:t xml:space="preserve">          </w:t>
      </w:r>
      <w:r>
        <w:rPr>
          <w:rFonts w:ascii="Arial" w:hAnsi="Arial"/>
          <w:sz w:val="24"/>
        </w:rPr>
        <w:tab/>
      </w:r>
      <w:r>
        <w:rPr>
          <w:rFonts w:ascii="Arial" w:hAnsi="Arial"/>
          <w:sz w:val="24"/>
        </w:rPr>
        <w:tab/>
        <w:t>Block for test tubes</w:t>
      </w:r>
    </w:p>
    <w:p w:rsidR="00877414" w:rsidRDefault="00877414">
      <w:pPr>
        <w:rPr>
          <w:rFonts w:ascii="Arial" w:hAnsi="Arial"/>
          <w:sz w:val="24"/>
        </w:rPr>
      </w:pPr>
      <w:r>
        <w:rPr>
          <w:rFonts w:ascii="Arial" w:hAnsi="Arial"/>
          <w:sz w:val="24"/>
        </w:rPr>
        <w:t xml:space="preserve">                               </w:t>
      </w:r>
      <w:r>
        <w:rPr>
          <w:rFonts w:ascii="Arial" w:hAnsi="Arial"/>
          <w:sz w:val="24"/>
        </w:rPr>
        <w:tab/>
      </w:r>
      <w:r>
        <w:rPr>
          <w:rFonts w:ascii="Arial" w:hAnsi="Arial"/>
          <w:sz w:val="24"/>
        </w:rPr>
        <w:tab/>
        <w:t>Water bath/Heating block at 37</w:t>
      </w:r>
      <w:r w:rsidR="00F505E6">
        <w:rPr>
          <w:rFonts w:ascii="Arial" w:hAnsi="Arial" w:cs="Arial"/>
          <w:sz w:val="24"/>
        </w:rPr>
        <w:t>°</w:t>
      </w:r>
      <w:r>
        <w:rPr>
          <w:rFonts w:ascii="Arial" w:hAnsi="Arial"/>
          <w:sz w:val="24"/>
        </w:rPr>
        <w:t xml:space="preserve">C </w:t>
      </w:r>
    </w:p>
    <w:p w:rsidR="00877414" w:rsidRDefault="00877414">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Timer</w:t>
      </w:r>
    </w:p>
    <w:p w:rsidR="00877414" w:rsidRPr="00623D2E" w:rsidRDefault="00877414">
      <w:pPr>
        <w:ind w:left="1440" w:firstLine="720"/>
        <w:rPr>
          <w:rFonts w:ascii="Arial" w:hAnsi="Arial"/>
          <w:sz w:val="22"/>
        </w:rPr>
      </w:pPr>
    </w:p>
    <w:p w:rsidR="00877414" w:rsidRDefault="00877414">
      <w:pPr>
        <w:ind w:firstLine="720"/>
        <w:outlineLvl w:val="0"/>
        <w:rPr>
          <w:rFonts w:ascii="Arial" w:hAnsi="Arial"/>
          <w:sz w:val="24"/>
        </w:rPr>
      </w:pPr>
      <w:r>
        <w:rPr>
          <w:rFonts w:ascii="Arial" w:hAnsi="Arial"/>
          <w:b/>
          <w:sz w:val="24"/>
        </w:rPr>
        <w:t>Supplies:</w:t>
      </w:r>
      <w:r>
        <w:rPr>
          <w:rFonts w:ascii="Arial" w:hAnsi="Arial"/>
          <w:sz w:val="24"/>
        </w:rPr>
        <w:t xml:space="preserve">  </w:t>
      </w:r>
      <w:r>
        <w:rPr>
          <w:rFonts w:ascii="Arial" w:hAnsi="Arial"/>
          <w:sz w:val="24"/>
        </w:rPr>
        <w:tab/>
      </w:r>
      <w:r>
        <w:rPr>
          <w:rFonts w:ascii="Arial" w:hAnsi="Arial"/>
          <w:sz w:val="24"/>
        </w:rPr>
        <w:tab/>
        <w:t>Test tubes - 10 x 75</w:t>
      </w:r>
      <w:r w:rsidR="00F505E6">
        <w:rPr>
          <w:rFonts w:ascii="Arial" w:hAnsi="Arial"/>
          <w:sz w:val="24"/>
        </w:rPr>
        <w:t xml:space="preserve"> </w:t>
      </w:r>
      <w:r>
        <w:rPr>
          <w:rFonts w:ascii="Arial" w:hAnsi="Arial"/>
          <w:sz w:val="24"/>
        </w:rPr>
        <w:t>mm</w:t>
      </w:r>
    </w:p>
    <w:p w:rsidR="00877414" w:rsidRDefault="00877414">
      <w:pPr>
        <w:ind w:left="2160" w:firstLine="720"/>
        <w:outlineLvl w:val="0"/>
        <w:rPr>
          <w:rFonts w:ascii="Arial" w:hAnsi="Arial"/>
          <w:sz w:val="24"/>
        </w:rPr>
      </w:pPr>
      <w:r>
        <w:rPr>
          <w:rFonts w:ascii="Arial" w:hAnsi="Arial"/>
          <w:sz w:val="24"/>
        </w:rPr>
        <w:t>Serological pipettes</w:t>
      </w:r>
    </w:p>
    <w:p w:rsidR="00877414" w:rsidRDefault="00877414">
      <w:pPr>
        <w:ind w:left="2160" w:firstLine="720"/>
        <w:outlineLvl w:val="0"/>
        <w:rPr>
          <w:rFonts w:ascii="Arial" w:hAnsi="Arial"/>
          <w:sz w:val="24"/>
        </w:rPr>
      </w:pPr>
      <w:r>
        <w:rPr>
          <w:rFonts w:ascii="Arial" w:hAnsi="Arial"/>
          <w:sz w:val="24"/>
        </w:rPr>
        <w:t>Transfer pipettes</w:t>
      </w:r>
    </w:p>
    <w:p w:rsidR="00877414" w:rsidRPr="00623D2E" w:rsidRDefault="00877414">
      <w:pPr>
        <w:ind w:left="1440" w:firstLine="720"/>
        <w:outlineLvl w:val="0"/>
        <w:rPr>
          <w:rFonts w:ascii="Arial" w:hAnsi="Arial"/>
          <w:sz w:val="22"/>
        </w:rPr>
      </w:pPr>
    </w:p>
    <w:p w:rsidR="00877414" w:rsidRDefault="00877414">
      <w:pPr>
        <w:ind w:left="720"/>
        <w:rPr>
          <w:rFonts w:ascii="Arial" w:hAnsi="Arial"/>
          <w:sz w:val="24"/>
        </w:rPr>
      </w:pPr>
      <w:r>
        <w:rPr>
          <w:rFonts w:ascii="Arial" w:hAnsi="Arial"/>
          <w:b/>
          <w:sz w:val="24"/>
        </w:rPr>
        <w:t>Reagents:</w:t>
      </w:r>
      <w:r>
        <w:rPr>
          <w:rFonts w:ascii="Arial" w:hAnsi="Arial"/>
          <w:sz w:val="24"/>
        </w:rPr>
        <w:t xml:space="preserve">   </w:t>
      </w:r>
      <w:r>
        <w:rPr>
          <w:rFonts w:ascii="Arial" w:hAnsi="Arial"/>
          <w:sz w:val="24"/>
        </w:rPr>
        <w:tab/>
      </w:r>
      <w:r>
        <w:rPr>
          <w:rFonts w:ascii="Arial" w:hAnsi="Arial"/>
          <w:sz w:val="24"/>
        </w:rPr>
        <w:tab/>
      </w:r>
      <w:r w:rsidR="00DD1B4B">
        <w:rPr>
          <w:rFonts w:ascii="Arial" w:hAnsi="Arial"/>
          <w:sz w:val="24"/>
        </w:rPr>
        <w:t>0.9%</w:t>
      </w:r>
      <w:r w:rsidR="00F505E6">
        <w:rPr>
          <w:rFonts w:ascii="Arial" w:hAnsi="Arial"/>
          <w:sz w:val="24"/>
        </w:rPr>
        <w:t xml:space="preserve"> s</w:t>
      </w:r>
      <w:r>
        <w:rPr>
          <w:rFonts w:ascii="Arial" w:hAnsi="Arial"/>
          <w:sz w:val="24"/>
        </w:rPr>
        <w:t>aline</w:t>
      </w:r>
    </w:p>
    <w:p w:rsidR="00877414" w:rsidRDefault="00877414">
      <w:pPr>
        <w:ind w:left="720"/>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sz w:val="24"/>
        </w:rPr>
        <w:t>Deionized Water</w:t>
      </w:r>
    </w:p>
    <w:p w:rsidR="00877414" w:rsidRDefault="00877414">
      <w:pPr>
        <w:ind w:left="720"/>
        <w:rPr>
          <w:rFonts w:ascii="Arial" w:hAnsi="Arial"/>
          <w:sz w:val="24"/>
        </w:rPr>
      </w:pPr>
      <w:r>
        <w:rPr>
          <w:rFonts w:ascii="Arial" w:hAnsi="Arial"/>
          <w:sz w:val="24"/>
        </w:rPr>
        <w:tab/>
      </w:r>
      <w:r>
        <w:rPr>
          <w:rFonts w:ascii="Arial" w:hAnsi="Arial"/>
          <w:sz w:val="24"/>
        </w:rPr>
        <w:tab/>
      </w:r>
      <w:r>
        <w:rPr>
          <w:rFonts w:ascii="Arial" w:hAnsi="Arial"/>
          <w:sz w:val="24"/>
        </w:rPr>
        <w:tab/>
        <w:t>W.A.R.M. reagent</w:t>
      </w:r>
    </w:p>
    <w:p w:rsidR="00877414" w:rsidRDefault="00877414">
      <w:pPr>
        <w:numPr>
          <w:ilvl w:val="0"/>
          <w:numId w:val="5"/>
        </w:numPr>
        <w:outlineLvl w:val="0"/>
        <w:rPr>
          <w:rFonts w:ascii="Arial" w:hAnsi="Arial"/>
          <w:b/>
          <w:sz w:val="28"/>
        </w:rPr>
      </w:pPr>
      <w:r>
        <w:rPr>
          <w:rFonts w:ascii="Arial" w:hAnsi="Arial"/>
          <w:b/>
          <w:sz w:val="28"/>
        </w:rPr>
        <w:t xml:space="preserve">Quality Control </w:t>
      </w:r>
    </w:p>
    <w:p w:rsidR="00877414" w:rsidRDefault="00877414">
      <w:pPr>
        <w:outlineLvl w:val="0"/>
        <w:rPr>
          <w:rFonts w:ascii="Arial" w:hAnsi="Arial"/>
          <w:b/>
          <w:sz w:val="24"/>
        </w:rPr>
      </w:pPr>
    </w:p>
    <w:p w:rsidR="00877414" w:rsidRDefault="00877414" w:rsidP="00623D2E">
      <w:pPr>
        <w:pStyle w:val="BodyTextIndent3"/>
        <w:numPr>
          <w:ilvl w:val="1"/>
          <w:numId w:val="26"/>
        </w:numPr>
      </w:pPr>
      <w:r>
        <w:t>The activity of W.A.R.M. may be demonstrated upon reconstitution to ensure the effectiveness of the solution. W.A.R.M. may be deemed sufficiently active if it can be shown that treated cells show</w:t>
      </w:r>
      <w:r w:rsidR="00623D2E">
        <w:t xml:space="preserve"> </w:t>
      </w:r>
      <w:r>
        <w:t>enhancement of Rh antigen and denaturation of a Kell system antigen. It is recommended that a reagent red cell of known phenotype be treated with W.A.R.M to demonstrate enhancement and denaturation with appropriate antibodies.</w:t>
      </w:r>
    </w:p>
    <w:p w:rsidR="00877414" w:rsidRDefault="00877414">
      <w:pPr>
        <w:rPr>
          <w:rFonts w:ascii="Arial" w:hAnsi="Arial"/>
          <w:sz w:val="24"/>
        </w:rPr>
      </w:pPr>
    </w:p>
    <w:p w:rsidR="00877414" w:rsidRDefault="00877414">
      <w:pPr>
        <w:numPr>
          <w:ilvl w:val="1"/>
          <w:numId w:val="26"/>
        </w:numPr>
        <w:rPr>
          <w:rFonts w:ascii="Arial" w:hAnsi="Arial"/>
          <w:sz w:val="24"/>
        </w:rPr>
      </w:pPr>
      <w:r>
        <w:rPr>
          <w:rFonts w:ascii="Arial" w:hAnsi="Arial"/>
          <w:sz w:val="24"/>
        </w:rPr>
        <w:t>Store lyophilized W.A.R.M. and reconstituted W.A.R.M. at 1-10</w:t>
      </w:r>
      <w:r w:rsidR="00F505E6">
        <w:rPr>
          <w:rFonts w:ascii="Arial" w:hAnsi="Arial" w:cs="Arial"/>
          <w:sz w:val="24"/>
        </w:rPr>
        <w:t>°</w:t>
      </w:r>
      <w:r>
        <w:rPr>
          <w:rFonts w:ascii="Arial" w:hAnsi="Arial"/>
          <w:sz w:val="24"/>
        </w:rPr>
        <w:t>C.  Do not freeze. Do not use beyond expiration date. Do not use beyond five (5) days after reconstitution.</w:t>
      </w:r>
    </w:p>
    <w:p w:rsidR="00877414" w:rsidRDefault="00877414">
      <w:pPr>
        <w:ind w:left="720"/>
        <w:rPr>
          <w:rFonts w:ascii="Arial" w:hAnsi="Arial"/>
          <w:sz w:val="24"/>
        </w:rPr>
      </w:pPr>
    </w:p>
    <w:p w:rsidR="00877414" w:rsidRDefault="00877414">
      <w:pPr>
        <w:numPr>
          <w:ilvl w:val="1"/>
          <w:numId w:val="26"/>
        </w:numPr>
        <w:rPr>
          <w:rFonts w:ascii="Arial" w:hAnsi="Arial"/>
          <w:sz w:val="24"/>
        </w:rPr>
      </w:pPr>
      <w:r>
        <w:rPr>
          <w:rFonts w:ascii="Arial" w:hAnsi="Arial"/>
          <w:sz w:val="24"/>
        </w:rPr>
        <w:t>Some particulate matter and slight turbidity may be noted upon reconstitution. Gross turbidity may indicate possible reagent deterioration that may be confirmed by serological tests as outlined in section 5.1.</w:t>
      </w:r>
    </w:p>
    <w:p w:rsidR="00877414" w:rsidRDefault="00877414">
      <w:pPr>
        <w:rPr>
          <w:rFonts w:ascii="Arial" w:hAnsi="Arial"/>
          <w:sz w:val="24"/>
        </w:rPr>
      </w:pPr>
    </w:p>
    <w:p w:rsidR="00877414" w:rsidRDefault="00877414">
      <w:pPr>
        <w:numPr>
          <w:ilvl w:val="0"/>
          <w:numId w:val="5"/>
        </w:numPr>
        <w:rPr>
          <w:rFonts w:ascii="Arial" w:hAnsi="Arial"/>
          <w:b/>
          <w:sz w:val="28"/>
        </w:rPr>
      </w:pPr>
      <w:r>
        <w:rPr>
          <w:rFonts w:ascii="Arial" w:hAnsi="Arial"/>
          <w:b/>
          <w:sz w:val="28"/>
        </w:rPr>
        <w:t xml:space="preserve">Procedure </w:t>
      </w:r>
    </w:p>
    <w:p w:rsidR="00877414" w:rsidRDefault="00877414">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B6022" w:rsidRPr="004A7FE1" w:rsidTr="004A7FE1">
        <w:tc>
          <w:tcPr>
            <w:tcW w:w="8856" w:type="dxa"/>
            <w:shd w:val="clear" w:color="auto" w:fill="auto"/>
          </w:tcPr>
          <w:p w:rsidR="000B6022" w:rsidRPr="004A7FE1" w:rsidRDefault="000B6022" w:rsidP="004A7FE1">
            <w:pPr>
              <w:numPr>
                <w:ilvl w:val="1"/>
                <w:numId w:val="21"/>
              </w:numPr>
              <w:tabs>
                <w:tab w:val="clear" w:pos="1440"/>
                <w:tab w:val="num" w:pos="709"/>
              </w:tabs>
              <w:ind w:left="709" w:hanging="709"/>
              <w:rPr>
                <w:rFonts w:ascii="Arial" w:hAnsi="Arial"/>
                <w:sz w:val="24"/>
              </w:rPr>
            </w:pPr>
            <w:r w:rsidRPr="004A7FE1">
              <w:rPr>
                <w:rFonts w:ascii="Arial" w:hAnsi="Arial" w:cs="Arial"/>
                <w:sz w:val="24"/>
              </w:rPr>
              <w:t>Label the tubes to be used in the adsorption procedure.</w:t>
            </w:r>
          </w:p>
        </w:tc>
      </w:tr>
      <w:tr w:rsidR="000B6022" w:rsidRPr="004A7FE1" w:rsidTr="004A7FE1">
        <w:tc>
          <w:tcPr>
            <w:tcW w:w="8856" w:type="dxa"/>
            <w:shd w:val="clear" w:color="auto" w:fill="auto"/>
          </w:tcPr>
          <w:p w:rsidR="000B6022" w:rsidRPr="004A7FE1" w:rsidRDefault="000B6022" w:rsidP="004A7FE1">
            <w:pPr>
              <w:numPr>
                <w:ilvl w:val="1"/>
                <w:numId w:val="21"/>
              </w:numPr>
              <w:tabs>
                <w:tab w:val="clear" w:pos="1440"/>
                <w:tab w:val="num" w:pos="709"/>
              </w:tabs>
              <w:ind w:left="709"/>
              <w:rPr>
                <w:rFonts w:ascii="Arial" w:hAnsi="Arial"/>
                <w:sz w:val="24"/>
              </w:rPr>
            </w:pPr>
            <w:r w:rsidRPr="004A7FE1">
              <w:rPr>
                <w:rFonts w:ascii="Arial" w:hAnsi="Arial"/>
                <w:sz w:val="24"/>
              </w:rPr>
              <w:t>Reconstitute a vial of W.A.R.M. by adding 5mL of deionized water. Mix thoroughly.</w:t>
            </w:r>
          </w:p>
        </w:tc>
      </w:tr>
      <w:tr w:rsidR="000B6022" w:rsidRPr="004A7FE1" w:rsidTr="004A7FE1">
        <w:tc>
          <w:tcPr>
            <w:tcW w:w="8856" w:type="dxa"/>
            <w:shd w:val="clear" w:color="auto" w:fill="auto"/>
          </w:tcPr>
          <w:p w:rsidR="000B6022" w:rsidRPr="004A7FE1" w:rsidRDefault="000B6022" w:rsidP="004A7FE1">
            <w:pPr>
              <w:numPr>
                <w:ilvl w:val="1"/>
                <w:numId w:val="21"/>
              </w:numPr>
              <w:tabs>
                <w:tab w:val="clear" w:pos="1440"/>
                <w:tab w:val="num" w:pos="709"/>
              </w:tabs>
              <w:ind w:left="709"/>
              <w:rPr>
                <w:rFonts w:ascii="Arial" w:hAnsi="Arial"/>
                <w:sz w:val="24"/>
              </w:rPr>
            </w:pPr>
            <w:r w:rsidRPr="004A7FE1">
              <w:rPr>
                <w:rFonts w:ascii="Arial" w:hAnsi="Arial"/>
                <w:sz w:val="24"/>
              </w:rPr>
              <w:t>Add 1 volume of packed patient red cells to a labeled tube. It is not necessary to wash patient red cells prior to W.A.R.M. treatment.</w:t>
            </w:r>
          </w:p>
        </w:tc>
      </w:tr>
      <w:tr w:rsidR="000B6022" w:rsidRPr="004A7FE1" w:rsidTr="004A7FE1">
        <w:tc>
          <w:tcPr>
            <w:tcW w:w="8856" w:type="dxa"/>
            <w:shd w:val="clear" w:color="auto" w:fill="auto"/>
          </w:tcPr>
          <w:p w:rsidR="000B6022" w:rsidRPr="004A7FE1" w:rsidRDefault="000B6022" w:rsidP="004A7FE1">
            <w:pPr>
              <w:numPr>
                <w:ilvl w:val="1"/>
                <w:numId w:val="21"/>
              </w:numPr>
              <w:tabs>
                <w:tab w:val="clear" w:pos="1440"/>
                <w:tab w:val="num" w:pos="709"/>
              </w:tabs>
              <w:ind w:left="709"/>
              <w:rPr>
                <w:rFonts w:ascii="Arial" w:hAnsi="Arial"/>
                <w:sz w:val="24"/>
              </w:rPr>
            </w:pPr>
            <w:r w:rsidRPr="004A7FE1">
              <w:rPr>
                <w:rFonts w:ascii="Arial" w:hAnsi="Arial"/>
                <w:sz w:val="24"/>
              </w:rPr>
              <w:t>Add 2 volumes of reconstituted W.A.R.M. to the tube (for example 1mL red cells to 2 mL W.A.R.M.)</w:t>
            </w:r>
          </w:p>
        </w:tc>
      </w:tr>
      <w:tr w:rsidR="000B6022" w:rsidRPr="004A7FE1" w:rsidTr="004A7FE1">
        <w:tc>
          <w:tcPr>
            <w:tcW w:w="8856" w:type="dxa"/>
            <w:shd w:val="clear" w:color="auto" w:fill="auto"/>
          </w:tcPr>
          <w:p w:rsidR="000B6022" w:rsidRPr="004A7FE1" w:rsidRDefault="000B6022" w:rsidP="004A7FE1">
            <w:pPr>
              <w:numPr>
                <w:ilvl w:val="1"/>
                <w:numId w:val="21"/>
              </w:numPr>
              <w:tabs>
                <w:tab w:val="clear" w:pos="1440"/>
                <w:tab w:val="num" w:pos="709"/>
              </w:tabs>
              <w:ind w:left="709"/>
              <w:rPr>
                <w:rFonts w:ascii="Arial" w:hAnsi="Arial"/>
                <w:sz w:val="24"/>
              </w:rPr>
            </w:pPr>
            <w:r w:rsidRPr="004A7FE1">
              <w:rPr>
                <w:rFonts w:ascii="Arial" w:hAnsi="Arial"/>
                <w:sz w:val="24"/>
              </w:rPr>
              <w:t>Mix well and incubate at 37</w:t>
            </w:r>
            <w:r w:rsidRPr="004A7FE1">
              <w:rPr>
                <w:rFonts w:ascii="Arial" w:hAnsi="Arial" w:cs="Arial"/>
                <w:sz w:val="24"/>
              </w:rPr>
              <w:t>°</w:t>
            </w:r>
            <w:r w:rsidRPr="004A7FE1">
              <w:rPr>
                <w:rFonts w:ascii="Arial" w:hAnsi="Arial"/>
                <w:sz w:val="24"/>
              </w:rPr>
              <w:t xml:space="preserve">C for approximately 30 minutes. </w:t>
            </w:r>
          </w:p>
        </w:tc>
      </w:tr>
      <w:tr w:rsidR="000B6022" w:rsidRPr="004A7FE1" w:rsidTr="004A7FE1">
        <w:tc>
          <w:tcPr>
            <w:tcW w:w="8856" w:type="dxa"/>
            <w:shd w:val="clear" w:color="auto" w:fill="auto"/>
          </w:tcPr>
          <w:p w:rsidR="000B6022" w:rsidRPr="004A7FE1" w:rsidRDefault="000B6022" w:rsidP="004A7FE1">
            <w:pPr>
              <w:numPr>
                <w:ilvl w:val="1"/>
                <w:numId w:val="21"/>
              </w:numPr>
              <w:tabs>
                <w:tab w:val="clear" w:pos="1440"/>
                <w:tab w:val="num" w:pos="709"/>
              </w:tabs>
              <w:ind w:left="709"/>
              <w:rPr>
                <w:rFonts w:ascii="Arial" w:hAnsi="Arial"/>
                <w:sz w:val="24"/>
              </w:rPr>
            </w:pPr>
            <w:r w:rsidRPr="004A7FE1">
              <w:rPr>
                <w:rFonts w:ascii="Arial" w:hAnsi="Arial"/>
                <w:sz w:val="24"/>
              </w:rPr>
              <w:t>Wash the W.A.R.M.-treated cells with saline a minimum of three times.  Remove as much saline as possible after each wash.</w:t>
            </w:r>
          </w:p>
        </w:tc>
      </w:tr>
      <w:tr w:rsidR="000B6022" w:rsidRPr="004A7FE1" w:rsidTr="004A7FE1">
        <w:tc>
          <w:tcPr>
            <w:tcW w:w="8856" w:type="dxa"/>
            <w:shd w:val="clear" w:color="auto" w:fill="auto"/>
          </w:tcPr>
          <w:p w:rsidR="000B6022" w:rsidRPr="004A7FE1" w:rsidRDefault="000B6022" w:rsidP="004A7FE1">
            <w:pPr>
              <w:numPr>
                <w:ilvl w:val="1"/>
                <w:numId w:val="21"/>
              </w:numPr>
              <w:tabs>
                <w:tab w:val="clear" w:pos="1440"/>
                <w:tab w:val="num" w:pos="709"/>
              </w:tabs>
              <w:ind w:left="709"/>
              <w:rPr>
                <w:rFonts w:ascii="Arial" w:hAnsi="Arial"/>
                <w:sz w:val="24"/>
              </w:rPr>
            </w:pPr>
            <w:r w:rsidRPr="004A7FE1">
              <w:rPr>
                <w:rFonts w:ascii="Arial" w:hAnsi="Arial"/>
                <w:sz w:val="24"/>
              </w:rPr>
              <w:t>Add an equal volume of patient plasma to the W.A.R.M.-treated, packed red cells.</w:t>
            </w:r>
          </w:p>
        </w:tc>
      </w:tr>
      <w:tr w:rsidR="000B6022" w:rsidRPr="004A7FE1" w:rsidTr="004A7FE1">
        <w:tc>
          <w:tcPr>
            <w:tcW w:w="8856" w:type="dxa"/>
            <w:shd w:val="clear" w:color="auto" w:fill="auto"/>
          </w:tcPr>
          <w:p w:rsidR="000B6022" w:rsidRPr="004A7FE1" w:rsidRDefault="000B6022" w:rsidP="004A7FE1">
            <w:pPr>
              <w:numPr>
                <w:ilvl w:val="1"/>
                <w:numId w:val="21"/>
              </w:numPr>
              <w:tabs>
                <w:tab w:val="clear" w:pos="1440"/>
                <w:tab w:val="num" w:pos="709"/>
              </w:tabs>
              <w:ind w:left="709"/>
              <w:rPr>
                <w:rFonts w:ascii="Arial" w:hAnsi="Arial"/>
                <w:sz w:val="24"/>
              </w:rPr>
            </w:pPr>
            <w:r w:rsidRPr="004A7FE1">
              <w:rPr>
                <w:rFonts w:ascii="Arial" w:hAnsi="Arial"/>
                <w:sz w:val="24"/>
              </w:rPr>
              <w:t>Mix well and incubate for 30-60 minutes at 37</w:t>
            </w:r>
            <w:r w:rsidRPr="004A7FE1">
              <w:rPr>
                <w:rFonts w:ascii="Arial" w:hAnsi="Arial" w:cs="Arial"/>
                <w:sz w:val="24"/>
              </w:rPr>
              <w:t>°</w:t>
            </w:r>
            <w:r w:rsidRPr="004A7FE1">
              <w:rPr>
                <w:rFonts w:ascii="Arial" w:hAnsi="Arial"/>
                <w:sz w:val="24"/>
              </w:rPr>
              <w:t xml:space="preserve">C.  </w:t>
            </w:r>
          </w:p>
          <w:p w:rsidR="000B6022" w:rsidRPr="004A7FE1" w:rsidRDefault="000B6022" w:rsidP="004A7FE1">
            <w:pPr>
              <w:ind w:left="709"/>
              <w:rPr>
                <w:rFonts w:ascii="Arial" w:hAnsi="Arial"/>
                <w:b/>
                <w:sz w:val="24"/>
              </w:rPr>
            </w:pPr>
          </w:p>
          <w:p w:rsidR="000B6022" w:rsidRPr="004A7FE1" w:rsidRDefault="000B6022" w:rsidP="004A7FE1">
            <w:pPr>
              <w:ind w:left="709"/>
              <w:rPr>
                <w:rFonts w:ascii="Arial" w:hAnsi="Arial"/>
                <w:sz w:val="24"/>
              </w:rPr>
            </w:pPr>
            <w:r w:rsidRPr="004A7FE1">
              <w:rPr>
                <w:rFonts w:ascii="Arial" w:hAnsi="Arial"/>
                <w:b/>
                <w:sz w:val="24"/>
              </w:rPr>
              <w:t>Note:</w:t>
            </w:r>
            <w:r w:rsidRPr="004A7FE1">
              <w:rPr>
                <w:rFonts w:ascii="Arial" w:hAnsi="Arial"/>
                <w:sz w:val="24"/>
              </w:rPr>
              <w:t xml:space="preserve"> Due to the fragility of certain red cells, some hemolysis may be observed upon treatment. The treatment of such red cells with W.A.R.M. should be limited to thirty minutes.</w:t>
            </w:r>
          </w:p>
        </w:tc>
      </w:tr>
      <w:tr w:rsidR="000B6022" w:rsidRPr="004A7FE1" w:rsidTr="004A7FE1">
        <w:tc>
          <w:tcPr>
            <w:tcW w:w="8856" w:type="dxa"/>
            <w:shd w:val="clear" w:color="auto" w:fill="auto"/>
          </w:tcPr>
          <w:p w:rsidR="000B6022" w:rsidRPr="004A7FE1" w:rsidRDefault="000B6022" w:rsidP="004A7FE1">
            <w:pPr>
              <w:numPr>
                <w:ilvl w:val="1"/>
                <w:numId w:val="21"/>
              </w:numPr>
              <w:tabs>
                <w:tab w:val="clear" w:pos="1440"/>
                <w:tab w:val="num" w:pos="709"/>
              </w:tabs>
              <w:ind w:left="709"/>
              <w:rPr>
                <w:rFonts w:ascii="Arial" w:hAnsi="Arial"/>
                <w:sz w:val="24"/>
              </w:rPr>
            </w:pPr>
            <w:r w:rsidRPr="004A7FE1">
              <w:rPr>
                <w:rFonts w:ascii="Arial" w:hAnsi="Arial"/>
                <w:sz w:val="24"/>
              </w:rPr>
              <w:t>Centrifuge for approximately two minutes or until red cells are well packed.</w:t>
            </w:r>
          </w:p>
        </w:tc>
      </w:tr>
      <w:tr w:rsidR="000B6022" w:rsidRPr="004A7FE1" w:rsidTr="004A7FE1">
        <w:tc>
          <w:tcPr>
            <w:tcW w:w="8856" w:type="dxa"/>
            <w:shd w:val="clear" w:color="auto" w:fill="auto"/>
          </w:tcPr>
          <w:p w:rsidR="000B6022" w:rsidRPr="004A7FE1" w:rsidRDefault="000B6022" w:rsidP="004A7FE1">
            <w:pPr>
              <w:numPr>
                <w:ilvl w:val="1"/>
                <w:numId w:val="21"/>
              </w:numPr>
              <w:tabs>
                <w:tab w:val="clear" w:pos="1440"/>
                <w:tab w:val="num" w:pos="709"/>
              </w:tabs>
              <w:ind w:left="709"/>
              <w:rPr>
                <w:rFonts w:ascii="Arial" w:hAnsi="Arial"/>
                <w:sz w:val="24"/>
              </w:rPr>
            </w:pPr>
            <w:r w:rsidRPr="004A7FE1">
              <w:rPr>
                <w:rFonts w:ascii="Arial" w:hAnsi="Arial"/>
                <w:sz w:val="24"/>
              </w:rPr>
              <w:t>Harvest the adsorbed plasma using a transfer pipette.</w:t>
            </w:r>
          </w:p>
        </w:tc>
      </w:tr>
      <w:tr w:rsidR="000B6022" w:rsidRPr="004A7FE1" w:rsidTr="004A7FE1">
        <w:tc>
          <w:tcPr>
            <w:tcW w:w="8856" w:type="dxa"/>
            <w:shd w:val="clear" w:color="auto" w:fill="auto"/>
          </w:tcPr>
          <w:p w:rsidR="000B6022" w:rsidRPr="004A7FE1" w:rsidRDefault="000B6022" w:rsidP="004A7FE1">
            <w:pPr>
              <w:numPr>
                <w:ilvl w:val="1"/>
                <w:numId w:val="21"/>
              </w:numPr>
              <w:tabs>
                <w:tab w:val="clear" w:pos="1440"/>
                <w:tab w:val="num" w:pos="709"/>
              </w:tabs>
              <w:ind w:left="709"/>
              <w:rPr>
                <w:rFonts w:ascii="Arial" w:hAnsi="Arial"/>
                <w:sz w:val="24"/>
              </w:rPr>
            </w:pPr>
            <w:r w:rsidRPr="004A7FE1">
              <w:rPr>
                <w:rFonts w:ascii="Arial" w:hAnsi="Arial"/>
                <w:sz w:val="24"/>
              </w:rPr>
              <w:t>Test an aliquot of the adsorbed specimen at 37</w:t>
            </w:r>
            <w:r w:rsidRPr="004A7FE1">
              <w:rPr>
                <w:rFonts w:ascii="Arial" w:hAnsi="Arial" w:cs="Arial"/>
                <w:sz w:val="24"/>
              </w:rPr>
              <w:t>°</w:t>
            </w:r>
            <w:r w:rsidRPr="004A7FE1">
              <w:rPr>
                <w:rFonts w:ascii="Arial" w:hAnsi="Arial"/>
                <w:sz w:val="24"/>
              </w:rPr>
              <w:t>C and at the antiglobulin phase to determine if all warm-reactive autoantibody has been removed.  See 7.0 Reporting. If results indicate that adsorption was insufficient, repeat steps 6.7-6.8 using a new aliquot of treated patient red cells (see steps 6.1-6.6) and incubate for 60 minutes. If adsorption is complete, the adsorbed specimen is ready for use in antibody detection and identification.</w:t>
            </w:r>
          </w:p>
        </w:tc>
      </w:tr>
    </w:tbl>
    <w:p w:rsidR="00877414" w:rsidRDefault="00877414">
      <w:pPr>
        <w:rPr>
          <w:rFonts w:ascii="Arial" w:hAnsi="Arial"/>
          <w:sz w:val="24"/>
        </w:rPr>
      </w:pPr>
    </w:p>
    <w:p w:rsidR="00877414" w:rsidRDefault="00877414">
      <w:pPr>
        <w:numPr>
          <w:ilvl w:val="0"/>
          <w:numId w:val="8"/>
        </w:numPr>
        <w:outlineLvl w:val="0"/>
        <w:rPr>
          <w:rFonts w:ascii="Arial" w:hAnsi="Arial"/>
          <w:b/>
          <w:sz w:val="28"/>
        </w:rPr>
      </w:pPr>
      <w:r>
        <w:rPr>
          <w:rFonts w:ascii="Arial" w:hAnsi="Arial"/>
          <w:b/>
          <w:sz w:val="28"/>
        </w:rPr>
        <w:t>Reporting</w:t>
      </w:r>
    </w:p>
    <w:p w:rsidR="00877414" w:rsidRDefault="00877414">
      <w:pPr>
        <w:outlineLvl w:val="0"/>
        <w:rPr>
          <w:rFonts w:ascii="Arial" w:hAnsi="Arial"/>
          <w:b/>
          <w:sz w:val="28"/>
        </w:rPr>
      </w:pPr>
    </w:p>
    <w:p w:rsidR="00877414" w:rsidRDefault="00877414">
      <w:pPr>
        <w:numPr>
          <w:ilvl w:val="1"/>
          <w:numId w:val="22"/>
        </w:numPr>
        <w:rPr>
          <w:rFonts w:ascii="Arial" w:hAnsi="Arial"/>
          <w:sz w:val="24"/>
        </w:rPr>
      </w:pPr>
      <w:r>
        <w:rPr>
          <w:rFonts w:ascii="Arial" w:hAnsi="Arial"/>
          <w:sz w:val="24"/>
        </w:rPr>
        <w:t>Complete Adsorption:</w:t>
      </w:r>
    </w:p>
    <w:p w:rsidR="00877414" w:rsidRDefault="00877414">
      <w:pPr>
        <w:ind w:left="780"/>
        <w:rPr>
          <w:rFonts w:ascii="Arial" w:hAnsi="Arial"/>
          <w:sz w:val="24"/>
        </w:rPr>
      </w:pPr>
    </w:p>
    <w:p w:rsidR="00877414" w:rsidRDefault="00877414" w:rsidP="00B4273D">
      <w:pPr>
        <w:numPr>
          <w:ilvl w:val="2"/>
          <w:numId w:val="22"/>
        </w:numPr>
        <w:tabs>
          <w:tab w:val="clear" w:pos="2280"/>
          <w:tab w:val="num" w:pos="2694"/>
        </w:tabs>
        <w:ind w:left="2694" w:hanging="851"/>
        <w:rPr>
          <w:rFonts w:ascii="Arial" w:hAnsi="Arial"/>
          <w:sz w:val="24"/>
        </w:rPr>
      </w:pPr>
      <w:r>
        <w:rPr>
          <w:rFonts w:ascii="Arial" w:hAnsi="Arial"/>
          <w:sz w:val="24"/>
        </w:rPr>
        <w:t>Complete adsorption of warm-reactive autoantibo</w:t>
      </w:r>
      <w:r w:rsidR="003A6400">
        <w:rPr>
          <w:rFonts w:ascii="Arial" w:hAnsi="Arial"/>
          <w:sz w:val="24"/>
        </w:rPr>
        <w:t>dy has been achieved when the ad</w:t>
      </w:r>
      <w:r>
        <w:rPr>
          <w:rFonts w:ascii="Arial" w:hAnsi="Arial"/>
          <w:sz w:val="24"/>
        </w:rPr>
        <w:t>sorbed plasma no longer reacts where previously detected with both:</w:t>
      </w:r>
    </w:p>
    <w:p w:rsidR="00877414" w:rsidRDefault="00877414">
      <w:pPr>
        <w:ind w:left="1560"/>
        <w:rPr>
          <w:rFonts w:ascii="Arial" w:hAnsi="Arial"/>
          <w:sz w:val="24"/>
        </w:rPr>
      </w:pPr>
    </w:p>
    <w:p w:rsidR="00877414" w:rsidRDefault="00877414" w:rsidP="00B4273D">
      <w:pPr>
        <w:numPr>
          <w:ilvl w:val="0"/>
          <w:numId w:val="23"/>
        </w:numPr>
        <w:tabs>
          <w:tab w:val="clear" w:pos="2880"/>
          <w:tab w:val="num" w:pos="2977"/>
        </w:tabs>
        <w:ind w:hanging="186"/>
        <w:rPr>
          <w:rFonts w:ascii="Arial" w:hAnsi="Arial"/>
          <w:sz w:val="24"/>
        </w:rPr>
      </w:pPr>
      <w:r>
        <w:rPr>
          <w:rFonts w:ascii="Arial" w:hAnsi="Arial"/>
          <w:sz w:val="24"/>
        </w:rPr>
        <w:t>the patient’s own W.A.R.M.-treated red cells; and</w:t>
      </w:r>
    </w:p>
    <w:p w:rsidR="00877414" w:rsidRDefault="00877414">
      <w:pPr>
        <w:ind w:left="2280"/>
        <w:rPr>
          <w:rFonts w:ascii="Arial" w:hAnsi="Arial"/>
          <w:sz w:val="24"/>
        </w:rPr>
      </w:pPr>
    </w:p>
    <w:p w:rsidR="00877414" w:rsidRDefault="00877414" w:rsidP="00B4273D">
      <w:pPr>
        <w:numPr>
          <w:ilvl w:val="0"/>
          <w:numId w:val="23"/>
        </w:numPr>
        <w:tabs>
          <w:tab w:val="clear" w:pos="2880"/>
          <w:tab w:val="num" w:pos="2977"/>
        </w:tabs>
        <w:ind w:hanging="186"/>
        <w:rPr>
          <w:rFonts w:ascii="Arial" w:hAnsi="Arial"/>
          <w:sz w:val="24"/>
        </w:rPr>
      </w:pPr>
      <w:r>
        <w:rPr>
          <w:rFonts w:ascii="Arial" w:hAnsi="Arial"/>
          <w:sz w:val="24"/>
        </w:rPr>
        <w:t>reagent red cells that lack antigens toward which additional alloantibodies are directed.</w:t>
      </w:r>
    </w:p>
    <w:p w:rsidR="00877414" w:rsidRDefault="00877414">
      <w:pPr>
        <w:rPr>
          <w:rFonts w:ascii="Arial" w:hAnsi="Arial"/>
          <w:sz w:val="24"/>
        </w:rPr>
      </w:pPr>
    </w:p>
    <w:p w:rsidR="00877414" w:rsidRDefault="00877414">
      <w:pPr>
        <w:numPr>
          <w:ilvl w:val="1"/>
          <w:numId w:val="22"/>
        </w:numPr>
        <w:rPr>
          <w:rFonts w:ascii="Arial" w:hAnsi="Arial"/>
          <w:sz w:val="24"/>
        </w:rPr>
      </w:pPr>
      <w:r>
        <w:rPr>
          <w:rFonts w:ascii="Arial" w:hAnsi="Arial"/>
          <w:sz w:val="24"/>
        </w:rPr>
        <w:t>Incomplete Adsorption:</w:t>
      </w:r>
    </w:p>
    <w:p w:rsidR="00877414" w:rsidRDefault="00877414">
      <w:pPr>
        <w:ind w:left="780"/>
        <w:rPr>
          <w:rFonts w:ascii="Arial" w:hAnsi="Arial"/>
          <w:sz w:val="24"/>
        </w:rPr>
      </w:pPr>
    </w:p>
    <w:p w:rsidR="00B4273D" w:rsidRDefault="00877414" w:rsidP="00B4273D">
      <w:pPr>
        <w:numPr>
          <w:ilvl w:val="2"/>
          <w:numId w:val="22"/>
        </w:numPr>
        <w:tabs>
          <w:tab w:val="clear" w:pos="2280"/>
          <w:tab w:val="num" w:pos="2694"/>
        </w:tabs>
        <w:ind w:left="2694" w:hanging="851"/>
        <w:rPr>
          <w:rFonts w:ascii="Arial" w:hAnsi="Arial"/>
          <w:sz w:val="24"/>
        </w:rPr>
      </w:pPr>
      <w:r>
        <w:rPr>
          <w:rFonts w:ascii="Arial" w:hAnsi="Arial"/>
          <w:sz w:val="24"/>
        </w:rPr>
        <w:t xml:space="preserve">If warm-reactive autoantibody has not been sufficiently removed, </w:t>
      </w:r>
      <w:r w:rsidR="003A6400">
        <w:rPr>
          <w:rFonts w:ascii="Arial" w:hAnsi="Arial"/>
          <w:sz w:val="24"/>
        </w:rPr>
        <w:t>or the autoantibody cannot be ad</w:t>
      </w:r>
      <w:r>
        <w:rPr>
          <w:rFonts w:ascii="Arial" w:hAnsi="Arial"/>
          <w:sz w:val="24"/>
        </w:rPr>
        <w:t>sorbed by W.A.R.M.-treated cells, agglutination will be detected when the plasma is tested as in a or b above.</w:t>
      </w:r>
    </w:p>
    <w:p w:rsidR="00B4273D" w:rsidRDefault="00B4273D" w:rsidP="00B4273D">
      <w:pPr>
        <w:ind w:left="2694"/>
        <w:rPr>
          <w:rFonts w:ascii="Arial" w:hAnsi="Arial"/>
          <w:sz w:val="24"/>
        </w:rPr>
      </w:pPr>
    </w:p>
    <w:p w:rsidR="00877414" w:rsidRPr="00B4273D" w:rsidRDefault="00877414" w:rsidP="00B4273D">
      <w:pPr>
        <w:ind w:left="2694"/>
        <w:rPr>
          <w:rFonts w:ascii="Arial" w:hAnsi="Arial"/>
          <w:sz w:val="24"/>
        </w:rPr>
      </w:pPr>
      <w:r w:rsidRPr="00B4273D">
        <w:rPr>
          <w:rFonts w:ascii="Arial" w:hAnsi="Arial"/>
          <w:b/>
          <w:sz w:val="24"/>
        </w:rPr>
        <w:t>Note:</w:t>
      </w:r>
      <w:r w:rsidRPr="00B4273D">
        <w:rPr>
          <w:rFonts w:ascii="Arial" w:hAnsi="Arial"/>
          <w:sz w:val="24"/>
        </w:rPr>
        <w:t xml:space="preserve"> Complete adsorption o</w:t>
      </w:r>
      <w:r w:rsidR="00B4273D">
        <w:rPr>
          <w:rFonts w:ascii="Arial" w:hAnsi="Arial"/>
          <w:sz w:val="24"/>
        </w:rPr>
        <w:t xml:space="preserve">f warm-reactive autoantibodies </w:t>
      </w:r>
      <w:r w:rsidRPr="00B4273D">
        <w:rPr>
          <w:rFonts w:ascii="Arial" w:hAnsi="Arial"/>
          <w:sz w:val="24"/>
        </w:rPr>
        <w:t xml:space="preserve">may not always be possible. However, in some instances, only partial adsorption of the autoantibody may be sufficient to reveal underlying </w:t>
      </w:r>
      <w:r w:rsidR="00DD1B4B" w:rsidRPr="00B4273D">
        <w:rPr>
          <w:rFonts w:ascii="Arial" w:hAnsi="Arial"/>
          <w:sz w:val="24"/>
        </w:rPr>
        <w:t>allo</w:t>
      </w:r>
      <w:r w:rsidRPr="00B4273D">
        <w:rPr>
          <w:rFonts w:ascii="Arial" w:hAnsi="Arial"/>
          <w:sz w:val="24"/>
        </w:rPr>
        <w:t>autoantibody (ies) that might also be present.</w:t>
      </w:r>
    </w:p>
    <w:p w:rsidR="00B4273D" w:rsidRDefault="00B4273D" w:rsidP="00B4273D">
      <w:pPr>
        <w:ind w:left="360"/>
        <w:rPr>
          <w:rFonts w:ascii="Arial" w:hAnsi="Arial"/>
          <w:b/>
          <w:sz w:val="28"/>
        </w:rPr>
      </w:pPr>
    </w:p>
    <w:p w:rsidR="00877414" w:rsidRDefault="00877414">
      <w:pPr>
        <w:numPr>
          <w:ilvl w:val="0"/>
          <w:numId w:val="8"/>
        </w:numPr>
        <w:rPr>
          <w:rFonts w:ascii="Arial" w:hAnsi="Arial"/>
          <w:b/>
          <w:sz w:val="28"/>
        </w:rPr>
      </w:pPr>
      <w:r>
        <w:rPr>
          <w:rFonts w:ascii="Arial" w:hAnsi="Arial"/>
          <w:b/>
          <w:sz w:val="28"/>
        </w:rPr>
        <w:t>Procedural Notes</w:t>
      </w:r>
    </w:p>
    <w:p w:rsidR="00877414" w:rsidRDefault="00877414">
      <w:pPr>
        <w:rPr>
          <w:rFonts w:ascii="Arial" w:hAnsi="Arial"/>
          <w:b/>
          <w:sz w:val="24"/>
        </w:rPr>
      </w:pPr>
    </w:p>
    <w:p w:rsidR="00877414" w:rsidRPr="00F505E6" w:rsidRDefault="00877414">
      <w:pPr>
        <w:pStyle w:val="BodyTextIndent"/>
        <w:numPr>
          <w:ilvl w:val="1"/>
          <w:numId w:val="24"/>
        </w:numPr>
      </w:pPr>
      <w:r w:rsidRPr="00F505E6">
        <w:t>Limitations:</w:t>
      </w:r>
    </w:p>
    <w:p w:rsidR="00877414" w:rsidRDefault="00877414">
      <w:pPr>
        <w:pStyle w:val="BodyTextIndent"/>
        <w:ind w:firstLine="0"/>
        <w:rPr>
          <w:sz w:val="20"/>
        </w:rPr>
      </w:pPr>
    </w:p>
    <w:p w:rsidR="00877414" w:rsidRDefault="00877414" w:rsidP="00B4273D">
      <w:pPr>
        <w:pStyle w:val="BodyTextIndent"/>
        <w:numPr>
          <w:ilvl w:val="2"/>
          <w:numId w:val="24"/>
        </w:numPr>
        <w:tabs>
          <w:tab w:val="clear" w:pos="2160"/>
          <w:tab w:val="num" w:pos="2694"/>
        </w:tabs>
        <w:ind w:left="2694" w:hanging="851"/>
      </w:pPr>
      <w:r>
        <w:t xml:space="preserve">Some autoantibodies are directed toward </w:t>
      </w:r>
      <w:r w:rsidR="00DD1B4B">
        <w:t xml:space="preserve">Kell system antigens or </w:t>
      </w:r>
      <w:r>
        <w:t>enzyme sensitive antigens, such as M or Xg</w:t>
      </w:r>
      <w:r w:rsidRPr="00DD1B4B">
        <w:rPr>
          <w:vertAlign w:val="superscript"/>
        </w:rPr>
        <w:t>a</w:t>
      </w:r>
      <w:r w:rsidR="00B4273D">
        <w:t>.</w:t>
      </w:r>
      <w:r>
        <w:t xml:space="preserve"> Since W.A.R.M. treatment destroys these antigens, autoadsorption using W.A.R.M.-treated cells will not remove the corresponding autoantibody.</w:t>
      </w:r>
    </w:p>
    <w:p w:rsidR="00877414" w:rsidRDefault="00877414">
      <w:pPr>
        <w:pStyle w:val="BodyTextIndent"/>
        <w:ind w:left="0" w:firstLine="0"/>
        <w:rPr>
          <w:sz w:val="20"/>
        </w:rPr>
      </w:pPr>
    </w:p>
    <w:p w:rsidR="00877414" w:rsidRDefault="00877414" w:rsidP="00B4273D">
      <w:pPr>
        <w:pStyle w:val="BodyTextIndent"/>
        <w:numPr>
          <w:ilvl w:val="2"/>
          <w:numId w:val="24"/>
        </w:numPr>
        <w:tabs>
          <w:tab w:val="clear" w:pos="2160"/>
          <w:tab w:val="num" w:pos="2694"/>
        </w:tabs>
        <w:ind w:left="2694" w:hanging="851"/>
      </w:pPr>
      <w:r>
        <w:t>The use of W.A.R.M.-treated red cells for antigen typing is not recommended since commercial antisera may or may not be specific when tested in this manner.</w:t>
      </w:r>
    </w:p>
    <w:p w:rsidR="00877414" w:rsidRDefault="00877414" w:rsidP="00B4273D">
      <w:pPr>
        <w:pStyle w:val="BodyTextIndent"/>
        <w:numPr>
          <w:ilvl w:val="2"/>
          <w:numId w:val="24"/>
        </w:numPr>
        <w:tabs>
          <w:tab w:val="clear" w:pos="2160"/>
          <w:tab w:val="num" w:pos="2694"/>
        </w:tabs>
        <w:ind w:left="2694" w:hanging="851"/>
      </w:pPr>
      <w:r>
        <w:t xml:space="preserve">On occasion, it is possible that a warm-reactive autoantibody will not be completely adsorbed by W.A.R.M.-treated red cells. As a result, it may not be possible to assign a definitive specificity to those reactions </w:t>
      </w:r>
      <w:r w:rsidR="00B4273D">
        <w:t xml:space="preserve">obtained following adsorption. </w:t>
      </w:r>
      <w:r>
        <w:t>Further complete adsorption of warm-reactive autoantibodies does not assure that those antibodies remaining in the adsorbed plasma can be readily identified.</w:t>
      </w:r>
    </w:p>
    <w:p w:rsidR="00877414" w:rsidRDefault="00877414">
      <w:pPr>
        <w:pStyle w:val="BodyTextIndent"/>
        <w:ind w:firstLine="0"/>
        <w:rPr>
          <w:sz w:val="20"/>
        </w:rPr>
      </w:pPr>
    </w:p>
    <w:p w:rsidR="00877414" w:rsidRDefault="00877414" w:rsidP="00B4273D">
      <w:pPr>
        <w:pStyle w:val="BodyTextIndent"/>
        <w:numPr>
          <w:ilvl w:val="2"/>
          <w:numId w:val="24"/>
        </w:numPr>
        <w:tabs>
          <w:tab w:val="clear" w:pos="2160"/>
          <w:tab w:val="num" w:pos="2694"/>
        </w:tabs>
        <w:ind w:left="2694" w:hanging="851"/>
      </w:pPr>
      <w:r>
        <w:t>Crossmatches performed on a W.A.R.M. autoadsorbed plasma cannot be considered “compatible”, since the antibodies removed by W.A.R.M. autoadsorption procedures are active at 37</w:t>
      </w:r>
      <w:r w:rsidR="00F505E6">
        <w:rPr>
          <w:rFonts w:cs="Arial"/>
        </w:rPr>
        <w:t>°</w:t>
      </w:r>
      <w:r>
        <w:t>C. Any warm autoadsorption procedure serves only as an aid in the detection and identification of underlying alloantibodies potentially masked by a warm-reactive autoantibody.</w:t>
      </w:r>
    </w:p>
    <w:p w:rsidR="00877414" w:rsidRDefault="00877414">
      <w:pPr>
        <w:pStyle w:val="BodyTextIndent"/>
        <w:ind w:firstLine="0"/>
        <w:rPr>
          <w:sz w:val="20"/>
        </w:rPr>
      </w:pPr>
    </w:p>
    <w:p w:rsidR="00B4273D" w:rsidRDefault="00877414" w:rsidP="00B4273D">
      <w:pPr>
        <w:pStyle w:val="BodyTextIndent"/>
        <w:numPr>
          <w:ilvl w:val="2"/>
          <w:numId w:val="24"/>
        </w:numPr>
        <w:tabs>
          <w:tab w:val="clear" w:pos="2160"/>
          <w:tab w:val="num" w:pos="2694"/>
        </w:tabs>
        <w:ind w:left="2694" w:hanging="851"/>
      </w:pPr>
      <w:r>
        <w:t xml:space="preserve">Because the potential exists for adsorption of </w:t>
      </w:r>
      <w:r w:rsidR="00DD1B4B">
        <w:t xml:space="preserve">clinically </w:t>
      </w:r>
      <w:r>
        <w:t>significant alloantibodies onto transfused red cells, the results of autoadsorption procedures performed on samples from recently transfused patients should be interpreted with caution.</w:t>
      </w:r>
    </w:p>
    <w:p w:rsidR="00B4273D" w:rsidRPr="00623D2E" w:rsidRDefault="00B4273D" w:rsidP="00B4273D">
      <w:pPr>
        <w:pStyle w:val="ListParagraph"/>
        <w:rPr>
          <w:b/>
          <w:sz w:val="24"/>
        </w:rPr>
      </w:pPr>
    </w:p>
    <w:p w:rsidR="00B4273D" w:rsidRPr="00B4273D" w:rsidRDefault="00877414" w:rsidP="00B4273D">
      <w:pPr>
        <w:pStyle w:val="BodyTextIndent"/>
        <w:numPr>
          <w:ilvl w:val="0"/>
          <w:numId w:val="24"/>
        </w:numPr>
      </w:pPr>
      <w:r w:rsidRPr="00B4273D">
        <w:rPr>
          <w:b/>
          <w:sz w:val="28"/>
        </w:rPr>
        <w:t>References</w:t>
      </w:r>
    </w:p>
    <w:p w:rsidR="00B4273D" w:rsidRPr="00B4273D" w:rsidRDefault="00B4273D" w:rsidP="00B4273D">
      <w:pPr>
        <w:pStyle w:val="BodyTextIndent"/>
        <w:ind w:firstLine="0"/>
      </w:pPr>
    </w:p>
    <w:p w:rsidR="00B4273D" w:rsidRDefault="00DD1B4B" w:rsidP="00B4273D">
      <w:pPr>
        <w:pStyle w:val="BodyTextIndent"/>
        <w:numPr>
          <w:ilvl w:val="1"/>
          <w:numId w:val="24"/>
        </w:numPr>
      </w:pPr>
      <w:r w:rsidRPr="00B4273D">
        <w:rPr>
          <w:lang w:val="fr-CA"/>
        </w:rPr>
        <w:t>Roback JD</w:t>
      </w:r>
      <w:r w:rsidR="00877414" w:rsidRPr="00B4273D">
        <w:rPr>
          <w:lang w:val="fr-CA"/>
        </w:rPr>
        <w:t>, ed.</w:t>
      </w:r>
      <w:r w:rsidRPr="00B4273D">
        <w:rPr>
          <w:lang w:val="fr-CA"/>
        </w:rPr>
        <w:t>AABB</w:t>
      </w:r>
      <w:r w:rsidR="00877414" w:rsidRPr="00B4273D">
        <w:rPr>
          <w:lang w:val="fr-CA"/>
        </w:rPr>
        <w:t xml:space="preserve"> </w:t>
      </w:r>
      <w:r w:rsidR="00877414" w:rsidRPr="00B4273D">
        <w:t>Technical manual, 1</w:t>
      </w:r>
      <w:r w:rsidRPr="00B4273D">
        <w:t>7</w:t>
      </w:r>
      <w:r w:rsidR="00877414" w:rsidRPr="00B4273D">
        <w:rPr>
          <w:vertAlign w:val="superscript"/>
        </w:rPr>
        <w:t>th</w:t>
      </w:r>
      <w:r w:rsidR="00877414" w:rsidRPr="00B4273D">
        <w:t xml:space="preserve"> ed. Bethesda, MD: American Association of Blood Banks</w:t>
      </w:r>
      <w:r w:rsidRPr="00B4273D">
        <w:t>: 2011:</w:t>
      </w:r>
      <w:r w:rsidR="004E0A02" w:rsidRPr="00B4273D">
        <w:t>506-508.</w:t>
      </w:r>
    </w:p>
    <w:p w:rsidR="00B4273D" w:rsidRDefault="00B4273D" w:rsidP="00B4273D">
      <w:pPr>
        <w:pStyle w:val="BodyTextIndent"/>
        <w:ind w:firstLine="0"/>
      </w:pPr>
    </w:p>
    <w:p w:rsidR="00B4273D" w:rsidRDefault="00877414" w:rsidP="00B4273D">
      <w:pPr>
        <w:pStyle w:val="BodyTextIndent"/>
        <w:numPr>
          <w:ilvl w:val="1"/>
          <w:numId w:val="24"/>
        </w:numPr>
      </w:pPr>
      <w:r w:rsidRPr="00B4273D">
        <w:t>Issitt PD, Anstee DJ.  Applied blood group serology. 4</w:t>
      </w:r>
      <w:r w:rsidRPr="00B4273D">
        <w:rPr>
          <w:vertAlign w:val="superscript"/>
        </w:rPr>
        <w:t>th</w:t>
      </w:r>
      <w:r w:rsidRPr="00B4273D">
        <w:t xml:space="preserve"> ed. Durham, NC: Montgomery Scientific Publications, 1998. </w:t>
      </w:r>
    </w:p>
    <w:p w:rsidR="00B4273D" w:rsidRDefault="00B4273D" w:rsidP="00B4273D">
      <w:pPr>
        <w:pStyle w:val="BodyTextIndent"/>
        <w:ind w:firstLine="0"/>
      </w:pPr>
    </w:p>
    <w:p w:rsidR="00877414" w:rsidRDefault="00687811" w:rsidP="00B4273D">
      <w:pPr>
        <w:pStyle w:val="BodyTextIndent"/>
        <w:numPr>
          <w:ilvl w:val="1"/>
          <w:numId w:val="24"/>
        </w:numPr>
      </w:pPr>
      <w:r w:rsidRPr="00B4273D">
        <w:t>R</w:t>
      </w:r>
      <w:r w:rsidR="00877414" w:rsidRPr="00B4273D">
        <w:t>efer to current manufacturer</w:t>
      </w:r>
      <w:r w:rsidR="004E0A02" w:rsidRPr="00B4273D">
        <w:t>’</w:t>
      </w:r>
      <w:r w:rsidR="00877414" w:rsidRPr="00B4273D">
        <w:t>s insert for W.A.R.M.</w:t>
      </w:r>
    </w:p>
    <w:p w:rsidR="00B4273D" w:rsidRDefault="00B4273D" w:rsidP="00B4273D">
      <w:pPr>
        <w:pStyle w:val="ListParagraph"/>
      </w:pPr>
    </w:p>
    <w:p w:rsidR="00B4273D" w:rsidRDefault="00B4273D" w:rsidP="00B4273D">
      <w:pPr>
        <w:pStyle w:val="BodyTextIndent"/>
        <w:numPr>
          <w:ilvl w:val="0"/>
          <w:numId w:val="24"/>
        </w:numPr>
        <w:rPr>
          <w:b/>
          <w:sz w:val="28"/>
        </w:rPr>
      </w:pPr>
      <w:r w:rsidRPr="00B4273D">
        <w:rPr>
          <w:b/>
          <w:sz w:val="28"/>
        </w:rPr>
        <w:t>Revision History</w:t>
      </w:r>
    </w:p>
    <w:p w:rsidR="00623D2E" w:rsidRDefault="00623D2E" w:rsidP="00623D2E">
      <w:pPr>
        <w:pStyle w:val="BodyTextIndent"/>
        <w:ind w:left="720" w:firstLine="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B4273D" w:rsidRPr="004A7FE1" w:rsidTr="009243D6">
        <w:tc>
          <w:tcPr>
            <w:tcW w:w="3085" w:type="dxa"/>
            <w:shd w:val="clear" w:color="auto" w:fill="D9D9D9"/>
          </w:tcPr>
          <w:p w:rsidR="00B4273D" w:rsidRPr="004A7FE1" w:rsidRDefault="00B4273D" w:rsidP="004A7FE1">
            <w:pPr>
              <w:pStyle w:val="BodyTextIndent"/>
              <w:ind w:left="0" w:firstLine="0"/>
              <w:jc w:val="center"/>
              <w:rPr>
                <w:b/>
                <w:sz w:val="22"/>
              </w:rPr>
            </w:pPr>
            <w:r w:rsidRPr="004A7FE1">
              <w:rPr>
                <w:b/>
                <w:sz w:val="22"/>
              </w:rPr>
              <w:t>Revision Date</w:t>
            </w:r>
          </w:p>
        </w:tc>
        <w:tc>
          <w:tcPr>
            <w:tcW w:w="5771" w:type="dxa"/>
            <w:shd w:val="clear" w:color="auto" w:fill="D9D9D9"/>
          </w:tcPr>
          <w:p w:rsidR="00B4273D" w:rsidRPr="004A7FE1" w:rsidRDefault="00B4273D" w:rsidP="004A7FE1">
            <w:pPr>
              <w:pStyle w:val="BodyTextIndent"/>
              <w:ind w:left="0" w:firstLine="0"/>
              <w:jc w:val="center"/>
              <w:rPr>
                <w:b/>
                <w:sz w:val="22"/>
              </w:rPr>
            </w:pPr>
            <w:r w:rsidRPr="004A7FE1">
              <w:rPr>
                <w:b/>
                <w:sz w:val="22"/>
              </w:rPr>
              <w:t>Summary of Revision</w:t>
            </w:r>
          </w:p>
        </w:tc>
      </w:tr>
      <w:tr w:rsidR="00B4273D" w:rsidRPr="004A7FE1" w:rsidTr="009243D6">
        <w:tc>
          <w:tcPr>
            <w:tcW w:w="3085" w:type="dxa"/>
            <w:shd w:val="clear" w:color="auto" w:fill="auto"/>
          </w:tcPr>
          <w:p w:rsidR="00B4273D" w:rsidRPr="004A7FE1" w:rsidRDefault="00B4273D" w:rsidP="004A7FE1">
            <w:pPr>
              <w:pStyle w:val="BodyTextIndent"/>
              <w:ind w:left="0" w:firstLine="0"/>
              <w:rPr>
                <w:sz w:val="22"/>
              </w:rPr>
            </w:pPr>
            <w:r w:rsidRPr="004A7FE1">
              <w:rPr>
                <w:sz w:val="22"/>
              </w:rPr>
              <w:t>September 1, 2014</w:t>
            </w:r>
          </w:p>
        </w:tc>
        <w:tc>
          <w:tcPr>
            <w:tcW w:w="5771" w:type="dxa"/>
            <w:shd w:val="clear" w:color="auto" w:fill="auto"/>
          </w:tcPr>
          <w:p w:rsidR="00B4273D" w:rsidRPr="004A7FE1" w:rsidRDefault="00B4273D" w:rsidP="004A7FE1">
            <w:pPr>
              <w:pStyle w:val="BodyTextIndent"/>
              <w:numPr>
                <w:ilvl w:val="0"/>
                <w:numId w:val="29"/>
              </w:numPr>
              <w:rPr>
                <w:sz w:val="22"/>
              </w:rPr>
            </w:pPr>
            <w:r w:rsidRPr="004A7FE1">
              <w:rPr>
                <w:sz w:val="22"/>
              </w:rPr>
              <w:t>Revised name of manual</w:t>
            </w:r>
          </w:p>
          <w:p w:rsidR="00B4273D" w:rsidRPr="004A7FE1" w:rsidRDefault="00B4273D" w:rsidP="004A7FE1">
            <w:pPr>
              <w:pStyle w:val="BodyTextIndent"/>
              <w:numPr>
                <w:ilvl w:val="0"/>
                <w:numId w:val="29"/>
              </w:numPr>
              <w:rPr>
                <w:sz w:val="22"/>
              </w:rPr>
            </w:pPr>
            <w:r w:rsidRPr="004A7FE1">
              <w:rPr>
                <w:sz w:val="22"/>
              </w:rPr>
              <w:t>Specified “allogeneic adsorption” in section 2.3</w:t>
            </w:r>
          </w:p>
          <w:p w:rsidR="00B4273D" w:rsidRPr="004A7FE1" w:rsidRDefault="00B4273D" w:rsidP="004A7FE1">
            <w:pPr>
              <w:pStyle w:val="BodyTextIndent"/>
              <w:numPr>
                <w:ilvl w:val="0"/>
                <w:numId w:val="29"/>
              </w:numPr>
              <w:rPr>
                <w:sz w:val="22"/>
              </w:rPr>
            </w:pPr>
            <w:r w:rsidRPr="004A7FE1">
              <w:rPr>
                <w:sz w:val="22"/>
              </w:rPr>
              <w:t xml:space="preserve">Revised wording to include “in patients where pre-transfusion autologous cells are not available” in section 2.3 </w:t>
            </w:r>
          </w:p>
          <w:p w:rsidR="00B4273D" w:rsidRPr="004A7FE1" w:rsidRDefault="00B4273D" w:rsidP="004A7FE1">
            <w:pPr>
              <w:pStyle w:val="BodyTextIndent"/>
              <w:numPr>
                <w:ilvl w:val="0"/>
                <w:numId w:val="29"/>
              </w:numPr>
              <w:rPr>
                <w:sz w:val="22"/>
              </w:rPr>
            </w:pPr>
            <w:r w:rsidRPr="004A7FE1">
              <w:rPr>
                <w:sz w:val="22"/>
              </w:rPr>
              <w:t>Revised wording of section 3.0</w:t>
            </w:r>
          </w:p>
          <w:p w:rsidR="00B4273D" w:rsidRPr="004A7FE1" w:rsidRDefault="00B4273D" w:rsidP="004A7FE1">
            <w:pPr>
              <w:pStyle w:val="BodyTextIndent"/>
              <w:numPr>
                <w:ilvl w:val="0"/>
                <w:numId w:val="29"/>
              </w:numPr>
              <w:rPr>
                <w:sz w:val="22"/>
              </w:rPr>
            </w:pPr>
            <w:r w:rsidRPr="004A7FE1">
              <w:rPr>
                <w:sz w:val="22"/>
              </w:rPr>
              <w:t xml:space="preserve">Changed “normal saline” to “0.9% saline” in section 4.0- </w:t>
            </w:r>
            <w:r w:rsidRPr="004A7FE1">
              <w:rPr>
                <w:i/>
                <w:sz w:val="22"/>
              </w:rPr>
              <w:t>Reagents</w:t>
            </w:r>
          </w:p>
          <w:p w:rsidR="00B4273D" w:rsidRPr="004A7FE1" w:rsidRDefault="00623D2E" w:rsidP="004A7FE1">
            <w:pPr>
              <w:pStyle w:val="BodyTextIndent"/>
              <w:numPr>
                <w:ilvl w:val="0"/>
                <w:numId w:val="29"/>
              </w:numPr>
              <w:rPr>
                <w:sz w:val="22"/>
              </w:rPr>
            </w:pPr>
            <w:r w:rsidRPr="004A7FE1">
              <w:rPr>
                <w:sz w:val="22"/>
              </w:rPr>
              <w:t>Changed incubation temperature to 37</w:t>
            </w:r>
            <w:r w:rsidRPr="004A7FE1">
              <w:rPr>
                <w:rFonts w:cs="Arial"/>
                <w:sz w:val="22"/>
              </w:rPr>
              <w:t>º</w:t>
            </w:r>
            <w:r w:rsidRPr="004A7FE1">
              <w:rPr>
                <w:sz w:val="22"/>
              </w:rPr>
              <w:t>C in sections 6.5, 6.8 &amp; 6.11</w:t>
            </w:r>
          </w:p>
          <w:p w:rsidR="00623D2E" w:rsidRPr="004A7FE1" w:rsidRDefault="00623D2E" w:rsidP="004A7FE1">
            <w:pPr>
              <w:pStyle w:val="BodyTextIndent"/>
              <w:numPr>
                <w:ilvl w:val="0"/>
                <w:numId w:val="29"/>
              </w:numPr>
              <w:rPr>
                <w:sz w:val="22"/>
              </w:rPr>
            </w:pPr>
            <w:r w:rsidRPr="004A7FE1">
              <w:rPr>
                <w:sz w:val="22"/>
              </w:rPr>
              <w:t>Revised and renumbered section 8.0</w:t>
            </w:r>
          </w:p>
          <w:p w:rsidR="00623D2E" w:rsidRPr="004A7FE1" w:rsidRDefault="00623D2E" w:rsidP="004A7FE1">
            <w:pPr>
              <w:pStyle w:val="BodyTextIndent"/>
              <w:numPr>
                <w:ilvl w:val="0"/>
                <w:numId w:val="29"/>
              </w:numPr>
              <w:rPr>
                <w:sz w:val="22"/>
              </w:rPr>
            </w:pPr>
            <w:r w:rsidRPr="004A7FE1">
              <w:rPr>
                <w:sz w:val="22"/>
              </w:rPr>
              <w:t>Updated list of references to include most recent editions</w:t>
            </w:r>
          </w:p>
        </w:tc>
      </w:tr>
    </w:tbl>
    <w:p w:rsidR="00B4273D" w:rsidRPr="00B4273D" w:rsidRDefault="00B4273D" w:rsidP="00B4273D">
      <w:pPr>
        <w:pStyle w:val="BodyTextIndent"/>
        <w:ind w:left="0" w:firstLine="0"/>
        <w:rPr>
          <w:sz w:val="22"/>
        </w:rPr>
      </w:pPr>
    </w:p>
    <w:sectPr w:rsidR="00B4273D" w:rsidRPr="00B4273D">
      <w:headerReference w:type="default" r:id="rId8"/>
      <w:footerReference w:type="default" r:id="rId9"/>
      <w:headerReference w:type="first" r:id="rId10"/>
      <w:footerReference w:type="first" r:id="rId11"/>
      <w:pgSz w:w="12240" w:h="15840" w:code="1"/>
      <w:pgMar w:top="1267" w:right="1800" w:bottom="1440"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78" w:rsidRDefault="006C1878">
      <w:r>
        <w:separator/>
      </w:r>
    </w:p>
  </w:endnote>
  <w:endnote w:type="continuationSeparator" w:id="0">
    <w:p w:rsidR="006C1878" w:rsidRDefault="006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D1B4B">
      <w:trPr>
        <w:trHeight w:val="720"/>
      </w:trPr>
      <w:tc>
        <w:tcPr>
          <w:tcW w:w="1368" w:type="dxa"/>
        </w:tcPr>
        <w:p w:rsidR="00DD1B4B" w:rsidRDefault="00DD1B4B">
          <w:pPr>
            <w:pStyle w:val="Footer"/>
            <w:jc w:val="center"/>
            <w:rPr>
              <w:sz w:val="8"/>
            </w:rPr>
          </w:pPr>
        </w:p>
        <w:p w:rsidR="00DD1B4B" w:rsidRDefault="00BB125A">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DD1B4B" w:rsidRDefault="00DD1B4B">
          <w:pPr>
            <w:pStyle w:val="Footer"/>
            <w:jc w:val="center"/>
            <w:rPr>
              <w:rFonts w:ascii="Arial" w:hAnsi="Arial"/>
              <w:sz w:val="18"/>
            </w:rPr>
          </w:pPr>
        </w:p>
        <w:p w:rsidR="00DD1B4B" w:rsidRDefault="00DD1B4B">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DD1B4B" w:rsidRDefault="004E0A02">
          <w:pPr>
            <w:pStyle w:val="Footer"/>
            <w:jc w:val="center"/>
            <w:rPr>
              <w:rFonts w:ascii="Arial" w:hAnsi="Arial"/>
              <w:sz w:val="18"/>
            </w:rPr>
          </w:pPr>
          <w:r>
            <w:rPr>
              <w:rFonts w:ascii="Arial" w:hAnsi="Arial"/>
              <w:sz w:val="18"/>
            </w:rPr>
            <w:t>Transfusion Technical Resource</w:t>
          </w:r>
          <w:r w:rsidR="00DD1B4B">
            <w:rPr>
              <w:rFonts w:ascii="Arial" w:hAnsi="Arial"/>
              <w:sz w:val="18"/>
            </w:rPr>
            <w:t xml:space="preserve"> Manual</w:t>
          </w:r>
        </w:p>
        <w:p w:rsidR="00DD1B4B" w:rsidRDefault="00DD1B4B">
          <w:pPr>
            <w:pStyle w:val="Footer"/>
            <w:jc w:val="center"/>
            <w:rPr>
              <w:rFonts w:ascii="Arial" w:hAnsi="Arial"/>
              <w:sz w:val="18"/>
            </w:rPr>
          </w:pPr>
        </w:p>
        <w:p w:rsidR="00DD1B4B" w:rsidRDefault="00DD1B4B">
          <w:pPr>
            <w:pStyle w:val="Footer"/>
            <w:rPr>
              <w:rFonts w:ascii="Arial" w:hAnsi="Arial"/>
              <w:sz w:val="18"/>
            </w:rPr>
          </w:pPr>
        </w:p>
      </w:tc>
      <w:tc>
        <w:tcPr>
          <w:tcW w:w="1494" w:type="dxa"/>
        </w:tcPr>
        <w:p w:rsidR="00DD1B4B" w:rsidRDefault="00DD1B4B">
          <w:pPr>
            <w:pStyle w:val="Footer"/>
            <w:jc w:val="right"/>
            <w:rPr>
              <w:rFonts w:ascii="Arial" w:hAnsi="Arial"/>
              <w:sz w:val="18"/>
            </w:rPr>
          </w:pPr>
        </w:p>
        <w:p w:rsidR="00DD1B4B" w:rsidRDefault="00DD1B4B">
          <w:pPr>
            <w:pStyle w:val="Footer"/>
            <w:jc w:val="right"/>
            <w:rPr>
              <w:rFonts w:ascii="Arial" w:hAnsi="Arial"/>
              <w:sz w:val="18"/>
            </w:rPr>
          </w:pPr>
          <w:r>
            <w:rPr>
              <w:rFonts w:ascii="Arial" w:hAnsi="Arial"/>
              <w:sz w:val="18"/>
            </w:rPr>
            <w:t xml:space="preserve">SP.013 </w:t>
          </w:r>
          <w:r>
            <w:rPr>
              <w:rFonts w:ascii="Arial" w:hAnsi="Arial"/>
              <w:sz w:val="18"/>
            </w:rPr>
            <w:br/>
          </w:r>
        </w:p>
        <w:p w:rsidR="00DD1B4B" w:rsidRDefault="00DD1B4B">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972AE8">
            <w:rPr>
              <w:rFonts w:ascii="Arial" w:hAnsi="Arial"/>
              <w:noProof/>
              <w:snapToGrid w:val="0"/>
              <w:sz w:val="18"/>
            </w:rPr>
            <w:t>6</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972AE8">
            <w:rPr>
              <w:rFonts w:ascii="Arial" w:hAnsi="Arial"/>
              <w:noProof/>
              <w:snapToGrid w:val="0"/>
              <w:sz w:val="18"/>
            </w:rPr>
            <w:t>6</w:t>
          </w:r>
          <w:r>
            <w:rPr>
              <w:rFonts w:ascii="Arial" w:hAnsi="Arial"/>
              <w:snapToGrid w:val="0"/>
              <w:sz w:val="18"/>
            </w:rPr>
            <w:fldChar w:fldCharType="end"/>
          </w:r>
        </w:p>
      </w:tc>
    </w:tr>
  </w:tbl>
  <w:p w:rsidR="00DD1B4B" w:rsidRDefault="00DD1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D1B4B">
      <w:trPr>
        <w:trHeight w:val="720"/>
      </w:trPr>
      <w:tc>
        <w:tcPr>
          <w:tcW w:w="1368" w:type="dxa"/>
        </w:tcPr>
        <w:p w:rsidR="00DD1B4B" w:rsidRDefault="00DD1B4B">
          <w:pPr>
            <w:pStyle w:val="Footer"/>
            <w:jc w:val="center"/>
            <w:rPr>
              <w:rFonts w:ascii="Verdana" w:hAnsi="Verdana"/>
              <w:sz w:val="8"/>
            </w:rPr>
          </w:pPr>
        </w:p>
        <w:p w:rsidR="00DD1B4B" w:rsidRDefault="00BB125A">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DD1B4B" w:rsidRDefault="00DD1B4B">
          <w:pPr>
            <w:pStyle w:val="Footer"/>
            <w:jc w:val="center"/>
            <w:rPr>
              <w:rFonts w:ascii="Arial" w:hAnsi="Arial"/>
              <w:sz w:val="18"/>
            </w:rPr>
          </w:pPr>
        </w:p>
        <w:p w:rsidR="00DD1B4B" w:rsidRDefault="00DD1B4B" w:rsidP="00F505E6">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 </w:t>
          </w:r>
        </w:p>
        <w:p w:rsidR="00DD1B4B" w:rsidRDefault="00DD1B4B">
          <w:pPr>
            <w:pStyle w:val="Footer"/>
            <w:jc w:val="center"/>
            <w:rPr>
              <w:rFonts w:ascii="Arial" w:hAnsi="Arial"/>
              <w:sz w:val="18"/>
            </w:rPr>
          </w:pPr>
          <w:r>
            <w:rPr>
              <w:rFonts w:ascii="Arial" w:hAnsi="Arial"/>
              <w:sz w:val="18"/>
            </w:rPr>
            <w:t>Transfusion Technical Resource Manual</w:t>
          </w:r>
        </w:p>
        <w:p w:rsidR="00DD1B4B" w:rsidRDefault="00DD1B4B">
          <w:pPr>
            <w:pStyle w:val="Footer"/>
            <w:jc w:val="center"/>
            <w:rPr>
              <w:rFonts w:ascii="Arial" w:hAnsi="Arial"/>
              <w:sz w:val="18"/>
            </w:rPr>
          </w:pPr>
        </w:p>
        <w:p w:rsidR="00DD1B4B" w:rsidRDefault="00DD1B4B">
          <w:pPr>
            <w:pStyle w:val="Footer"/>
            <w:rPr>
              <w:rFonts w:ascii="Arial" w:hAnsi="Arial"/>
              <w:sz w:val="18"/>
            </w:rPr>
          </w:pPr>
        </w:p>
      </w:tc>
      <w:tc>
        <w:tcPr>
          <w:tcW w:w="1494" w:type="dxa"/>
        </w:tcPr>
        <w:p w:rsidR="00DD1B4B" w:rsidRDefault="00DD1B4B">
          <w:pPr>
            <w:pStyle w:val="Footer"/>
            <w:jc w:val="right"/>
            <w:rPr>
              <w:rFonts w:ascii="Arial" w:hAnsi="Arial"/>
              <w:sz w:val="18"/>
            </w:rPr>
          </w:pPr>
        </w:p>
        <w:p w:rsidR="00DD1B4B" w:rsidRDefault="00DD1B4B">
          <w:pPr>
            <w:pStyle w:val="Footer"/>
            <w:jc w:val="right"/>
            <w:rPr>
              <w:rFonts w:ascii="Arial" w:hAnsi="Arial"/>
              <w:sz w:val="18"/>
            </w:rPr>
          </w:pPr>
          <w:r>
            <w:rPr>
              <w:rFonts w:ascii="Arial" w:hAnsi="Arial"/>
              <w:sz w:val="18"/>
            </w:rPr>
            <w:t xml:space="preserve">SP.013 </w:t>
          </w:r>
          <w:r>
            <w:rPr>
              <w:rFonts w:ascii="Arial" w:hAnsi="Arial"/>
              <w:sz w:val="18"/>
            </w:rPr>
            <w:br/>
          </w:r>
        </w:p>
        <w:p w:rsidR="00DD1B4B" w:rsidRDefault="00DD1B4B">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972AE8">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972AE8">
            <w:rPr>
              <w:rFonts w:ascii="Arial" w:hAnsi="Arial"/>
              <w:noProof/>
              <w:snapToGrid w:val="0"/>
              <w:sz w:val="18"/>
            </w:rPr>
            <w:t>1</w:t>
          </w:r>
          <w:r>
            <w:rPr>
              <w:rFonts w:ascii="Arial" w:hAnsi="Arial"/>
              <w:snapToGrid w:val="0"/>
              <w:sz w:val="18"/>
            </w:rPr>
            <w:fldChar w:fldCharType="end"/>
          </w:r>
        </w:p>
      </w:tc>
    </w:tr>
  </w:tbl>
  <w:p w:rsidR="00DD1B4B" w:rsidRDefault="00DD1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78" w:rsidRDefault="006C1878">
      <w:r>
        <w:separator/>
      </w:r>
    </w:p>
  </w:footnote>
  <w:footnote w:type="continuationSeparator" w:id="0">
    <w:p w:rsidR="006C1878" w:rsidRDefault="006C1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B4B" w:rsidRDefault="00DD1B4B" w:rsidP="0034744F">
    <w:pPr>
      <w:pStyle w:val="Header"/>
      <w:jc w:val="center"/>
      <w:rPr>
        <w:rFonts w:ascii="Arial" w:hAnsi="Arial"/>
        <w:b/>
        <w:spacing w:val="-2"/>
        <w:sz w:val="28"/>
        <w:lang w:val="en-GB"/>
      </w:rPr>
    </w:pPr>
    <w:r>
      <w:rPr>
        <w:rFonts w:ascii="Arial" w:hAnsi="Arial"/>
        <w:b/>
        <w:spacing w:val="-2"/>
        <w:sz w:val="28"/>
        <w:lang w:val="en-GB"/>
      </w:rPr>
      <w:t xml:space="preserve">Adsorbing Autoantibodies with </w:t>
    </w:r>
    <w:r>
      <w:rPr>
        <w:rFonts w:ascii="Arial" w:hAnsi="Arial"/>
        <w:b/>
        <w:sz w:val="28"/>
      </w:rPr>
      <w:t xml:space="preserve">W.A.R.M. </w:t>
    </w:r>
    <w:r>
      <w:rPr>
        <w:rFonts w:ascii="Arial" w:hAnsi="Arial"/>
        <w:b/>
        <w:spacing w:val="-2"/>
        <w:sz w:val="28"/>
        <w:lang w:val="en-GB"/>
      </w:rPr>
      <w:t xml:space="preserve"> Treated Autologous Red Cells</w:t>
    </w:r>
  </w:p>
  <w:p w:rsidR="00DD1B4B" w:rsidRDefault="00DD1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B4B" w:rsidRDefault="00BB125A">
    <w:pPr>
      <w:pStyle w:val="Header"/>
      <w:rPr>
        <w:rFonts w:ascii="Arial" w:hAnsi="Arial" w:cs="Arial"/>
        <w:b/>
        <w:bCs/>
        <w:sz w:val="22"/>
      </w:rPr>
    </w:pPr>
    <w:r>
      <w:rPr>
        <w:rFonts w:ascii="Arial" w:hAnsi="Arial" w:cs="Arial"/>
        <w:b/>
        <w:bCs/>
        <w:noProof/>
        <w:sz w:val="22"/>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0B6022" w:rsidRDefault="000B6022" w:rsidP="000B6022">
    <w:pPr>
      <w:pStyle w:val="Header"/>
      <w:jc w:val="center"/>
      <w:rPr>
        <w:rFonts w:ascii="Arial" w:hAnsi="Arial" w:cs="Arial"/>
        <w:b/>
        <w:bCs/>
        <w:sz w:val="22"/>
      </w:rPr>
    </w:pPr>
    <w:r>
      <w:rPr>
        <w:rFonts w:ascii="Arial" w:hAnsi="Arial" w:cs="Arial"/>
        <w:b/>
        <w:bCs/>
        <w:sz w:val="22"/>
      </w:rPr>
      <w:t>Ontario Regional Blood Coordinating Network</w:t>
    </w:r>
  </w:p>
  <w:p w:rsidR="000B6022" w:rsidRDefault="000B6022" w:rsidP="000B6022">
    <w:pPr>
      <w:pStyle w:val="Header"/>
      <w:jc w:val="center"/>
      <w:rPr>
        <w:rFonts w:ascii="Arial" w:hAnsi="Arial" w:cs="Arial"/>
        <w:b/>
        <w:bCs/>
        <w:sz w:val="22"/>
      </w:rPr>
    </w:pPr>
    <w:r>
      <w:rPr>
        <w:rFonts w:ascii="Arial" w:hAnsi="Arial" w:cs="Arial"/>
        <w:b/>
        <w:bCs/>
        <w:sz w:val="22"/>
      </w:rPr>
      <w:t>Transfusion Technical Resource Manual</w:t>
    </w:r>
  </w:p>
  <w:p w:rsidR="00DD1B4B" w:rsidRDefault="00DD1B4B">
    <w:pPr>
      <w:pStyle w:val="Header"/>
      <w:jc w:val="center"/>
      <w:rPr>
        <w:rFonts w:ascii="Arial" w:hAnsi="Arial" w:cs="Arial"/>
        <w:b/>
        <w:bCs/>
        <w:sz w:val="22"/>
      </w:rPr>
    </w:pPr>
  </w:p>
  <w:p w:rsidR="000B6022" w:rsidRDefault="00DD1B4B" w:rsidP="0034744F">
    <w:pPr>
      <w:pStyle w:val="Header"/>
      <w:jc w:val="center"/>
      <w:rPr>
        <w:rFonts w:ascii="Arial" w:hAnsi="Arial"/>
        <w:b/>
        <w:spacing w:val="-2"/>
        <w:sz w:val="28"/>
        <w:lang w:val="en-GB"/>
      </w:rPr>
    </w:pPr>
    <w:r>
      <w:rPr>
        <w:rFonts w:ascii="Arial" w:hAnsi="Arial"/>
        <w:b/>
        <w:spacing w:val="-2"/>
        <w:sz w:val="28"/>
        <w:lang w:val="en-GB"/>
      </w:rPr>
      <w:t xml:space="preserve">Adsorbing Autoantibodies with </w:t>
    </w:r>
    <w:r>
      <w:rPr>
        <w:rFonts w:ascii="Arial" w:hAnsi="Arial"/>
        <w:b/>
        <w:sz w:val="28"/>
      </w:rPr>
      <w:t xml:space="preserve">W.A.R.M. </w:t>
    </w:r>
    <w:r>
      <w:rPr>
        <w:rFonts w:ascii="Arial" w:hAnsi="Arial"/>
        <w:b/>
        <w:spacing w:val="-2"/>
        <w:sz w:val="28"/>
        <w:lang w:val="en-GB"/>
      </w:rPr>
      <w:t xml:space="preserve"> </w:t>
    </w:r>
  </w:p>
  <w:p w:rsidR="00DD1B4B" w:rsidRDefault="00DD1B4B" w:rsidP="0034744F">
    <w:pPr>
      <w:pStyle w:val="Header"/>
      <w:jc w:val="center"/>
      <w:rPr>
        <w:rFonts w:ascii="Arial" w:hAnsi="Arial"/>
        <w:b/>
        <w:spacing w:val="-2"/>
        <w:sz w:val="28"/>
        <w:lang w:val="en-GB"/>
      </w:rPr>
    </w:pPr>
    <w:r>
      <w:rPr>
        <w:rFonts w:ascii="Arial" w:hAnsi="Arial"/>
        <w:b/>
        <w:spacing w:val="-2"/>
        <w:sz w:val="28"/>
        <w:lang w:val="en-GB"/>
      </w:rPr>
      <w:t>Treated Autologous Red Cells</w:t>
    </w:r>
  </w:p>
  <w:p w:rsidR="00DD1B4B" w:rsidRDefault="00DD1B4B">
    <w:pPr>
      <w:pStyle w:val="Header"/>
      <w:jc w:val="center"/>
      <w:rPr>
        <w:rFonts w:ascii="Arial" w:hAnsi="Arial" w:cs="Arial"/>
        <w:b/>
        <w:bCs/>
      </w:rPr>
    </w:pPr>
  </w:p>
  <w:p w:rsidR="00DD1B4B" w:rsidRDefault="00BB125A">
    <w:pPr>
      <w:pStyle w:val="Header"/>
      <w:jc w:val="center"/>
      <w:rPr>
        <w:rFonts w:ascii="Arial" w:hAnsi="Arial" w:cs="Arial"/>
        <w:b/>
        <w:bCs/>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306E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S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ReAEj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DD1B4B">
      <w:tc>
        <w:tcPr>
          <w:tcW w:w="4428" w:type="dxa"/>
        </w:tcPr>
        <w:p w:rsidR="00DD1B4B" w:rsidRDefault="00DD1B4B">
          <w:pPr>
            <w:pStyle w:val="Header"/>
            <w:rPr>
              <w:rFonts w:ascii="Arial" w:hAnsi="Arial" w:cs="Arial"/>
            </w:rPr>
          </w:pPr>
          <w:r>
            <w:rPr>
              <w:rFonts w:ascii="Arial" w:hAnsi="Arial" w:cs="Arial"/>
            </w:rPr>
            <w:t xml:space="preserve">Approved By:  </w:t>
          </w:r>
        </w:p>
      </w:tc>
      <w:tc>
        <w:tcPr>
          <w:tcW w:w="4428" w:type="dxa"/>
        </w:tcPr>
        <w:p w:rsidR="00DD1B4B" w:rsidRDefault="00DD1B4B">
          <w:pPr>
            <w:pStyle w:val="Header"/>
            <w:rPr>
              <w:rFonts w:ascii="Arial" w:hAnsi="Arial" w:cs="Arial"/>
            </w:rPr>
          </w:pPr>
          <w:r>
            <w:rPr>
              <w:rFonts w:ascii="Arial" w:hAnsi="Arial" w:cs="Arial"/>
            </w:rPr>
            <w:t>Document No: SP.013</w:t>
          </w:r>
        </w:p>
      </w:tc>
    </w:tr>
    <w:tr w:rsidR="00DD1B4B">
      <w:tc>
        <w:tcPr>
          <w:tcW w:w="4428" w:type="dxa"/>
        </w:tcPr>
        <w:p w:rsidR="00DD1B4B" w:rsidRDefault="00DD1B4B">
          <w:pPr>
            <w:pStyle w:val="Header"/>
            <w:rPr>
              <w:rFonts w:ascii="Arial" w:hAnsi="Arial" w:cs="Arial"/>
            </w:rPr>
          </w:pPr>
          <w:r>
            <w:rPr>
              <w:rFonts w:ascii="Arial" w:hAnsi="Arial" w:cs="Arial"/>
            </w:rPr>
            <w:t>Date Issued:  2004/04/05</w:t>
          </w:r>
        </w:p>
      </w:tc>
      <w:tc>
        <w:tcPr>
          <w:tcW w:w="4428" w:type="dxa"/>
        </w:tcPr>
        <w:p w:rsidR="00DD1B4B" w:rsidRDefault="00DD1B4B">
          <w:pPr>
            <w:pStyle w:val="Header"/>
            <w:rPr>
              <w:rFonts w:ascii="Arial" w:hAnsi="Arial" w:cs="Arial"/>
            </w:rPr>
          </w:pPr>
          <w:r>
            <w:rPr>
              <w:rFonts w:ascii="Arial" w:hAnsi="Arial" w:cs="Arial"/>
            </w:rPr>
            <w:t>Category:  Special Procedures</w:t>
          </w:r>
        </w:p>
      </w:tc>
    </w:tr>
    <w:tr w:rsidR="00DD1B4B">
      <w:tc>
        <w:tcPr>
          <w:tcW w:w="4428" w:type="dxa"/>
        </w:tcPr>
        <w:p w:rsidR="00DD1B4B" w:rsidRDefault="00DD1B4B">
          <w:pPr>
            <w:pStyle w:val="Header"/>
            <w:rPr>
              <w:rFonts w:ascii="Arial" w:hAnsi="Arial" w:cs="Arial"/>
            </w:rPr>
          </w:pPr>
          <w:r>
            <w:rPr>
              <w:rFonts w:ascii="Arial" w:hAnsi="Arial" w:cs="Arial"/>
            </w:rPr>
            <w:t>Date Revised:  2009/09/01; 2014/09/01</w:t>
          </w:r>
        </w:p>
      </w:tc>
      <w:tc>
        <w:tcPr>
          <w:tcW w:w="4428" w:type="dxa"/>
        </w:tcPr>
        <w:p w:rsidR="00DD1B4B" w:rsidRDefault="00DD1B4B">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72AE8">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972AE8">
            <w:rPr>
              <w:rFonts w:ascii="Arial" w:hAnsi="Arial" w:cs="Arial"/>
              <w:noProof/>
            </w:rPr>
            <w:t>1</w:t>
          </w:r>
          <w:r>
            <w:rPr>
              <w:rFonts w:ascii="Arial" w:hAnsi="Arial" w:cs="Arial"/>
            </w:rPr>
            <w:fldChar w:fldCharType="end"/>
          </w:r>
        </w:p>
      </w:tc>
    </w:tr>
  </w:tbl>
  <w:p w:rsidR="00DD1B4B" w:rsidRDefault="00BB125A">
    <w:pPr>
      <w:pStyle w:val="Head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285B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N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"/>
          </w:pict>
        </mc:Fallback>
      </mc:AlternateContent>
    </w:r>
    <w:r w:rsidR="00DD1B4B">
      <w:rPr>
        <w:rFonts w:ascii="Arial" w:hAnsi="Arial" w:cs="Arial"/>
      </w:rPr>
      <w:tab/>
    </w:r>
  </w:p>
  <w:p w:rsidR="00DD1B4B" w:rsidRDefault="00DD1B4B">
    <w:pPr>
      <w:pStyle w:val="Header"/>
      <w:jc w:val="both"/>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6B6"/>
    <w:multiLevelType w:val="multilevel"/>
    <w:tmpl w:val="FFA620FE"/>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990"/>
        </w:tabs>
        <w:ind w:left="990" w:hanging="1080"/>
      </w:pPr>
      <w:rPr>
        <w:rFonts w:hint="default"/>
      </w:rPr>
    </w:lvl>
    <w:lvl w:ilvl="2">
      <w:start w:val="1"/>
      <w:numFmt w:val="decimal"/>
      <w:lvlText w:val="%1.%2.%3"/>
      <w:lvlJc w:val="left"/>
      <w:pPr>
        <w:tabs>
          <w:tab w:val="num" w:pos="900"/>
        </w:tabs>
        <w:ind w:left="900" w:hanging="1080"/>
      </w:pPr>
      <w:rPr>
        <w:rFonts w:hint="default"/>
      </w:rPr>
    </w:lvl>
    <w:lvl w:ilvl="3">
      <w:start w:val="1"/>
      <w:numFmt w:val="decimal"/>
      <w:lvlText w:val="%1.%2.%3.%4"/>
      <w:lvlJc w:val="left"/>
      <w:pPr>
        <w:tabs>
          <w:tab w:val="num" w:pos="810"/>
        </w:tabs>
        <w:ind w:left="810" w:hanging="108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990"/>
        </w:tabs>
        <w:ind w:left="990" w:hanging="144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1170"/>
        </w:tabs>
        <w:ind w:left="117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 w15:restartNumberingAfterBreak="0">
    <w:nsid w:val="0594311D"/>
    <w:multiLevelType w:val="multilevel"/>
    <w:tmpl w:val="B7B677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48106C"/>
    <w:multiLevelType w:val="multilevel"/>
    <w:tmpl w:val="9318AC14"/>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7E483B"/>
    <w:multiLevelType w:val="multilevel"/>
    <w:tmpl w:val="C7941BE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B82A6D"/>
    <w:multiLevelType w:val="multilevel"/>
    <w:tmpl w:val="B0148E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44F28CF"/>
    <w:multiLevelType w:val="multilevel"/>
    <w:tmpl w:val="C7941BE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45458AF"/>
    <w:multiLevelType w:val="multilevel"/>
    <w:tmpl w:val="46D862F2"/>
    <w:lvl w:ilvl="0">
      <w:start w:val="8"/>
      <w:numFmt w:val="decimal"/>
      <w:lvlText w:val="%1.0"/>
      <w:lvlJc w:val="left"/>
      <w:pPr>
        <w:tabs>
          <w:tab w:val="num" w:pos="720"/>
        </w:tabs>
        <w:ind w:left="720" w:hanging="720"/>
      </w:pPr>
      <w:rPr>
        <w:rFonts w:hint="default"/>
        <w:b/>
        <w:sz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6ED007F"/>
    <w:multiLevelType w:val="multilevel"/>
    <w:tmpl w:val="B1AEE128"/>
    <w:lvl w:ilvl="0">
      <w:start w:val="9"/>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0902DF4"/>
    <w:multiLevelType w:val="multilevel"/>
    <w:tmpl w:val="152EC5BC"/>
    <w:lvl w:ilvl="0">
      <w:start w:val="6"/>
      <w:numFmt w:val="decimal"/>
      <w:lvlText w:val="%1"/>
      <w:lvlJc w:val="left"/>
      <w:pPr>
        <w:tabs>
          <w:tab w:val="num" w:pos="360"/>
        </w:tabs>
        <w:ind w:left="360" w:hanging="360"/>
      </w:pPr>
      <w:rPr>
        <w:rFonts w:hint="default"/>
      </w:rPr>
    </w:lvl>
    <w:lvl w:ilvl="1">
      <w:start w:val="11"/>
      <w:numFmt w:val="none"/>
      <w:lvlText w:val="7.1"/>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3C37D82"/>
    <w:multiLevelType w:val="multilevel"/>
    <w:tmpl w:val="A4782FC6"/>
    <w:lvl w:ilvl="0">
      <w:start w:val="9"/>
      <w:numFmt w:val="decimal"/>
      <w:lvlText w:val="%1.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66339B4"/>
    <w:multiLevelType w:val="multilevel"/>
    <w:tmpl w:val="CA8607A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A422A92"/>
    <w:multiLevelType w:val="multilevel"/>
    <w:tmpl w:val="9CA4E6C4"/>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6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12" w15:restartNumberingAfterBreak="0">
    <w:nsid w:val="3DAA67B7"/>
    <w:multiLevelType w:val="multilevel"/>
    <w:tmpl w:val="6732725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160"/>
        </w:tabs>
        <w:ind w:left="2160" w:hanging="720"/>
      </w:pPr>
      <w:rPr>
        <w:rFonts w:hint="default"/>
      </w:rPr>
    </w:lvl>
    <w:lvl w:ilvl="3">
      <w:start w:val="1"/>
      <w:numFmt w:val="upperLetter"/>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09D0DBD"/>
    <w:multiLevelType w:val="multilevel"/>
    <w:tmpl w:val="C5A8703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CD2E0B"/>
    <w:multiLevelType w:val="multilevel"/>
    <w:tmpl w:val="C5A8703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C43797"/>
    <w:multiLevelType w:val="multilevel"/>
    <w:tmpl w:val="C7941BE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5DE1FCB"/>
    <w:multiLevelType w:val="singleLevel"/>
    <w:tmpl w:val="D482FD1A"/>
    <w:lvl w:ilvl="0">
      <w:start w:val="4"/>
      <w:numFmt w:val="decimal"/>
      <w:lvlText w:val="%1.0"/>
      <w:lvlJc w:val="left"/>
      <w:pPr>
        <w:tabs>
          <w:tab w:val="num" w:pos="720"/>
        </w:tabs>
        <w:ind w:left="360" w:hanging="360"/>
      </w:pPr>
    </w:lvl>
  </w:abstractNum>
  <w:abstractNum w:abstractNumId="17" w15:restartNumberingAfterBreak="0">
    <w:nsid w:val="4DF56BE1"/>
    <w:multiLevelType w:val="multilevel"/>
    <w:tmpl w:val="C5A8703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1A3BF7"/>
    <w:multiLevelType w:val="hybridMultilevel"/>
    <w:tmpl w:val="A32695A6"/>
    <w:lvl w:ilvl="0" w:tplc="578043D4">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4604130"/>
    <w:multiLevelType w:val="singleLevel"/>
    <w:tmpl w:val="89C6F95A"/>
    <w:lvl w:ilvl="0">
      <w:start w:val="7"/>
      <w:numFmt w:val="decimal"/>
      <w:lvlText w:val="%1.0"/>
      <w:lvlJc w:val="left"/>
      <w:pPr>
        <w:tabs>
          <w:tab w:val="num" w:pos="360"/>
        </w:tabs>
        <w:ind w:left="360" w:hanging="360"/>
      </w:pPr>
    </w:lvl>
  </w:abstractNum>
  <w:abstractNum w:abstractNumId="20" w15:restartNumberingAfterBreak="0">
    <w:nsid w:val="5F0049F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1FF4ECE"/>
    <w:multiLevelType w:val="multilevel"/>
    <w:tmpl w:val="DD940B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0F0BC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52E5D77"/>
    <w:multiLevelType w:val="singleLevel"/>
    <w:tmpl w:val="0409000F"/>
    <w:lvl w:ilvl="0">
      <w:start w:val="1"/>
      <w:numFmt w:val="decimal"/>
      <w:pStyle w:val="Heading3"/>
      <w:lvlText w:val="%1."/>
      <w:lvlJc w:val="left"/>
      <w:pPr>
        <w:tabs>
          <w:tab w:val="num" w:pos="360"/>
        </w:tabs>
        <w:ind w:left="360" w:hanging="360"/>
      </w:pPr>
    </w:lvl>
  </w:abstractNum>
  <w:abstractNum w:abstractNumId="24" w15:restartNumberingAfterBreak="0">
    <w:nsid w:val="69EE2512"/>
    <w:multiLevelType w:val="multilevel"/>
    <w:tmpl w:val="B704AD96"/>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6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25" w15:restartNumberingAfterBreak="0">
    <w:nsid w:val="6ED23111"/>
    <w:multiLevelType w:val="multilevel"/>
    <w:tmpl w:val="31D872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2713C0C"/>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8425875"/>
    <w:multiLevelType w:val="singleLevel"/>
    <w:tmpl w:val="B6347B9A"/>
    <w:lvl w:ilvl="0">
      <w:start w:val="1"/>
      <w:numFmt w:val="lowerLetter"/>
      <w:lvlText w:val="%1."/>
      <w:lvlJc w:val="left"/>
      <w:pPr>
        <w:tabs>
          <w:tab w:val="num" w:pos="2880"/>
        </w:tabs>
        <w:ind w:left="2880" w:hanging="600"/>
      </w:pPr>
      <w:rPr>
        <w:rFonts w:hint="default"/>
      </w:rPr>
    </w:lvl>
  </w:abstractNum>
  <w:abstractNum w:abstractNumId="28" w15:restartNumberingAfterBreak="0">
    <w:nsid w:val="7A625C0F"/>
    <w:multiLevelType w:val="singleLevel"/>
    <w:tmpl w:val="E1FC2778"/>
    <w:lvl w:ilvl="0">
      <w:start w:val="1"/>
      <w:numFmt w:val="decimal"/>
      <w:lvlText w:val="%1.0"/>
      <w:lvlJc w:val="left"/>
      <w:pPr>
        <w:tabs>
          <w:tab w:val="num" w:pos="720"/>
        </w:tabs>
        <w:ind w:left="360" w:hanging="360"/>
      </w:pPr>
    </w:lvl>
  </w:abstractNum>
  <w:num w:numId="1">
    <w:abstractNumId w:val="23"/>
  </w:num>
  <w:num w:numId="2">
    <w:abstractNumId w:val="26"/>
  </w:num>
  <w:num w:numId="3">
    <w:abstractNumId w:val="20"/>
  </w:num>
  <w:num w:numId="4">
    <w:abstractNumId w:val="28"/>
  </w:num>
  <w:num w:numId="5">
    <w:abstractNumId w:val="16"/>
  </w:num>
  <w:num w:numId="6">
    <w:abstractNumId w:val="4"/>
  </w:num>
  <w:num w:numId="7">
    <w:abstractNumId w:val="2"/>
  </w:num>
  <w:num w:numId="8">
    <w:abstractNumId w:val="19"/>
  </w:num>
  <w:num w:numId="9">
    <w:abstractNumId w:val="8"/>
  </w:num>
  <w:num w:numId="10">
    <w:abstractNumId w:val="9"/>
  </w:num>
  <w:num w:numId="11">
    <w:abstractNumId w:val="10"/>
  </w:num>
  <w:num w:numId="12">
    <w:abstractNumId w:val="21"/>
  </w:num>
  <w:num w:numId="13">
    <w:abstractNumId w:val="11"/>
  </w:num>
  <w:num w:numId="14">
    <w:abstractNumId w:val="22"/>
  </w:num>
  <w:num w:numId="15">
    <w:abstractNumId w:val="17"/>
  </w:num>
  <w:num w:numId="16">
    <w:abstractNumId w:val="13"/>
  </w:num>
  <w:num w:numId="17">
    <w:abstractNumId w:val="14"/>
  </w:num>
  <w:num w:numId="18">
    <w:abstractNumId w:val="0"/>
  </w:num>
  <w:num w:numId="19">
    <w:abstractNumId w:val="1"/>
  </w:num>
  <w:num w:numId="20">
    <w:abstractNumId w:val="25"/>
  </w:num>
  <w:num w:numId="21">
    <w:abstractNumId w:val="15"/>
  </w:num>
  <w:num w:numId="22">
    <w:abstractNumId w:val="24"/>
  </w:num>
  <w:num w:numId="23">
    <w:abstractNumId w:val="27"/>
  </w:num>
  <w:num w:numId="24">
    <w:abstractNumId w:val="6"/>
  </w:num>
  <w:num w:numId="25">
    <w:abstractNumId w:val="7"/>
  </w:num>
  <w:num w:numId="26">
    <w:abstractNumId w:val="12"/>
  </w:num>
  <w:num w:numId="27">
    <w:abstractNumId w:val="3"/>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95"/>
    <w:rsid w:val="000B6022"/>
    <w:rsid w:val="00262871"/>
    <w:rsid w:val="0034744F"/>
    <w:rsid w:val="0037351C"/>
    <w:rsid w:val="00377202"/>
    <w:rsid w:val="003A6400"/>
    <w:rsid w:val="004019A6"/>
    <w:rsid w:val="00402D77"/>
    <w:rsid w:val="0043023A"/>
    <w:rsid w:val="004A7FE1"/>
    <w:rsid w:val="004E0A02"/>
    <w:rsid w:val="00623D2E"/>
    <w:rsid w:val="00687811"/>
    <w:rsid w:val="006C1878"/>
    <w:rsid w:val="0075252C"/>
    <w:rsid w:val="007D7D16"/>
    <w:rsid w:val="008628EC"/>
    <w:rsid w:val="00877414"/>
    <w:rsid w:val="008B3890"/>
    <w:rsid w:val="00916C95"/>
    <w:rsid w:val="009243D6"/>
    <w:rsid w:val="00972AE8"/>
    <w:rsid w:val="0097560F"/>
    <w:rsid w:val="00994725"/>
    <w:rsid w:val="00A26489"/>
    <w:rsid w:val="00B13400"/>
    <w:rsid w:val="00B4273D"/>
    <w:rsid w:val="00BB125A"/>
    <w:rsid w:val="00CA12F1"/>
    <w:rsid w:val="00DD1B4B"/>
    <w:rsid w:val="00EB0C0C"/>
    <w:rsid w:val="00F50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4795A1F-3A99-4221-A799-DB92916C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3">
    <w:name w:val="heading 3"/>
    <w:basedOn w:val="Normal"/>
    <w:next w:val="Normal"/>
    <w:qFormat/>
    <w:pPr>
      <w:keepNext/>
      <w:numPr>
        <w:ilvl w:val="2"/>
        <w:numId w:val="1"/>
      </w:numPr>
      <w:spacing w:after="240"/>
      <w:outlineLvl w:val="2"/>
    </w:pPr>
    <w:rPr>
      <w:rFonts w:ascii="Georgia" w:hAnsi="Georgia"/>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440" w:hanging="720"/>
    </w:pPr>
    <w:rPr>
      <w:rFonts w:ascii="Arial" w:hAnsi="Arial"/>
      <w:sz w:val="24"/>
    </w:rPr>
  </w:style>
  <w:style w:type="paragraph" w:styleId="BodyText">
    <w:name w:val="Body Text"/>
    <w:basedOn w:val="Normal"/>
    <w:pPr>
      <w:outlineLvl w:val="0"/>
    </w:pPr>
    <w:rPr>
      <w:rFonts w:ascii="Arial" w:hAnsi="Arial"/>
      <w:sz w:val="24"/>
    </w:rPr>
  </w:style>
  <w:style w:type="paragraph" w:styleId="BodyTextIndent2">
    <w:name w:val="Body Text Indent 2"/>
    <w:basedOn w:val="Normal"/>
    <w:pPr>
      <w:ind w:left="1440"/>
    </w:pPr>
    <w:rPr>
      <w:rFonts w:ascii="Arial" w:hAnsi="Arial"/>
      <w:sz w:val="24"/>
    </w:rPr>
  </w:style>
  <w:style w:type="paragraph" w:styleId="BodyTextIndent3">
    <w:name w:val="Body Text Indent 3"/>
    <w:basedOn w:val="Normal"/>
    <w:pPr>
      <w:ind w:left="720"/>
      <w:outlineLvl w:val="0"/>
    </w:pPr>
    <w:rPr>
      <w:rFonts w:ascii="Arial" w:hAnsi="Arial"/>
      <w:sz w:val="24"/>
    </w:rPr>
  </w:style>
  <w:style w:type="paragraph" w:styleId="BalloonText">
    <w:name w:val="Balloon Text"/>
    <w:basedOn w:val="Normal"/>
    <w:link w:val="BalloonTextChar"/>
    <w:uiPriority w:val="99"/>
    <w:semiHidden/>
    <w:unhideWhenUsed/>
    <w:rsid w:val="0043023A"/>
    <w:rPr>
      <w:rFonts w:ascii="Tahoma" w:hAnsi="Tahoma" w:cs="Tahoma"/>
      <w:sz w:val="16"/>
      <w:szCs w:val="16"/>
    </w:rPr>
  </w:style>
  <w:style w:type="character" w:customStyle="1" w:styleId="BalloonTextChar">
    <w:name w:val="Balloon Text Char"/>
    <w:link w:val="BalloonText"/>
    <w:uiPriority w:val="99"/>
    <w:semiHidden/>
    <w:rsid w:val="0043023A"/>
    <w:rPr>
      <w:rFonts w:ascii="Tahoma" w:hAnsi="Tahoma" w:cs="Tahoma"/>
      <w:sz w:val="16"/>
      <w:szCs w:val="16"/>
    </w:rPr>
  </w:style>
  <w:style w:type="table" w:styleId="TableGrid">
    <w:name w:val="Table Grid"/>
    <w:basedOn w:val="TableNormal"/>
    <w:uiPriority w:val="59"/>
    <w:rsid w:val="000B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7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8D6B0-8BAA-4A42-9BB4-C7FC2A18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SP.013 - W.A.R.M. Autoantibody Removal</vt:lpstr>
    </vt:vector>
  </TitlesOfParts>
  <Company>The Ottawa Hospital</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SP.013 - W.A.R.M. Autoantibody Removal</dc:title>
  <dc:subject/>
  <dc:creator>Transfusion Ontario Program Office</dc:creator>
  <cp:keywords/>
  <cp:lastModifiedBy>Nesrallah, Heather</cp:lastModifiedBy>
  <cp:revision>2</cp:revision>
  <cp:lastPrinted>2015-01-06T18:48:00Z</cp:lastPrinted>
  <dcterms:created xsi:type="dcterms:W3CDTF">2020-08-11T15:14:00Z</dcterms:created>
  <dcterms:modified xsi:type="dcterms:W3CDTF">2020-08-11T15:14:00Z</dcterms:modified>
</cp:coreProperties>
</file>