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E7" w:rsidRDefault="009761E7">
      <w:pPr>
        <w:numPr>
          <w:ilvl w:val="0"/>
          <w:numId w:val="4"/>
        </w:numPr>
        <w:rPr>
          <w:rFonts w:ascii="Arial" w:hAnsi="Arial"/>
          <w:b/>
          <w:sz w:val="28"/>
        </w:rPr>
      </w:pPr>
      <w:bookmarkStart w:id="0" w:name="_GoBack"/>
      <w:bookmarkEnd w:id="0"/>
      <w:r>
        <w:rPr>
          <w:rFonts w:ascii="Arial" w:hAnsi="Arial"/>
          <w:b/>
          <w:sz w:val="28"/>
        </w:rPr>
        <w:t xml:space="preserve">Principle </w:t>
      </w:r>
    </w:p>
    <w:p w:rsidR="009761E7" w:rsidRDefault="009761E7">
      <w:pPr>
        <w:rPr>
          <w:rFonts w:ascii="Arial" w:hAnsi="Arial"/>
          <w:sz w:val="24"/>
        </w:rPr>
      </w:pPr>
    </w:p>
    <w:p w:rsidR="009761E7" w:rsidRDefault="009761E7">
      <w:pPr>
        <w:ind w:left="720"/>
        <w:rPr>
          <w:rFonts w:ascii="Arial" w:hAnsi="Arial"/>
          <w:sz w:val="24"/>
        </w:rPr>
      </w:pPr>
      <w:r>
        <w:rPr>
          <w:rFonts w:ascii="Arial" w:hAnsi="Arial"/>
          <w:sz w:val="24"/>
        </w:rPr>
        <w:t xml:space="preserve">Red blood cells coated with IgG are first thoroughly washed, then suspended briefly in an EDTA glycine-acid </w:t>
      </w:r>
      <w:r w:rsidR="00572218">
        <w:rPr>
          <w:rFonts w:ascii="Arial" w:hAnsi="Arial"/>
          <w:sz w:val="24"/>
        </w:rPr>
        <w:t xml:space="preserve">(EGA) </w:t>
      </w:r>
      <w:r>
        <w:rPr>
          <w:rFonts w:ascii="Arial" w:hAnsi="Arial"/>
          <w:sz w:val="24"/>
        </w:rPr>
        <w:t>solution to</w:t>
      </w:r>
      <w:r w:rsidR="00F308FD">
        <w:rPr>
          <w:rFonts w:ascii="Arial" w:hAnsi="Arial"/>
          <w:sz w:val="24"/>
        </w:rPr>
        <w:t xml:space="preserve"> dissociate the bound antibody. </w:t>
      </w:r>
      <w:r>
        <w:rPr>
          <w:rFonts w:ascii="Arial" w:hAnsi="Arial"/>
          <w:sz w:val="24"/>
        </w:rPr>
        <w:t xml:space="preserve">The mixture is immediately brought to a neutral pH with TRIS </w:t>
      </w:r>
      <w:r w:rsidR="00F308FD">
        <w:rPr>
          <w:rFonts w:ascii="Arial" w:hAnsi="Arial"/>
          <w:sz w:val="24"/>
        </w:rPr>
        <w:t>Buffer;</w:t>
      </w:r>
      <w:r>
        <w:rPr>
          <w:rFonts w:ascii="Arial" w:hAnsi="Arial"/>
          <w:sz w:val="24"/>
        </w:rPr>
        <w:t xml:space="preserve"> the cells are separated by centrifugation and further washed with three changes of saline. If the direct antiglobulin test</w:t>
      </w:r>
      <w:r w:rsidR="00572218">
        <w:rPr>
          <w:rFonts w:ascii="Arial" w:hAnsi="Arial"/>
          <w:sz w:val="24"/>
        </w:rPr>
        <w:t xml:space="preserve"> (DAT)</w:t>
      </w:r>
      <w:r>
        <w:rPr>
          <w:rFonts w:ascii="Arial" w:hAnsi="Arial"/>
          <w:sz w:val="24"/>
        </w:rPr>
        <w:t xml:space="preserve"> is negative, the washed red blood cells are ready to be tested for their surface antigens by the antiglobulin test (or with a reagent containing potentiators). The treatment inactivates the antigens of the Kell blood group system, as well as Er</w:t>
      </w:r>
      <w:r>
        <w:rPr>
          <w:rFonts w:ascii="Arial" w:hAnsi="Arial"/>
          <w:sz w:val="24"/>
          <w:vertAlign w:val="superscript"/>
        </w:rPr>
        <w:t>a</w:t>
      </w:r>
      <w:r>
        <w:rPr>
          <w:rFonts w:ascii="Arial" w:hAnsi="Arial"/>
          <w:sz w:val="24"/>
        </w:rPr>
        <w:t xml:space="preserve">, Bg, and possibly others. This reagent does not denature enzyme-sensitive antigens such as those of the MNSs and Duffy systems. It has been reported that the </w:t>
      </w:r>
      <w:r w:rsidR="00572218">
        <w:rPr>
          <w:rFonts w:ascii="Arial" w:hAnsi="Arial"/>
          <w:sz w:val="24"/>
        </w:rPr>
        <w:t xml:space="preserve">EGA </w:t>
      </w:r>
      <w:r>
        <w:rPr>
          <w:rFonts w:ascii="Arial" w:hAnsi="Arial"/>
          <w:sz w:val="24"/>
        </w:rPr>
        <w:t>method is the procedure of choice for typing red blood cells coated with warm-reactive IgG alloantibodies or autoantibodies.</w:t>
      </w:r>
    </w:p>
    <w:p w:rsidR="009761E7" w:rsidRDefault="009761E7">
      <w:pPr>
        <w:rPr>
          <w:rFonts w:ascii="Arial" w:hAnsi="Arial"/>
          <w:sz w:val="24"/>
        </w:rPr>
      </w:pPr>
    </w:p>
    <w:p w:rsidR="009761E7" w:rsidRDefault="009761E7">
      <w:pPr>
        <w:numPr>
          <w:ilvl w:val="0"/>
          <w:numId w:val="4"/>
        </w:numPr>
        <w:outlineLvl w:val="0"/>
        <w:rPr>
          <w:rFonts w:ascii="Arial" w:hAnsi="Arial"/>
          <w:b/>
          <w:sz w:val="28"/>
        </w:rPr>
      </w:pPr>
      <w:r>
        <w:rPr>
          <w:rFonts w:ascii="Arial" w:hAnsi="Arial"/>
          <w:b/>
          <w:sz w:val="28"/>
        </w:rPr>
        <w:t xml:space="preserve">Scope and Related Policies </w:t>
      </w:r>
    </w:p>
    <w:p w:rsidR="009761E7" w:rsidRDefault="009761E7">
      <w:pPr>
        <w:outlineLvl w:val="0"/>
        <w:rPr>
          <w:rFonts w:ascii="Arial" w:hAnsi="Arial"/>
          <w:b/>
          <w:sz w:val="28"/>
        </w:rPr>
      </w:pPr>
    </w:p>
    <w:p w:rsidR="009761E7" w:rsidRDefault="009761E7">
      <w:pPr>
        <w:numPr>
          <w:ilvl w:val="1"/>
          <w:numId w:val="20"/>
        </w:numPr>
        <w:outlineLvl w:val="0"/>
        <w:rPr>
          <w:rFonts w:ascii="Arial" w:hAnsi="Arial"/>
          <w:sz w:val="24"/>
        </w:rPr>
      </w:pPr>
      <w:r>
        <w:rPr>
          <w:rFonts w:ascii="Arial" w:hAnsi="Arial"/>
          <w:sz w:val="24"/>
        </w:rPr>
        <w:t>Red blood cells coated with immunoglobulin, as in autoimmune hemolytic anemia or hemolytic disease of the newborn, can be expected to have a positive</w:t>
      </w:r>
      <w:r w:rsidR="00572218">
        <w:rPr>
          <w:rFonts w:ascii="Arial" w:hAnsi="Arial"/>
          <w:sz w:val="24"/>
        </w:rPr>
        <w:t xml:space="preserve"> DAT</w:t>
      </w:r>
      <w:r>
        <w:rPr>
          <w:rFonts w:ascii="Arial" w:hAnsi="Arial"/>
          <w:sz w:val="24"/>
        </w:rPr>
        <w:t>. Accordingly, they cannot be tested for their surface antigens by means of the indirect antiglobulin test, nor with reagents containing potentiators of agglutination if their IgG coating is sufficient to cause spontaneous agglutination under such conditions.</w:t>
      </w:r>
    </w:p>
    <w:p w:rsidR="009761E7" w:rsidRDefault="009761E7">
      <w:pPr>
        <w:outlineLvl w:val="0"/>
        <w:rPr>
          <w:rFonts w:ascii="Arial" w:hAnsi="Arial"/>
          <w:sz w:val="24"/>
        </w:rPr>
      </w:pPr>
    </w:p>
    <w:p w:rsidR="009761E7" w:rsidRDefault="009761E7">
      <w:pPr>
        <w:numPr>
          <w:ilvl w:val="1"/>
          <w:numId w:val="20"/>
        </w:numPr>
        <w:outlineLvl w:val="0"/>
        <w:rPr>
          <w:rFonts w:ascii="Arial" w:hAnsi="Arial"/>
          <w:sz w:val="24"/>
        </w:rPr>
      </w:pPr>
      <w:r>
        <w:rPr>
          <w:rFonts w:ascii="Arial" w:hAnsi="Arial"/>
          <w:sz w:val="24"/>
        </w:rPr>
        <w:t>The ability to dissociate immunoglobulin from the cells without impairing surface antigen reactivity is of great value in enabling the cells to be typed as an aid to the recognition and identification of one or more alloantibodies coexisting with warm autoantibodies in a patient’s plasma.</w:t>
      </w:r>
      <w:r>
        <w:rPr>
          <w:rFonts w:ascii="Arial" w:hAnsi="Arial"/>
          <w:sz w:val="24"/>
          <w:vertAlign w:val="superscript"/>
        </w:rPr>
        <w:t>9.1, 9.2 &amp; 9.3</w:t>
      </w:r>
    </w:p>
    <w:p w:rsidR="009761E7" w:rsidRDefault="009761E7">
      <w:pPr>
        <w:rPr>
          <w:rFonts w:ascii="Arial" w:hAnsi="Arial"/>
          <w:sz w:val="24"/>
        </w:rPr>
      </w:pPr>
    </w:p>
    <w:p w:rsidR="00F308FD" w:rsidRDefault="00F308FD">
      <w:pPr>
        <w:rPr>
          <w:rFonts w:ascii="Arial" w:hAnsi="Arial"/>
          <w:sz w:val="24"/>
        </w:rPr>
      </w:pPr>
    </w:p>
    <w:p w:rsidR="009761E7" w:rsidRDefault="009761E7">
      <w:pPr>
        <w:numPr>
          <w:ilvl w:val="0"/>
          <w:numId w:val="4"/>
        </w:numPr>
        <w:outlineLvl w:val="0"/>
        <w:rPr>
          <w:rFonts w:ascii="Arial" w:hAnsi="Arial"/>
          <w:b/>
          <w:sz w:val="28"/>
        </w:rPr>
      </w:pPr>
      <w:r>
        <w:rPr>
          <w:rFonts w:ascii="Arial" w:hAnsi="Arial"/>
          <w:b/>
          <w:sz w:val="28"/>
        </w:rPr>
        <w:lastRenderedPageBreak/>
        <w:t>Specimen</w:t>
      </w:r>
    </w:p>
    <w:p w:rsidR="009761E7" w:rsidRDefault="009761E7">
      <w:pPr>
        <w:outlineLvl w:val="0"/>
        <w:rPr>
          <w:rFonts w:ascii="Arial" w:hAnsi="Arial"/>
          <w:sz w:val="24"/>
        </w:rPr>
      </w:pPr>
    </w:p>
    <w:p w:rsidR="009761E7" w:rsidRDefault="009761E7">
      <w:pPr>
        <w:ind w:firstLine="720"/>
        <w:outlineLvl w:val="0"/>
        <w:rPr>
          <w:rFonts w:ascii="Arial" w:hAnsi="Arial"/>
          <w:sz w:val="24"/>
        </w:rPr>
      </w:pPr>
      <w:r>
        <w:rPr>
          <w:rFonts w:ascii="Arial" w:hAnsi="Arial"/>
          <w:sz w:val="24"/>
        </w:rPr>
        <w:t xml:space="preserve">EDTA anticoagulated </w:t>
      </w:r>
      <w:r w:rsidR="00572218">
        <w:rPr>
          <w:rFonts w:ascii="Arial" w:hAnsi="Arial"/>
          <w:sz w:val="24"/>
        </w:rPr>
        <w:t>whole blood</w:t>
      </w:r>
      <w:r w:rsidR="00F308FD">
        <w:rPr>
          <w:rFonts w:ascii="Arial" w:hAnsi="Arial"/>
          <w:sz w:val="24"/>
        </w:rPr>
        <w:t xml:space="preserve"> </w:t>
      </w:r>
      <w:r w:rsidR="00E7084A">
        <w:rPr>
          <w:rFonts w:ascii="Arial" w:hAnsi="Arial"/>
          <w:sz w:val="24"/>
        </w:rPr>
        <w:t>(</w:t>
      </w:r>
      <w:r>
        <w:rPr>
          <w:rFonts w:ascii="Arial" w:hAnsi="Arial"/>
          <w:sz w:val="24"/>
        </w:rPr>
        <w:t>positive DAT due to IgG</w:t>
      </w:r>
      <w:r w:rsidR="00E7084A">
        <w:rPr>
          <w:rFonts w:ascii="Arial" w:hAnsi="Arial"/>
          <w:sz w:val="24"/>
        </w:rPr>
        <w:t>)</w:t>
      </w:r>
      <w:r>
        <w:rPr>
          <w:rFonts w:ascii="Arial" w:hAnsi="Arial"/>
          <w:sz w:val="24"/>
        </w:rPr>
        <w:t>.</w:t>
      </w:r>
    </w:p>
    <w:p w:rsidR="009761E7" w:rsidRDefault="009761E7">
      <w:pPr>
        <w:ind w:firstLine="720"/>
        <w:outlineLvl w:val="0"/>
        <w:rPr>
          <w:rFonts w:ascii="Arial" w:hAnsi="Arial"/>
          <w:sz w:val="24"/>
        </w:rPr>
      </w:pPr>
    </w:p>
    <w:p w:rsidR="009761E7" w:rsidRDefault="009761E7">
      <w:pPr>
        <w:numPr>
          <w:ilvl w:val="0"/>
          <w:numId w:val="5"/>
        </w:numPr>
        <w:rPr>
          <w:rFonts w:ascii="Arial" w:hAnsi="Arial"/>
          <w:b/>
          <w:sz w:val="28"/>
        </w:rPr>
      </w:pPr>
      <w:r>
        <w:rPr>
          <w:rFonts w:ascii="Arial" w:hAnsi="Arial"/>
          <w:b/>
          <w:sz w:val="28"/>
        </w:rPr>
        <w:t xml:space="preserve">Materials </w:t>
      </w:r>
    </w:p>
    <w:p w:rsidR="009761E7" w:rsidRDefault="009761E7">
      <w:pPr>
        <w:rPr>
          <w:rFonts w:ascii="Arial" w:hAnsi="Arial"/>
          <w:b/>
          <w:sz w:val="24"/>
        </w:rPr>
      </w:pPr>
    </w:p>
    <w:p w:rsidR="009761E7" w:rsidRDefault="009761E7">
      <w:pPr>
        <w:ind w:firstLine="720"/>
        <w:rPr>
          <w:rFonts w:ascii="Arial" w:hAnsi="Arial"/>
          <w:sz w:val="24"/>
        </w:rPr>
      </w:pPr>
      <w:r>
        <w:rPr>
          <w:rFonts w:ascii="Arial" w:hAnsi="Arial"/>
          <w:b/>
          <w:sz w:val="24"/>
        </w:rPr>
        <w:t>Equipment:</w:t>
      </w:r>
      <w:r>
        <w:rPr>
          <w:rFonts w:ascii="Arial" w:hAnsi="Arial"/>
          <w:sz w:val="24"/>
        </w:rPr>
        <w:t xml:space="preserve">  </w:t>
      </w:r>
      <w:r>
        <w:rPr>
          <w:rFonts w:ascii="Arial" w:hAnsi="Arial"/>
          <w:sz w:val="24"/>
        </w:rPr>
        <w:tab/>
        <w:t>Serological centrifuge</w:t>
      </w:r>
    </w:p>
    <w:p w:rsidR="009761E7" w:rsidRDefault="009761E7">
      <w:pPr>
        <w:ind w:left="1440"/>
        <w:rPr>
          <w:rFonts w:ascii="Arial" w:hAnsi="Arial"/>
          <w:sz w:val="24"/>
        </w:rPr>
      </w:pPr>
      <w:r>
        <w:rPr>
          <w:rFonts w:ascii="Arial" w:hAnsi="Arial"/>
          <w:sz w:val="24"/>
        </w:rPr>
        <w:t xml:space="preserve">          </w:t>
      </w:r>
      <w:r>
        <w:rPr>
          <w:rFonts w:ascii="Arial" w:hAnsi="Arial"/>
          <w:sz w:val="24"/>
        </w:rPr>
        <w:tab/>
      </w:r>
      <w:r>
        <w:rPr>
          <w:rFonts w:ascii="Arial" w:hAnsi="Arial"/>
          <w:sz w:val="24"/>
        </w:rPr>
        <w:tab/>
        <w:t>Block for test tubes</w:t>
      </w:r>
    </w:p>
    <w:p w:rsidR="009761E7" w:rsidRDefault="009761E7">
      <w:pPr>
        <w:rPr>
          <w:rFonts w:ascii="Arial" w:hAnsi="Arial"/>
          <w:sz w:val="24"/>
        </w:rPr>
      </w:pPr>
      <w:r>
        <w:rPr>
          <w:rFonts w:ascii="Arial" w:hAnsi="Arial"/>
          <w:sz w:val="24"/>
        </w:rPr>
        <w:t xml:space="preserve">                               </w:t>
      </w:r>
      <w:r>
        <w:rPr>
          <w:rFonts w:ascii="Arial" w:hAnsi="Arial"/>
          <w:sz w:val="24"/>
        </w:rPr>
        <w:tab/>
      </w:r>
      <w:r>
        <w:rPr>
          <w:rFonts w:ascii="Arial" w:hAnsi="Arial"/>
          <w:sz w:val="24"/>
        </w:rPr>
        <w:tab/>
        <w:t>Water bath/Heating block at 37</w:t>
      </w:r>
      <w:r w:rsidR="00DC48F0">
        <w:rPr>
          <w:rFonts w:ascii="Arial" w:hAnsi="Arial" w:cs="Arial"/>
          <w:sz w:val="24"/>
        </w:rPr>
        <w:t>°</w:t>
      </w:r>
      <w:r>
        <w:rPr>
          <w:rFonts w:ascii="Arial" w:hAnsi="Arial"/>
          <w:sz w:val="24"/>
        </w:rPr>
        <w:t xml:space="preserve">C </w:t>
      </w:r>
    </w:p>
    <w:p w:rsidR="009761E7" w:rsidRDefault="009761E7">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Timer</w:t>
      </w:r>
    </w:p>
    <w:p w:rsidR="009761E7" w:rsidRDefault="009761E7">
      <w:pPr>
        <w:ind w:left="1440" w:firstLine="720"/>
        <w:rPr>
          <w:rFonts w:ascii="Arial" w:hAnsi="Arial"/>
          <w:sz w:val="24"/>
        </w:rPr>
      </w:pPr>
    </w:p>
    <w:p w:rsidR="009761E7" w:rsidRDefault="009761E7">
      <w:pPr>
        <w:ind w:firstLine="720"/>
        <w:outlineLvl w:val="0"/>
        <w:rPr>
          <w:rFonts w:ascii="Arial" w:hAnsi="Arial"/>
          <w:sz w:val="24"/>
        </w:rPr>
      </w:pPr>
      <w:r>
        <w:rPr>
          <w:rFonts w:ascii="Arial" w:hAnsi="Arial"/>
          <w:b/>
          <w:sz w:val="24"/>
        </w:rPr>
        <w:t>Supplies:</w:t>
      </w:r>
      <w:r>
        <w:rPr>
          <w:rFonts w:ascii="Arial" w:hAnsi="Arial"/>
          <w:sz w:val="24"/>
        </w:rPr>
        <w:t xml:space="preserve">  </w:t>
      </w:r>
      <w:r>
        <w:rPr>
          <w:rFonts w:ascii="Arial" w:hAnsi="Arial"/>
          <w:sz w:val="24"/>
        </w:rPr>
        <w:tab/>
      </w:r>
      <w:r>
        <w:rPr>
          <w:rFonts w:ascii="Arial" w:hAnsi="Arial"/>
          <w:sz w:val="24"/>
        </w:rPr>
        <w:tab/>
        <w:t>Test tubes - 10 x 75</w:t>
      </w:r>
      <w:r w:rsidR="00DC48F0">
        <w:rPr>
          <w:rFonts w:ascii="Arial" w:hAnsi="Arial"/>
          <w:sz w:val="24"/>
        </w:rPr>
        <w:t xml:space="preserve"> </w:t>
      </w:r>
      <w:r>
        <w:rPr>
          <w:rFonts w:ascii="Arial" w:hAnsi="Arial"/>
          <w:sz w:val="24"/>
        </w:rPr>
        <w:t>mm</w:t>
      </w:r>
    </w:p>
    <w:p w:rsidR="009761E7" w:rsidRDefault="009761E7">
      <w:pPr>
        <w:ind w:left="2160" w:firstLine="720"/>
        <w:outlineLvl w:val="0"/>
        <w:rPr>
          <w:rFonts w:ascii="Arial" w:hAnsi="Arial"/>
          <w:sz w:val="24"/>
        </w:rPr>
      </w:pPr>
      <w:r>
        <w:rPr>
          <w:rFonts w:ascii="Arial" w:hAnsi="Arial"/>
          <w:sz w:val="24"/>
        </w:rPr>
        <w:t>Serological pipettes</w:t>
      </w:r>
    </w:p>
    <w:p w:rsidR="009761E7" w:rsidRDefault="00572218">
      <w:pPr>
        <w:ind w:left="2160" w:firstLine="720"/>
        <w:outlineLvl w:val="0"/>
        <w:rPr>
          <w:rFonts w:ascii="Arial" w:hAnsi="Arial"/>
          <w:sz w:val="24"/>
        </w:rPr>
      </w:pPr>
      <w:r>
        <w:rPr>
          <w:rFonts w:ascii="Arial" w:hAnsi="Arial"/>
          <w:sz w:val="24"/>
        </w:rPr>
        <w:t xml:space="preserve">0.9% </w:t>
      </w:r>
      <w:r w:rsidR="009761E7">
        <w:rPr>
          <w:rFonts w:ascii="Arial" w:hAnsi="Arial"/>
          <w:sz w:val="24"/>
        </w:rPr>
        <w:t>Saline</w:t>
      </w:r>
    </w:p>
    <w:p w:rsidR="009761E7" w:rsidRDefault="009761E7">
      <w:pPr>
        <w:ind w:left="1440" w:firstLine="720"/>
        <w:outlineLvl w:val="0"/>
        <w:rPr>
          <w:rFonts w:ascii="Arial" w:hAnsi="Arial"/>
          <w:sz w:val="24"/>
        </w:rPr>
      </w:pPr>
    </w:p>
    <w:p w:rsidR="009761E7" w:rsidRDefault="009761E7">
      <w:pPr>
        <w:ind w:left="2880" w:hanging="2160"/>
        <w:rPr>
          <w:rFonts w:ascii="Arial" w:hAnsi="Arial"/>
          <w:sz w:val="24"/>
        </w:rPr>
      </w:pPr>
      <w:r>
        <w:rPr>
          <w:rFonts w:ascii="Arial" w:hAnsi="Arial"/>
          <w:b/>
          <w:sz w:val="24"/>
        </w:rPr>
        <w:t>Reagents:</w:t>
      </w:r>
      <w:r>
        <w:rPr>
          <w:rFonts w:ascii="Arial" w:hAnsi="Arial"/>
          <w:sz w:val="24"/>
        </w:rPr>
        <w:t xml:space="preserve">   </w:t>
      </w:r>
      <w:r>
        <w:rPr>
          <w:rFonts w:ascii="Arial" w:hAnsi="Arial"/>
          <w:sz w:val="24"/>
        </w:rPr>
        <w:tab/>
        <w:t>EGA Solution 1: A concentrated solution of sodium EDTA.</w:t>
      </w:r>
    </w:p>
    <w:p w:rsidR="009761E7" w:rsidRDefault="009761E7">
      <w:pPr>
        <w:ind w:left="2880"/>
        <w:rPr>
          <w:rFonts w:ascii="Arial" w:hAnsi="Arial"/>
          <w:sz w:val="24"/>
        </w:rPr>
      </w:pPr>
      <w:r>
        <w:rPr>
          <w:rFonts w:ascii="Arial" w:hAnsi="Arial"/>
          <w:sz w:val="24"/>
        </w:rPr>
        <w:t>EGA Solution 2: A low-pH glycine solution. This solution contains no preservative.</w:t>
      </w:r>
    </w:p>
    <w:p w:rsidR="009761E7" w:rsidRDefault="009761E7">
      <w:pPr>
        <w:ind w:left="2880"/>
        <w:rPr>
          <w:rFonts w:ascii="Arial" w:hAnsi="Arial"/>
          <w:sz w:val="24"/>
        </w:rPr>
      </w:pPr>
      <w:r>
        <w:rPr>
          <w:rFonts w:ascii="Arial" w:hAnsi="Arial"/>
          <w:sz w:val="24"/>
        </w:rPr>
        <w:t>EGA Solution 3: A TRIS (hydroxymethyl)-aminomethane solution</w:t>
      </w:r>
    </w:p>
    <w:p w:rsidR="009761E7" w:rsidRDefault="009761E7">
      <w:pPr>
        <w:ind w:left="2880"/>
        <w:rPr>
          <w:rFonts w:ascii="Arial" w:hAnsi="Arial"/>
          <w:sz w:val="24"/>
        </w:rPr>
      </w:pPr>
      <w:r>
        <w:rPr>
          <w:rFonts w:ascii="Arial" w:hAnsi="Arial"/>
          <w:sz w:val="24"/>
        </w:rPr>
        <w:t>6% BSA (Inert control reagent)</w:t>
      </w:r>
    </w:p>
    <w:p w:rsidR="009761E7" w:rsidRDefault="009761E7">
      <w:pPr>
        <w:ind w:left="2880"/>
        <w:rPr>
          <w:rFonts w:ascii="Arial" w:hAnsi="Arial"/>
          <w:sz w:val="24"/>
        </w:rPr>
      </w:pPr>
      <w:r>
        <w:rPr>
          <w:rFonts w:ascii="Arial" w:hAnsi="Arial"/>
          <w:sz w:val="24"/>
        </w:rPr>
        <w:t xml:space="preserve">Blood grouping reagents needed for the appropriate test procedures to be performed on the </w:t>
      </w:r>
      <w:r w:rsidR="00572218">
        <w:rPr>
          <w:rFonts w:ascii="Arial" w:hAnsi="Arial"/>
          <w:sz w:val="24"/>
        </w:rPr>
        <w:t xml:space="preserve">patient’s </w:t>
      </w:r>
      <w:r>
        <w:rPr>
          <w:rFonts w:ascii="Arial" w:hAnsi="Arial"/>
          <w:sz w:val="24"/>
        </w:rPr>
        <w:t>cells from which IgG has been dissociated</w:t>
      </w:r>
    </w:p>
    <w:p w:rsidR="00F308FD" w:rsidRDefault="009761E7" w:rsidP="00F308FD">
      <w:pPr>
        <w:numPr>
          <w:ilvl w:val="0"/>
          <w:numId w:val="5"/>
        </w:numPr>
        <w:outlineLvl w:val="0"/>
        <w:rPr>
          <w:rFonts w:ascii="Arial" w:hAnsi="Arial"/>
          <w:b/>
          <w:sz w:val="28"/>
        </w:rPr>
      </w:pPr>
      <w:r>
        <w:rPr>
          <w:rFonts w:ascii="Arial" w:hAnsi="Arial"/>
          <w:b/>
          <w:sz w:val="28"/>
        </w:rPr>
        <w:t xml:space="preserve">Quality Control </w:t>
      </w:r>
    </w:p>
    <w:p w:rsidR="00F308FD" w:rsidRPr="00F308FD" w:rsidRDefault="00F308FD" w:rsidP="00F308FD">
      <w:pPr>
        <w:ind w:left="1440"/>
        <w:outlineLvl w:val="0"/>
        <w:rPr>
          <w:rFonts w:ascii="Arial" w:hAnsi="Arial" w:cs="Arial"/>
          <w:b/>
          <w:sz w:val="32"/>
        </w:rPr>
      </w:pPr>
    </w:p>
    <w:p w:rsidR="00F308FD" w:rsidRPr="00F308FD" w:rsidRDefault="009761E7" w:rsidP="00F308FD">
      <w:pPr>
        <w:numPr>
          <w:ilvl w:val="1"/>
          <w:numId w:val="39"/>
        </w:numPr>
        <w:outlineLvl w:val="0"/>
        <w:rPr>
          <w:rFonts w:ascii="Arial" w:hAnsi="Arial" w:cs="Arial"/>
          <w:b/>
          <w:sz w:val="36"/>
        </w:rPr>
      </w:pPr>
      <w:r w:rsidRPr="00F308FD">
        <w:rPr>
          <w:rFonts w:ascii="Arial" w:hAnsi="Arial" w:cs="Arial"/>
          <w:sz w:val="24"/>
        </w:rPr>
        <w:t>Proper controls are essential in th</w:t>
      </w:r>
      <w:r w:rsidR="00F308FD" w:rsidRPr="00F308FD">
        <w:rPr>
          <w:rFonts w:ascii="Arial" w:hAnsi="Arial" w:cs="Arial"/>
          <w:sz w:val="24"/>
        </w:rPr>
        <w:t xml:space="preserve">e performance of all laboratory </w:t>
      </w:r>
      <w:r w:rsidRPr="00F308FD">
        <w:rPr>
          <w:rFonts w:ascii="Arial" w:hAnsi="Arial" w:cs="Arial"/>
          <w:sz w:val="24"/>
        </w:rPr>
        <w:t>procedures. As proof that the antigen(s) to be tested for on the treated cells are not destroyed by the treatment, it is recommended that appropriate known antigen-positive red blood cells be treated in parallel with the IgG-coated cells and tested with the relevant reagent(s) for positive control purposes. This control may be omitted if the laboratory has previously confirmed (and has convincing documentation) that the relevant antigen(s) are n</w:t>
      </w:r>
      <w:r w:rsidR="00F308FD" w:rsidRPr="00F308FD">
        <w:rPr>
          <w:rFonts w:ascii="Arial" w:hAnsi="Arial" w:cs="Arial"/>
          <w:sz w:val="24"/>
        </w:rPr>
        <w:t>ot destroyed by the treatment.</w:t>
      </w:r>
    </w:p>
    <w:p w:rsidR="00F308FD" w:rsidRPr="00F308FD" w:rsidRDefault="00F308FD" w:rsidP="00F308FD">
      <w:pPr>
        <w:ind w:left="1440"/>
        <w:outlineLvl w:val="0"/>
        <w:rPr>
          <w:rFonts w:ascii="Arial" w:hAnsi="Arial" w:cs="Arial"/>
          <w:b/>
          <w:sz w:val="36"/>
        </w:rPr>
      </w:pPr>
    </w:p>
    <w:p w:rsidR="009761E7" w:rsidRPr="00F308FD" w:rsidRDefault="009761E7" w:rsidP="00F308FD">
      <w:pPr>
        <w:numPr>
          <w:ilvl w:val="1"/>
          <w:numId w:val="39"/>
        </w:numPr>
        <w:outlineLvl w:val="0"/>
        <w:rPr>
          <w:rFonts w:ascii="Arial" w:hAnsi="Arial" w:cs="Arial"/>
          <w:b/>
          <w:sz w:val="36"/>
        </w:rPr>
      </w:pPr>
      <w:r w:rsidRPr="00F308FD">
        <w:rPr>
          <w:rFonts w:ascii="Arial" w:hAnsi="Arial" w:cs="Arial"/>
          <w:sz w:val="24"/>
        </w:rPr>
        <w:t>In addition, it is recommended that a parallel indirect antiglobulin test be carried out with an inert control reagent, such as 6% bovine albumin, as confirmation that the immunoglobulin coating has been successfully removed from the cells.</w:t>
      </w:r>
    </w:p>
    <w:p w:rsidR="009761E7" w:rsidRDefault="009761E7">
      <w:pPr>
        <w:pStyle w:val="BodyTextIndent3"/>
      </w:pPr>
    </w:p>
    <w:p w:rsidR="00F308FD" w:rsidRDefault="00F308FD">
      <w:pPr>
        <w:pStyle w:val="BodyTextIndent3"/>
      </w:pPr>
    </w:p>
    <w:p w:rsidR="009761E7" w:rsidRDefault="009761E7">
      <w:pPr>
        <w:numPr>
          <w:ilvl w:val="0"/>
          <w:numId w:val="5"/>
        </w:numPr>
        <w:rPr>
          <w:rFonts w:ascii="Arial" w:hAnsi="Arial"/>
          <w:b/>
          <w:sz w:val="28"/>
        </w:rPr>
      </w:pPr>
      <w:r>
        <w:rPr>
          <w:rFonts w:ascii="Arial" w:hAnsi="Arial"/>
          <w:b/>
          <w:sz w:val="28"/>
        </w:rPr>
        <w:t xml:space="preserve">Procedure </w:t>
      </w:r>
    </w:p>
    <w:p w:rsidR="009761E7" w:rsidRDefault="009761E7">
      <w:pPr>
        <w:ind w:left="720"/>
        <w:rPr>
          <w:rFonts w:ascii="Arial" w:hAnsi="Arial"/>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hanging="709"/>
              <w:rPr>
                <w:rFonts w:ascii="Arial" w:hAnsi="Arial"/>
                <w:sz w:val="24"/>
              </w:rPr>
            </w:pPr>
            <w:r w:rsidRPr="00B13B0A">
              <w:rPr>
                <w:rFonts w:ascii="Arial" w:hAnsi="Arial"/>
                <w:sz w:val="24"/>
              </w:rPr>
              <w:t>Wash the coated (patient’s) red blood cells three times in saline and resuspend them to a concentration of 3%.</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Place 30 drops of the suspension of washed patient red blood cells into a clean labeled test tube.</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Centrifuge to pack the cells as completely as possible and carefully remove the supernatant without disturbing the cells. As a guide, one minute at 3400 rpm should pack the cells sufficiently.</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In a separate test tube, prepare the EGA solution by adding 4 drops of EGA Solution #1 to 16 drops of EGA Solution #2.</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Immediately add the freshly prepared EGA solution to the washed, packed red blood cells and mix gently.</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Start a timer and allow the mixture to stand at room temperature (23</w:t>
            </w:r>
            <w:r w:rsidRPr="00B13B0A">
              <w:rPr>
                <w:rFonts w:ascii="Arial" w:hAnsi="Arial" w:cs="Arial"/>
                <w:sz w:val="24"/>
              </w:rPr>
              <w:t>º</w:t>
            </w:r>
            <w:r w:rsidRPr="00B13B0A">
              <w:rPr>
                <w:rFonts w:ascii="Arial" w:hAnsi="Arial"/>
                <w:sz w:val="24"/>
              </w:rPr>
              <w:t>C</w:t>
            </w:r>
            <w:r w:rsidRPr="00B13B0A">
              <w:rPr>
                <w:rFonts w:ascii="Arial" w:hAnsi="Arial"/>
                <w:sz w:val="24"/>
                <w:u w:val="single"/>
              </w:rPr>
              <w:t xml:space="preserve">+ </w:t>
            </w:r>
            <w:r w:rsidRPr="00B13B0A">
              <w:rPr>
                <w:rFonts w:ascii="Arial" w:hAnsi="Arial"/>
                <w:sz w:val="24"/>
              </w:rPr>
              <w:t>3</w:t>
            </w:r>
            <w:r w:rsidRPr="00B13B0A">
              <w:rPr>
                <w:rFonts w:ascii="Arial" w:hAnsi="Arial" w:cs="Arial"/>
                <w:sz w:val="24"/>
              </w:rPr>
              <w:t>º</w:t>
            </w:r>
            <w:r w:rsidRPr="00B13B0A">
              <w:rPr>
                <w:rFonts w:ascii="Arial" w:hAnsi="Arial"/>
                <w:sz w:val="24"/>
              </w:rPr>
              <w:t>C) for no longer than two minutes. If the cells become markedly tanned or clumped after this much exposure, the treatment time may need to be shortened (in 15 second increments) until a level of treatment is achieved that does not result in clumping or marked tanning of the cells.</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Immediately add 4 drops of EGA Solution #3, mix thoroughly and centrifuge for 30 seconds at 3400 rpm.</w:t>
            </w:r>
          </w:p>
        </w:tc>
      </w:tr>
      <w:tr w:rsidR="003C6AA4" w:rsidRPr="00B13B0A" w:rsidTr="00F308FD">
        <w:tc>
          <w:tcPr>
            <w:tcW w:w="9032" w:type="dxa"/>
            <w:shd w:val="clear" w:color="auto" w:fill="auto"/>
          </w:tcPr>
          <w:p w:rsidR="003C6AA4"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Remove and discard the supernatant, then resuspend the treated cells in 0.9% saline.</w:t>
            </w:r>
            <w:r w:rsidR="00F308FD">
              <w:rPr>
                <w:rFonts w:ascii="Arial" w:hAnsi="Arial"/>
                <w:sz w:val="24"/>
              </w:rPr>
              <w:t xml:space="preserve"> </w:t>
            </w:r>
            <w:r w:rsidRPr="00B13B0A">
              <w:rPr>
                <w:rFonts w:ascii="Arial" w:hAnsi="Arial"/>
                <w:sz w:val="24"/>
              </w:rPr>
              <w:t>If at this point the treated cells are not markedly tanned or clumped (see step 6.6), proceed to wash the cells with at least three changes of saline.</w:t>
            </w:r>
          </w:p>
          <w:p w:rsidR="003C6AA4" w:rsidRPr="00B13B0A" w:rsidRDefault="003C6AA4" w:rsidP="00B13B0A">
            <w:pPr>
              <w:ind w:left="743"/>
              <w:rPr>
                <w:rFonts w:ascii="Arial" w:hAnsi="Arial"/>
                <w:sz w:val="24"/>
              </w:rPr>
            </w:pPr>
          </w:p>
          <w:p w:rsidR="003C6AA4" w:rsidRPr="00B13B0A" w:rsidRDefault="003C6AA4" w:rsidP="00B13B0A">
            <w:pPr>
              <w:ind w:left="743"/>
              <w:rPr>
                <w:rFonts w:ascii="Arial" w:hAnsi="Arial"/>
                <w:sz w:val="24"/>
              </w:rPr>
            </w:pPr>
            <w:r w:rsidRPr="00B13B0A">
              <w:rPr>
                <w:rFonts w:ascii="Arial" w:hAnsi="Arial"/>
                <w:b/>
                <w:sz w:val="24"/>
              </w:rPr>
              <w:t xml:space="preserve">Note: </w:t>
            </w:r>
            <w:r w:rsidRPr="00B13B0A">
              <w:rPr>
                <w:rFonts w:ascii="Arial" w:hAnsi="Arial"/>
                <w:sz w:val="24"/>
              </w:rPr>
              <w:t>While the supernatant removed from the treated cells may contain eluted antibody, this is substantially diluted. Accordingly, it is NOT RECOMMENDED that this sho</w:t>
            </w:r>
            <w:r w:rsidR="00400798">
              <w:rPr>
                <w:rFonts w:ascii="Arial" w:hAnsi="Arial"/>
                <w:sz w:val="24"/>
              </w:rPr>
              <w:t>uld be treated as an eluate (e</w:t>
            </w:r>
            <w:r w:rsidRPr="00B13B0A">
              <w:rPr>
                <w:rFonts w:ascii="Arial" w:hAnsi="Arial"/>
                <w:sz w:val="24"/>
              </w:rPr>
              <w:t>.</w:t>
            </w:r>
            <w:r w:rsidR="00400798">
              <w:rPr>
                <w:rFonts w:ascii="Arial" w:hAnsi="Arial"/>
                <w:sz w:val="24"/>
              </w:rPr>
              <w:t>g.</w:t>
            </w:r>
            <w:r w:rsidRPr="00B13B0A">
              <w:rPr>
                <w:rFonts w:ascii="Arial" w:hAnsi="Arial"/>
                <w:sz w:val="24"/>
              </w:rPr>
              <w:t xml:space="preserve"> used to determine the specificity of the coating antibody).</w:t>
            </w:r>
          </w:p>
        </w:tc>
      </w:tr>
      <w:tr w:rsidR="003C6AA4" w:rsidRPr="00B13B0A" w:rsidTr="00F308FD">
        <w:tc>
          <w:tcPr>
            <w:tcW w:w="9032" w:type="dxa"/>
            <w:shd w:val="clear" w:color="auto" w:fill="auto"/>
          </w:tcPr>
          <w:p w:rsidR="00D52C18" w:rsidRPr="00B13B0A" w:rsidRDefault="003C6AA4" w:rsidP="00B13B0A">
            <w:pPr>
              <w:numPr>
                <w:ilvl w:val="1"/>
                <w:numId w:val="21"/>
              </w:numPr>
              <w:tabs>
                <w:tab w:val="clear" w:pos="1440"/>
                <w:tab w:val="num" w:pos="743"/>
              </w:tabs>
              <w:ind w:left="743"/>
              <w:rPr>
                <w:rFonts w:ascii="Arial" w:hAnsi="Arial"/>
                <w:sz w:val="24"/>
              </w:rPr>
            </w:pPr>
            <w:r w:rsidRPr="00B13B0A">
              <w:rPr>
                <w:rFonts w:ascii="Arial" w:hAnsi="Arial"/>
                <w:sz w:val="24"/>
              </w:rPr>
              <w:t>Carry out a DAT on the washed, treated cells. If negative, proceed to test the cells for the desired antigens by the indirect antiglobulin procedure, following the directions of the reagent manufacturer(s)</w:t>
            </w:r>
            <w:r w:rsidR="00D52C18" w:rsidRPr="00B13B0A">
              <w:rPr>
                <w:rFonts w:ascii="Arial" w:hAnsi="Arial"/>
                <w:sz w:val="24"/>
              </w:rPr>
              <w:t>.</w:t>
            </w:r>
          </w:p>
          <w:p w:rsidR="003C6AA4" w:rsidRPr="00B13B0A" w:rsidRDefault="00D52C18" w:rsidP="00B13B0A">
            <w:pPr>
              <w:ind w:left="743"/>
              <w:rPr>
                <w:rFonts w:ascii="Arial" w:hAnsi="Arial"/>
                <w:sz w:val="24"/>
              </w:rPr>
            </w:pPr>
            <w:r w:rsidRPr="00B13B0A">
              <w:rPr>
                <w:rFonts w:ascii="Arial" w:hAnsi="Arial"/>
                <w:sz w:val="24"/>
              </w:rPr>
              <w:t>See NRT.009</w:t>
            </w:r>
            <w:r w:rsidR="00400798">
              <w:rPr>
                <w:rFonts w:ascii="Arial" w:hAnsi="Arial"/>
                <w:sz w:val="24"/>
              </w:rPr>
              <w:t xml:space="preserve"> -</w:t>
            </w:r>
            <w:r w:rsidRPr="00B13B0A">
              <w:rPr>
                <w:rFonts w:ascii="Arial" w:hAnsi="Arial"/>
                <w:sz w:val="24"/>
              </w:rPr>
              <w:t xml:space="preserve"> Antigen Typing</w:t>
            </w:r>
            <w:r w:rsidR="003C6AA4" w:rsidRPr="00B13B0A">
              <w:rPr>
                <w:rFonts w:ascii="Arial" w:hAnsi="Arial"/>
                <w:sz w:val="24"/>
              </w:rPr>
              <w:t xml:space="preserve">. </w:t>
            </w:r>
            <w:r w:rsidR="003C6AA4" w:rsidRPr="00B13B0A">
              <w:rPr>
                <w:rFonts w:ascii="Arial" w:hAnsi="Arial"/>
                <w:i/>
                <w:sz w:val="24"/>
              </w:rPr>
              <w:t xml:space="preserve"> </w:t>
            </w:r>
          </w:p>
          <w:p w:rsidR="003C6AA4" w:rsidRPr="00B13B0A" w:rsidRDefault="003C6AA4" w:rsidP="00B13B0A">
            <w:pPr>
              <w:ind w:left="1440"/>
              <w:rPr>
                <w:rFonts w:ascii="Arial" w:hAnsi="Arial"/>
                <w:sz w:val="24"/>
              </w:rPr>
            </w:pPr>
          </w:p>
          <w:p w:rsidR="00D52C18" w:rsidRPr="00B13B0A" w:rsidRDefault="003C6AA4" w:rsidP="00B13B0A">
            <w:pPr>
              <w:ind w:left="720"/>
              <w:rPr>
                <w:rFonts w:ascii="Arial" w:hAnsi="Arial"/>
                <w:i/>
                <w:sz w:val="24"/>
              </w:rPr>
            </w:pPr>
            <w:r w:rsidRPr="00B13B0A">
              <w:rPr>
                <w:rFonts w:ascii="Arial" w:hAnsi="Arial"/>
                <w:b/>
                <w:i/>
                <w:sz w:val="24"/>
              </w:rPr>
              <w:t xml:space="preserve">Caution: </w:t>
            </w:r>
            <w:r w:rsidRPr="00B13B0A">
              <w:rPr>
                <w:rFonts w:ascii="Arial" w:hAnsi="Arial"/>
                <w:i/>
                <w:sz w:val="24"/>
              </w:rPr>
              <w:t>The EGA treatment causes red blood cells to show an increased tendency to hemolysis upon standing. Accordingly, if there is any delay between washing the cells and testing them for antigen status, further washing may be required before use.</w:t>
            </w:r>
          </w:p>
          <w:p w:rsidR="00D52C18" w:rsidRDefault="00D52C18" w:rsidP="00B13B0A">
            <w:pPr>
              <w:ind w:left="720"/>
            </w:pPr>
          </w:p>
          <w:p w:rsidR="003C6AA4" w:rsidRPr="00B13B0A" w:rsidRDefault="003C6AA4" w:rsidP="00B13B0A">
            <w:pPr>
              <w:ind w:left="720"/>
              <w:rPr>
                <w:rFonts w:ascii="Arial" w:hAnsi="Arial"/>
                <w:sz w:val="24"/>
              </w:rPr>
            </w:pPr>
            <w:r w:rsidRPr="00B13B0A">
              <w:rPr>
                <w:rFonts w:ascii="Arial" w:hAnsi="Arial" w:cs="Arial"/>
                <w:b/>
                <w:sz w:val="24"/>
                <w:szCs w:val="24"/>
              </w:rPr>
              <w:t>Note:</w:t>
            </w:r>
            <w:r w:rsidRPr="00B13B0A">
              <w:rPr>
                <w:rFonts w:ascii="Arial" w:hAnsi="Arial" w:cs="Arial"/>
                <w:sz w:val="24"/>
                <w:szCs w:val="24"/>
              </w:rPr>
              <w:t xml:space="preserve"> If the direct antiglobulin test on the treated cells is still positive after one treatment, the treatment procedure may be repeated, but not more than one time. It should be noted that further exposure to acid conditions may cause permanent irreversible damage to the cell membrane.</w:t>
            </w:r>
          </w:p>
        </w:tc>
      </w:tr>
    </w:tbl>
    <w:p w:rsidR="003C6AA4" w:rsidRDefault="003C6AA4" w:rsidP="003C6AA4">
      <w:pPr>
        <w:ind w:left="1440"/>
        <w:rPr>
          <w:rFonts w:ascii="Arial" w:hAnsi="Arial"/>
          <w:sz w:val="24"/>
        </w:rPr>
      </w:pPr>
    </w:p>
    <w:p w:rsidR="009761E7" w:rsidRDefault="009761E7">
      <w:pPr>
        <w:numPr>
          <w:ilvl w:val="0"/>
          <w:numId w:val="8"/>
        </w:numPr>
        <w:outlineLvl w:val="0"/>
        <w:rPr>
          <w:rFonts w:ascii="Arial" w:hAnsi="Arial"/>
          <w:b/>
          <w:sz w:val="28"/>
        </w:rPr>
      </w:pPr>
      <w:r>
        <w:rPr>
          <w:rFonts w:ascii="Arial" w:hAnsi="Arial"/>
          <w:b/>
          <w:sz w:val="28"/>
        </w:rPr>
        <w:t>Reporting</w:t>
      </w:r>
    </w:p>
    <w:p w:rsidR="009761E7" w:rsidRDefault="009761E7">
      <w:pPr>
        <w:outlineLvl w:val="0"/>
        <w:rPr>
          <w:rFonts w:ascii="Arial" w:hAnsi="Arial"/>
          <w:b/>
          <w:sz w:val="28"/>
        </w:rPr>
      </w:pPr>
    </w:p>
    <w:p w:rsidR="009761E7" w:rsidRDefault="009761E7">
      <w:pPr>
        <w:pStyle w:val="Heading1"/>
      </w:pPr>
      <w:r>
        <w:t>Interpretation of Results:</w:t>
      </w:r>
    </w:p>
    <w:p w:rsidR="009761E7" w:rsidRDefault="009761E7"/>
    <w:p w:rsidR="009761E7" w:rsidRPr="00E506FD" w:rsidRDefault="009761E7" w:rsidP="00D52C18">
      <w:pPr>
        <w:numPr>
          <w:ilvl w:val="1"/>
          <w:numId w:val="34"/>
        </w:numPr>
        <w:tabs>
          <w:tab w:val="clear" w:pos="1140"/>
          <w:tab w:val="num" w:pos="1440"/>
        </w:tabs>
        <w:ind w:left="1440" w:hanging="731"/>
        <w:rPr>
          <w:rFonts w:ascii="Arial" w:hAnsi="Arial"/>
          <w:sz w:val="24"/>
        </w:rPr>
      </w:pPr>
      <w:r w:rsidRPr="00E506FD">
        <w:rPr>
          <w:rFonts w:ascii="Arial" w:hAnsi="Arial"/>
          <w:sz w:val="24"/>
        </w:rPr>
        <w:t xml:space="preserve">If the </w:t>
      </w:r>
      <w:r w:rsidR="00E506FD" w:rsidRPr="00E506FD">
        <w:rPr>
          <w:rFonts w:ascii="Arial" w:hAnsi="Arial"/>
          <w:sz w:val="24"/>
        </w:rPr>
        <w:t>DAT</w:t>
      </w:r>
      <w:r w:rsidRPr="00E506FD">
        <w:rPr>
          <w:rFonts w:ascii="Arial" w:hAnsi="Arial"/>
          <w:sz w:val="24"/>
        </w:rPr>
        <w:t xml:space="preserve"> is negative on the red blood cells after treatment, the cells may be tested for antigen status (other than for antigens known to be destroyed by the treatment) by the indirect antiglobulin procedure.</w:t>
      </w:r>
    </w:p>
    <w:p w:rsidR="009761E7" w:rsidRDefault="009761E7">
      <w:pPr>
        <w:rPr>
          <w:rFonts w:ascii="Arial" w:hAnsi="Arial"/>
          <w:sz w:val="24"/>
        </w:rPr>
      </w:pPr>
    </w:p>
    <w:p w:rsidR="00D52C18" w:rsidRDefault="009761E7" w:rsidP="00D52C18">
      <w:pPr>
        <w:numPr>
          <w:ilvl w:val="0"/>
          <w:numId w:val="8"/>
        </w:numPr>
        <w:rPr>
          <w:rFonts w:ascii="Arial" w:hAnsi="Arial"/>
          <w:b/>
          <w:sz w:val="28"/>
        </w:rPr>
      </w:pPr>
      <w:r>
        <w:rPr>
          <w:rFonts w:ascii="Arial" w:hAnsi="Arial"/>
          <w:b/>
          <w:sz w:val="28"/>
        </w:rPr>
        <w:t>Procedural Notes</w:t>
      </w:r>
    </w:p>
    <w:p w:rsidR="00D52C18" w:rsidRPr="00D52C18" w:rsidRDefault="00D52C18" w:rsidP="00D52C18">
      <w:pPr>
        <w:ind w:left="1080"/>
        <w:rPr>
          <w:rFonts w:ascii="Arial" w:hAnsi="Arial"/>
          <w:b/>
          <w:sz w:val="28"/>
        </w:rPr>
      </w:pPr>
    </w:p>
    <w:p w:rsidR="00D52C18" w:rsidRPr="00D52C18" w:rsidRDefault="009761E7" w:rsidP="00D52C18">
      <w:pPr>
        <w:numPr>
          <w:ilvl w:val="1"/>
          <w:numId w:val="35"/>
        </w:numPr>
        <w:ind w:left="1418"/>
        <w:rPr>
          <w:rFonts w:ascii="Arial" w:hAnsi="Arial"/>
          <w:b/>
          <w:sz w:val="28"/>
        </w:rPr>
      </w:pPr>
      <w:r w:rsidRPr="00D52C18">
        <w:rPr>
          <w:rFonts w:ascii="Arial" w:hAnsi="Arial"/>
          <w:bCs/>
          <w:sz w:val="24"/>
        </w:rPr>
        <w:t>Limitations</w:t>
      </w:r>
      <w:r w:rsidRPr="00D52C18">
        <w:rPr>
          <w:rFonts w:ascii="Arial" w:hAnsi="Arial"/>
          <w:sz w:val="24"/>
        </w:rPr>
        <w:t>: Factors that may yield misleading results include the following:</w:t>
      </w:r>
    </w:p>
    <w:p w:rsidR="00D52C18" w:rsidRDefault="00D52C18" w:rsidP="00D52C18">
      <w:pPr>
        <w:ind w:left="1418"/>
        <w:rPr>
          <w:rFonts w:ascii="Arial" w:hAnsi="Arial"/>
          <w:b/>
          <w:sz w:val="28"/>
        </w:rPr>
      </w:pPr>
    </w:p>
    <w:p w:rsidR="00D52C18" w:rsidRDefault="009761E7" w:rsidP="00D52C18">
      <w:pPr>
        <w:numPr>
          <w:ilvl w:val="2"/>
          <w:numId w:val="35"/>
        </w:numPr>
        <w:ind w:left="2694" w:hanging="851"/>
        <w:rPr>
          <w:rFonts w:ascii="Arial" w:hAnsi="Arial"/>
          <w:b/>
          <w:sz w:val="28"/>
        </w:rPr>
      </w:pPr>
      <w:r w:rsidRPr="00D52C18">
        <w:rPr>
          <w:rFonts w:ascii="Arial" w:hAnsi="Arial"/>
          <w:sz w:val="24"/>
        </w:rPr>
        <w:t xml:space="preserve">Treatment of the red blood cells must be limited to the </w:t>
      </w:r>
      <w:r w:rsidR="00C437AE" w:rsidRPr="00D52C18">
        <w:rPr>
          <w:rFonts w:ascii="Arial" w:hAnsi="Arial"/>
          <w:sz w:val="24"/>
        </w:rPr>
        <w:t xml:space="preserve">number of </w:t>
      </w:r>
      <w:r w:rsidRPr="00D52C18">
        <w:rPr>
          <w:rFonts w:ascii="Arial" w:hAnsi="Arial"/>
          <w:sz w:val="24"/>
        </w:rPr>
        <w:t>times recommended in th</w:t>
      </w:r>
      <w:r w:rsidR="00C437AE" w:rsidRPr="00D52C18">
        <w:rPr>
          <w:rFonts w:ascii="Arial" w:hAnsi="Arial"/>
          <w:sz w:val="24"/>
        </w:rPr>
        <w:t>e</w:t>
      </w:r>
      <w:r w:rsidRPr="00D52C18">
        <w:rPr>
          <w:rFonts w:ascii="Arial" w:hAnsi="Arial"/>
          <w:sz w:val="24"/>
        </w:rPr>
        <w:t xml:space="preserve"> package insert.  Prolonging incubation of the red blood cells in the </w:t>
      </w:r>
      <w:r w:rsidR="00E506FD" w:rsidRPr="00D52C18">
        <w:rPr>
          <w:rFonts w:ascii="Arial" w:hAnsi="Arial"/>
          <w:sz w:val="24"/>
        </w:rPr>
        <w:t>EGA</w:t>
      </w:r>
      <w:r w:rsidRPr="00D52C18">
        <w:rPr>
          <w:rFonts w:ascii="Arial" w:hAnsi="Arial"/>
          <w:sz w:val="24"/>
        </w:rPr>
        <w:t xml:space="preserve"> medium will alter the cell membrane irreversibly.  Visible signs of overtreatment may be the development of a maroon-tan coloration and clumping.</w:t>
      </w:r>
    </w:p>
    <w:p w:rsidR="00D52C18" w:rsidRDefault="00D52C18" w:rsidP="00D52C18">
      <w:pPr>
        <w:ind w:left="2694"/>
        <w:rPr>
          <w:rFonts w:ascii="Arial" w:hAnsi="Arial"/>
          <w:b/>
          <w:sz w:val="28"/>
        </w:rPr>
      </w:pPr>
    </w:p>
    <w:p w:rsidR="00D52C18" w:rsidRDefault="009761E7" w:rsidP="00D52C18">
      <w:pPr>
        <w:numPr>
          <w:ilvl w:val="2"/>
          <w:numId w:val="35"/>
        </w:numPr>
        <w:ind w:left="2694" w:hanging="851"/>
        <w:rPr>
          <w:rFonts w:ascii="Arial" w:hAnsi="Arial"/>
          <w:b/>
          <w:sz w:val="28"/>
        </w:rPr>
      </w:pPr>
      <w:r w:rsidRPr="00D52C18">
        <w:rPr>
          <w:rFonts w:ascii="Arial" w:hAnsi="Arial"/>
          <w:sz w:val="24"/>
        </w:rPr>
        <w:t xml:space="preserve">The treatment of red blood cells by this procedure renders the cells incapable of being typed for antigens </w:t>
      </w:r>
      <w:r w:rsidR="00D52C18">
        <w:rPr>
          <w:rFonts w:ascii="Arial" w:hAnsi="Arial"/>
          <w:sz w:val="24"/>
        </w:rPr>
        <w:t xml:space="preserve">of the Kell system. </w:t>
      </w:r>
      <w:r w:rsidRPr="00D52C18">
        <w:rPr>
          <w:rFonts w:ascii="Arial" w:hAnsi="Arial"/>
          <w:sz w:val="24"/>
        </w:rPr>
        <w:t>This feature may be used to advantage in a situation where plasma being investigated contains a mixture of antibodies that is suspected to include a specificity</w:t>
      </w:r>
      <w:r w:rsidR="00D52C18">
        <w:rPr>
          <w:rFonts w:ascii="Arial" w:hAnsi="Arial"/>
          <w:sz w:val="24"/>
        </w:rPr>
        <w:t xml:space="preserve"> belonging to the Kell system. </w:t>
      </w:r>
      <w:r w:rsidRPr="00D52C18">
        <w:rPr>
          <w:rFonts w:ascii="Arial" w:hAnsi="Arial"/>
          <w:sz w:val="24"/>
        </w:rPr>
        <w:t>In such cases, uncoated cells typed for other antigens may be treated for use in antibody identification procedures.</w:t>
      </w:r>
    </w:p>
    <w:p w:rsidR="00D52C18" w:rsidRDefault="00D52C18" w:rsidP="00D52C18">
      <w:pPr>
        <w:pStyle w:val="ListParagraph"/>
        <w:rPr>
          <w:rFonts w:ascii="Arial" w:hAnsi="Arial"/>
          <w:sz w:val="24"/>
        </w:rPr>
      </w:pPr>
    </w:p>
    <w:p w:rsidR="00D52C18" w:rsidRDefault="009761E7" w:rsidP="00D52C18">
      <w:pPr>
        <w:numPr>
          <w:ilvl w:val="2"/>
          <w:numId w:val="35"/>
        </w:numPr>
        <w:ind w:left="2694" w:hanging="851"/>
        <w:rPr>
          <w:rFonts w:ascii="Arial" w:hAnsi="Arial"/>
          <w:b/>
          <w:sz w:val="28"/>
        </w:rPr>
      </w:pPr>
      <w:r w:rsidRPr="00D52C18">
        <w:rPr>
          <w:rFonts w:ascii="Arial" w:hAnsi="Arial"/>
          <w:sz w:val="24"/>
        </w:rPr>
        <w:t>The Er</w:t>
      </w:r>
      <w:r w:rsidRPr="00D52C18">
        <w:rPr>
          <w:rFonts w:ascii="Arial" w:hAnsi="Arial"/>
          <w:sz w:val="24"/>
          <w:vertAlign w:val="superscript"/>
        </w:rPr>
        <w:t>a</w:t>
      </w:r>
      <w:r w:rsidRPr="00D52C18">
        <w:rPr>
          <w:rFonts w:ascii="Arial" w:hAnsi="Arial"/>
          <w:sz w:val="24"/>
        </w:rPr>
        <w:t xml:space="preserve"> blood group antigen and Bg have also been reported to be rendered inactive by </w:t>
      </w:r>
      <w:r w:rsidR="00E506FD" w:rsidRPr="00D52C18">
        <w:rPr>
          <w:rFonts w:ascii="Arial" w:hAnsi="Arial"/>
          <w:sz w:val="24"/>
        </w:rPr>
        <w:t>EGA</w:t>
      </w:r>
      <w:r w:rsidRPr="00D52C18">
        <w:rPr>
          <w:rFonts w:ascii="Arial" w:hAnsi="Arial"/>
          <w:sz w:val="24"/>
        </w:rPr>
        <w:t xml:space="preserve"> treatment.  Other antig</w:t>
      </w:r>
      <w:r w:rsidR="00D52C18">
        <w:rPr>
          <w:rFonts w:ascii="Arial" w:hAnsi="Arial"/>
          <w:sz w:val="24"/>
        </w:rPr>
        <w:t xml:space="preserve">ens may similarly be impaired. </w:t>
      </w:r>
      <w:r w:rsidRPr="00D52C18">
        <w:rPr>
          <w:rFonts w:ascii="Arial" w:hAnsi="Arial"/>
          <w:sz w:val="24"/>
        </w:rPr>
        <w:t>The only antigens that have been demonstrated not to have been denatured or destroyed by the treatment process are: M, N, S, s, D, C, E, c, e, Fy</w:t>
      </w:r>
      <w:r w:rsidRPr="00D52C18">
        <w:rPr>
          <w:rFonts w:ascii="Arial" w:hAnsi="Arial"/>
          <w:sz w:val="24"/>
          <w:vertAlign w:val="superscript"/>
        </w:rPr>
        <w:t>a</w:t>
      </w:r>
      <w:r w:rsidRPr="00D52C18">
        <w:rPr>
          <w:rFonts w:ascii="Arial" w:hAnsi="Arial"/>
          <w:sz w:val="24"/>
        </w:rPr>
        <w:t>, Fy</w:t>
      </w:r>
      <w:r w:rsidRPr="00D52C18">
        <w:rPr>
          <w:rFonts w:ascii="Arial" w:hAnsi="Arial"/>
          <w:sz w:val="24"/>
          <w:vertAlign w:val="superscript"/>
        </w:rPr>
        <w:t>b</w:t>
      </w:r>
      <w:r w:rsidRPr="00D52C18">
        <w:rPr>
          <w:rFonts w:ascii="Arial" w:hAnsi="Arial"/>
          <w:sz w:val="24"/>
        </w:rPr>
        <w:t>, Jk</w:t>
      </w:r>
      <w:r w:rsidRPr="00D52C18">
        <w:rPr>
          <w:rFonts w:ascii="Arial" w:hAnsi="Arial"/>
          <w:sz w:val="24"/>
          <w:vertAlign w:val="superscript"/>
        </w:rPr>
        <w:t xml:space="preserve">a </w:t>
      </w:r>
      <w:r w:rsidRPr="00D52C18">
        <w:rPr>
          <w:rFonts w:ascii="Arial" w:hAnsi="Arial"/>
          <w:sz w:val="24"/>
        </w:rPr>
        <w:t>and Jk</w:t>
      </w:r>
      <w:r w:rsidRPr="00D52C18">
        <w:rPr>
          <w:rFonts w:ascii="Arial" w:hAnsi="Arial"/>
          <w:sz w:val="24"/>
          <w:vertAlign w:val="superscript"/>
        </w:rPr>
        <w:t>b</w:t>
      </w:r>
      <w:r w:rsidRPr="00D52C18">
        <w:rPr>
          <w:rFonts w:ascii="Arial" w:hAnsi="Arial"/>
          <w:sz w:val="24"/>
        </w:rPr>
        <w:t>.</w:t>
      </w:r>
    </w:p>
    <w:p w:rsidR="00D52C18" w:rsidRDefault="00D52C18" w:rsidP="00D52C18">
      <w:pPr>
        <w:pStyle w:val="ListParagraph"/>
        <w:rPr>
          <w:rFonts w:ascii="Arial" w:hAnsi="Arial"/>
          <w:sz w:val="24"/>
        </w:rPr>
      </w:pPr>
    </w:p>
    <w:p w:rsidR="00D52C18" w:rsidRPr="00D52C18" w:rsidRDefault="009761E7" w:rsidP="00D52C18">
      <w:pPr>
        <w:numPr>
          <w:ilvl w:val="2"/>
          <w:numId w:val="35"/>
        </w:numPr>
        <w:spacing w:line="228" w:lineRule="auto"/>
        <w:ind w:left="2694" w:hanging="851"/>
      </w:pPr>
      <w:r w:rsidRPr="00D52C18">
        <w:rPr>
          <w:rFonts w:ascii="Arial" w:hAnsi="Arial"/>
          <w:sz w:val="24"/>
        </w:rPr>
        <w:t>The treatment procedure may not be successful in removing IgG completely from coated cells in all cases.  Sometimes, the strength of the DAT can only be reduced, but sufficiently as to make possible the reliable interpretation of an indirect antiglobuli</w:t>
      </w:r>
      <w:r w:rsidR="00D52C18">
        <w:rPr>
          <w:rFonts w:ascii="Arial" w:hAnsi="Arial"/>
          <w:sz w:val="24"/>
        </w:rPr>
        <w:t>n test.</w:t>
      </w:r>
      <w:r w:rsidRPr="00D52C18">
        <w:rPr>
          <w:rFonts w:ascii="Arial" w:hAnsi="Arial"/>
          <w:sz w:val="24"/>
        </w:rPr>
        <w:t xml:space="preserve"> In other cases, the strength of the DAT reaction may not be perceptibly reduced. In two published reports, cells treated one or two times with solutions similar to those comprising the EGA Kit could not be used for phenotyping in 15% </w:t>
      </w:r>
      <w:r w:rsidRPr="00D52C18">
        <w:rPr>
          <w:rFonts w:ascii="Arial" w:hAnsi="Arial"/>
          <w:sz w:val="24"/>
          <w:vertAlign w:val="superscript"/>
        </w:rPr>
        <w:t>9.1</w:t>
      </w:r>
      <w:r w:rsidRPr="00D52C18">
        <w:rPr>
          <w:rFonts w:ascii="Arial" w:hAnsi="Arial"/>
          <w:sz w:val="24"/>
        </w:rPr>
        <w:t xml:space="preserve"> and in 18% </w:t>
      </w:r>
      <w:r w:rsidRPr="00D52C18">
        <w:rPr>
          <w:rFonts w:ascii="Arial" w:hAnsi="Arial"/>
          <w:sz w:val="24"/>
          <w:vertAlign w:val="superscript"/>
        </w:rPr>
        <w:t>9.2</w:t>
      </w:r>
      <w:r w:rsidRPr="00D52C18">
        <w:rPr>
          <w:rFonts w:ascii="Arial" w:hAnsi="Arial"/>
          <w:sz w:val="24"/>
        </w:rPr>
        <w:t xml:space="preserve"> of cases, respectively.</w:t>
      </w:r>
    </w:p>
    <w:p w:rsidR="00D52C18" w:rsidRPr="00F308FD" w:rsidRDefault="00D52C18" w:rsidP="00D52C18">
      <w:pPr>
        <w:pStyle w:val="ListParagraph"/>
        <w:rPr>
          <w:sz w:val="22"/>
        </w:rPr>
      </w:pPr>
    </w:p>
    <w:p w:rsidR="009761E7" w:rsidRPr="00F308FD" w:rsidRDefault="009761E7" w:rsidP="00D52C18">
      <w:pPr>
        <w:numPr>
          <w:ilvl w:val="1"/>
          <w:numId w:val="35"/>
        </w:numPr>
        <w:spacing w:line="228" w:lineRule="auto"/>
        <w:ind w:left="1418" w:hanging="709"/>
        <w:rPr>
          <w:rFonts w:ascii="Arial" w:hAnsi="Arial" w:cs="Arial"/>
          <w:sz w:val="24"/>
        </w:rPr>
      </w:pPr>
      <w:r w:rsidRPr="00F308FD">
        <w:rPr>
          <w:rFonts w:ascii="Arial" w:hAnsi="Arial" w:cs="Arial"/>
          <w:sz w:val="24"/>
        </w:rPr>
        <w:t xml:space="preserve">The solutions comprising the Gamma </w:t>
      </w:r>
      <w:r w:rsidR="00D52C18" w:rsidRPr="00F308FD">
        <w:rPr>
          <w:rFonts w:ascii="Arial" w:hAnsi="Arial" w:cs="Arial"/>
          <w:sz w:val="24"/>
        </w:rPr>
        <w:t xml:space="preserve">EGA Kit have been tested by the </w:t>
      </w:r>
      <w:r w:rsidRPr="00F308FD">
        <w:rPr>
          <w:rFonts w:ascii="Arial" w:hAnsi="Arial" w:cs="Arial"/>
          <w:sz w:val="24"/>
        </w:rPr>
        <w:t>procedure detailed in this direction insert and found to dissociate IgG from coated red blood cells. Dissociation is sufficient in most cases to enable the treated cells to be tested for their surface antigens (except for those destroyed by the treatment) using the indirect antiglobulin test. Uncoated cells are also shown to lose the Kell system antigens K and k as</w:t>
      </w:r>
      <w:r w:rsidR="00D52C18" w:rsidRPr="00F308FD">
        <w:rPr>
          <w:rFonts w:ascii="Arial" w:hAnsi="Arial" w:cs="Arial"/>
          <w:sz w:val="24"/>
        </w:rPr>
        <w:t xml:space="preserve"> a consequence of the treatment.</w:t>
      </w:r>
    </w:p>
    <w:p w:rsidR="009761E7" w:rsidRDefault="009761E7">
      <w:pPr>
        <w:rPr>
          <w:rFonts w:ascii="Arial" w:hAnsi="Arial"/>
          <w:sz w:val="24"/>
        </w:rPr>
      </w:pPr>
    </w:p>
    <w:p w:rsidR="004B1AB2" w:rsidRDefault="00D52C18" w:rsidP="004B1AB2">
      <w:pPr>
        <w:numPr>
          <w:ilvl w:val="0"/>
          <w:numId w:val="8"/>
        </w:numPr>
        <w:spacing w:line="228" w:lineRule="auto"/>
        <w:outlineLvl w:val="0"/>
        <w:rPr>
          <w:rFonts w:ascii="Arial" w:hAnsi="Arial"/>
          <w:b/>
          <w:sz w:val="28"/>
          <w:lang w:val="fr-CA"/>
        </w:rPr>
      </w:pPr>
      <w:r>
        <w:rPr>
          <w:rFonts w:ascii="Arial" w:hAnsi="Arial"/>
          <w:b/>
          <w:sz w:val="28"/>
          <w:lang w:val="fr-CA"/>
        </w:rPr>
        <w:t>R</w:t>
      </w:r>
      <w:r w:rsidR="009761E7">
        <w:rPr>
          <w:rFonts w:ascii="Arial" w:hAnsi="Arial"/>
          <w:b/>
          <w:sz w:val="28"/>
          <w:lang w:val="fr-CA"/>
        </w:rPr>
        <w:t>eferences</w:t>
      </w:r>
    </w:p>
    <w:p w:rsidR="004B1AB2" w:rsidRPr="004B1AB2" w:rsidRDefault="004B1AB2" w:rsidP="004B1AB2">
      <w:pPr>
        <w:spacing w:line="228" w:lineRule="auto"/>
        <w:ind w:left="1080"/>
        <w:outlineLvl w:val="0"/>
        <w:rPr>
          <w:rFonts w:ascii="Arial" w:hAnsi="Arial"/>
          <w:b/>
          <w:sz w:val="28"/>
          <w:lang w:val="fr-CA"/>
        </w:rPr>
      </w:pPr>
    </w:p>
    <w:p w:rsidR="004B1AB2" w:rsidRPr="004B1AB2" w:rsidRDefault="004B1AB2" w:rsidP="00613F58">
      <w:pPr>
        <w:numPr>
          <w:ilvl w:val="1"/>
          <w:numId w:val="36"/>
        </w:numPr>
        <w:spacing w:line="228" w:lineRule="auto"/>
        <w:ind w:left="1418" w:hanging="709"/>
        <w:outlineLvl w:val="0"/>
        <w:rPr>
          <w:rFonts w:ascii="Arial" w:hAnsi="Arial"/>
          <w:b/>
          <w:sz w:val="28"/>
          <w:lang w:val="fr-CA"/>
        </w:rPr>
      </w:pPr>
      <w:r w:rsidRPr="004B1AB2">
        <w:rPr>
          <w:rFonts w:ascii="Arial" w:hAnsi="Arial"/>
          <w:sz w:val="24"/>
        </w:rPr>
        <w:t xml:space="preserve">Judd, WJ ed. Judd’s Methods in Immunohematology, 3rd ed, </w:t>
      </w:r>
      <w:r>
        <w:rPr>
          <w:rFonts w:ascii="Arial" w:hAnsi="Arial"/>
          <w:sz w:val="24"/>
        </w:rPr>
        <w:t xml:space="preserve">Bethesda, </w:t>
      </w:r>
      <w:r w:rsidRPr="004B1AB2">
        <w:rPr>
          <w:rFonts w:ascii="Arial" w:hAnsi="Arial"/>
          <w:sz w:val="24"/>
        </w:rPr>
        <w:t>MD: pg. 167-168</w:t>
      </w:r>
    </w:p>
    <w:p w:rsidR="00613F58" w:rsidRPr="00613F58" w:rsidRDefault="00613F58" w:rsidP="00613F58">
      <w:pPr>
        <w:spacing w:line="228" w:lineRule="auto"/>
        <w:ind w:left="1418"/>
        <w:outlineLvl w:val="0"/>
        <w:rPr>
          <w:rFonts w:ascii="Arial" w:hAnsi="Arial"/>
          <w:b/>
          <w:sz w:val="28"/>
          <w:lang w:val="fr-CA"/>
        </w:rPr>
      </w:pPr>
    </w:p>
    <w:p w:rsidR="004B1AB2" w:rsidRDefault="004B1AB2" w:rsidP="00613F58">
      <w:pPr>
        <w:numPr>
          <w:ilvl w:val="1"/>
          <w:numId w:val="36"/>
        </w:numPr>
        <w:spacing w:line="228" w:lineRule="auto"/>
        <w:ind w:left="1418"/>
        <w:outlineLvl w:val="0"/>
        <w:rPr>
          <w:rFonts w:ascii="Arial" w:hAnsi="Arial"/>
          <w:b/>
          <w:sz w:val="28"/>
          <w:lang w:val="fr-CA"/>
        </w:rPr>
      </w:pPr>
      <w:r w:rsidRPr="004B1AB2">
        <w:rPr>
          <w:rFonts w:ascii="Arial" w:hAnsi="Arial"/>
          <w:sz w:val="24"/>
        </w:rPr>
        <w:t>Roback, JD. ed. AABB Technical Manual, 17th ed. Bethesda, MD: American Association of Blood Banks, 2011: pg 892-893.</w:t>
      </w:r>
    </w:p>
    <w:p w:rsidR="00613F58" w:rsidRPr="00613F58" w:rsidRDefault="00613F58" w:rsidP="00613F58">
      <w:pPr>
        <w:spacing w:line="228" w:lineRule="auto"/>
        <w:ind w:left="1418"/>
        <w:outlineLvl w:val="0"/>
        <w:rPr>
          <w:rFonts w:ascii="Arial" w:hAnsi="Arial"/>
          <w:b/>
          <w:sz w:val="28"/>
          <w:lang w:val="fr-CA"/>
        </w:rPr>
      </w:pPr>
    </w:p>
    <w:p w:rsidR="004B1AB2" w:rsidRPr="00F308FD" w:rsidRDefault="004B1AB2" w:rsidP="00613F58">
      <w:pPr>
        <w:numPr>
          <w:ilvl w:val="1"/>
          <w:numId w:val="36"/>
        </w:numPr>
        <w:spacing w:line="228" w:lineRule="auto"/>
        <w:ind w:left="1418" w:hanging="709"/>
        <w:outlineLvl w:val="0"/>
        <w:rPr>
          <w:rFonts w:ascii="Arial" w:hAnsi="Arial"/>
          <w:b/>
          <w:sz w:val="28"/>
          <w:lang w:val="fr-CA"/>
        </w:rPr>
      </w:pPr>
      <w:r w:rsidRPr="004B1AB2">
        <w:rPr>
          <w:rFonts w:ascii="Arial" w:hAnsi="Arial"/>
          <w:sz w:val="24"/>
        </w:rPr>
        <w:t>For additional information refer to current manufacturers insert for Gamma EGA Kit.</w:t>
      </w:r>
    </w:p>
    <w:p w:rsidR="00F308FD" w:rsidRPr="004B1AB2" w:rsidRDefault="00F308FD" w:rsidP="00F308FD">
      <w:pPr>
        <w:spacing w:line="228" w:lineRule="auto"/>
        <w:outlineLvl w:val="0"/>
        <w:rPr>
          <w:rFonts w:ascii="Arial" w:hAnsi="Arial"/>
          <w:b/>
          <w:sz w:val="28"/>
          <w:lang w:val="fr-CA"/>
        </w:rPr>
      </w:pPr>
    </w:p>
    <w:p w:rsidR="00C961DD" w:rsidRPr="00613F58" w:rsidRDefault="00613F58">
      <w:pPr>
        <w:numPr>
          <w:ilvl w:val="0"/>
          <w:numId w:val="8"/>
        </w:numPr>
        <w:spacing w:line="228" w:lineRule="auto"/>
        <w:outlineLvl w:val="0"/>
        <w:rPr>
          <w:rFonts w:ascii="Arial" w:hAnsi="Arial"/>
          <w:b/>
          <w:sz w:val="28"/>
          <w:lang w:val="fr-CA"/>
        </w:rPr>
      </w:pPr>
      <w:r w:rsidRPr="00613F58">
        <w:rPr>
          <w:rFonts w:ascii="Arial" w:hAnsi="Arial"/>
          <w:b/>
          <w:sz w:val="28"/>
          <w:lang w:val="en-CA"/>
        </w:rPr>
        <w:t>Revision</w:t>
      </w:r>
      <w:r>
        <w:rPr>
          <w:rFonts w:ascii="Arial" w:hAnsi="Arial"/>
          <w:b/>
          <w:sz w:val="28"/>
          <w:lang w:val="fr-CA"/>
        </w:rPr>
        <w:t xml:space="preserve"> </w:t>
      </w:r>
      <w:r w:rsidRPr="00613F58">
        <w:rPr>
          <w:rFonts w:ascii="Arial" w:hAnsi="Arial"/>
          <w:b/>
          <w:sz w:val="28"/>
          <w:lang w:val="en-CA"/>
        </w:rPr>
        <w:t>History</w:t>
      </w:r>
    </w:p>
    <w:p w:rsidR="00613F58" w:rsidRDefault="00613F58" w:rsidP="00613F58">
      <w:pPr>
        <w:spacing w:line="228" w:lineRule="auto"/>
        <w:outlineLvl w:val="0"/>
        <w:rPr>
          <w:rFonts w:ascii="Arial" w:hAnsi="Arial"/>
          <w:b/>
          <w:sz w:val="2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771"/>
      </w:tblGrid>
      <w:tr w:rsidR="00613F58" w:rsidRPr="00D77D0C" w:rsidTr="00857BEE">
        <w:tc>
          <w:tcPr>
            <w:tcW w:w="3085" w:type="dxa"/>
            <w:shd w:val="clear" w:color="auto" w:fill="D9D9D9"/>
          </w:tcPr>
          <w:p w:rsidR="00613F58" w:rsidRPr="00D77D0C" w:rsidRDefault="00613F58" w:rsidP="00D77D0C">
            <w:pPr>
              <w:spacing w:line="228" w:lineRule="auto"/>
              <w:jc w:val="center"/>
              <w:outlineLvl w:val="0"/>
              <w:rPr>
                <w:rFonts w:ascii="Arial" w:hAnsi="Arial"/>
                <w:b/>
                <w:sz w:val="22"/>
                <w:lang w:val="en-CA"/>
              </w:rPr>
            </w:pPr>
            <w:r w:rsidRPr="00D77D0C">
              <w:rPr>
                <w:rFonts w:ascii="Arial" w:hAnsi="Arial"/>
                <w:b/>
                <w:sz w:val="22"/>
                <w:lang w:val="en-CA"/>
              </w:rPr>
              <w:t>Revision Date</w:t>
            </w:r>
          </w:p>
        </w:tc>
        <w:tc>
          <w:tcPr>
            <w:tcW w:w="5771" w:type="dxa"/>
            <w:shd w:val="clear" w:color="auto" w:fill="D9D9D9"/>
          </w:tcPr>
          <w:p w:rsidR="00613F58" w:rsidRPr="00D77D0C" w:rsidRDefault="00613F58" w:rsidP="00D77D0C">
            <w:pPr>
              <w:spacing w:line="228" w:lineRule="auto"/>
              <w:jc w:val="center"/>
              <w:outlineLvl w:val="0"/>
              <w:rPr>
                <w:rFonts w:ascii="Arial" w:hAnsi="Arial"/>
                <w:b/>
                <w:sz w:val="22"/>
                <w:lang w:val="en-CA"/>
              </w:rPr>
            </w:pPr>
            <w:r w:rsidRPr="00D77D0C">
              <w:rPr>
                <w:rFonts w:ascii="Arial" w:hAnsi="Arial"/>
                <w:b/>
                <w:sz w:val="22"/>
                <w:lang w:val="en-CA"/>
              </w:rPr>
              <w:t>Summary of Revision</w:t>
            </w:r>
          </w:p>
        </w:tc>
      </w:tr>
      <w:tr w:rsidR="00613F58" w:rsidRPr="00D77D0C" w:rsidTr="00857BEE">
        <w:tc>
          <w:tcPr>
            <w:tcW w:w="3085" w:type="dxa"/>
            <w:shd w:val="clear" w:color="auto" w:fill="auto"/>
          </w:tcPr>
          <w:p w:rsidR="00613F58" w:rsidRPr="00D77D0C" w:rsidRDefault="00613F58" w:rsidP="00D77D0C">
            <w:pPr>
              <w:spacing w:line="228" w:lineRule="auto"/>
              <w:outlineLvl w:val="0"/>
              <w:rPr>
                <w:rFonts w:ascii="Arial" w:hAnsi="Arial"/>
                <w:sz w:val="22"/>
                <w:lang w:val="en-CA"/>
              </w:rPr>
            </w:pPr>
            <w:r w:rsidRPr="00D77D0C">
              <w:rPr>
                <w:rFonts w:ascii="Arial" w:hAnsi="Arial"/>
                <w:sz w:val="22"/>
                <w:lang w:val="en-CA"/>
              </w:rPr>
              <w:t>September 1, 2014</w:t>
            </w:r>
          </w:p>
        </w:tc>
        <w:tc>
          <w:tcPr>
            <w:tcW w:w="5771" w:type="dxa"/>
            <w:shd w:val="clear" w:color="auto" w:fill="auto"/>
          </w:tcPr>
          <w:p w:rsidR="00613F58" w:rsidRPr="00D77D0C" w:rsidRDefault="00613F58" w:rsidP="00D77D0C">
            <w:pPr>
              <w:numPr>
                <w:ilvl w:val="0"/>
                <w:numId w:val="37"/>
              </w:numPr>
              <w:spacing w:line="228" w:lineRule="auto"/>
              <w:outlineLvl w:val="0"/>
              <w:rPr>
                <w:rFonts w:ascii="Arial" w:hAnsi="Arial"/>
                <w:sz w:val="22"/>
                <w:lang w:val="en-CA"/>
              </w:rPr>
            </w:pPr>
            <w:r w:rsidRPr="00D77D0C">
              <w:rPr>
                <w:rFonts w:ascii="Arial" w:hAnsi="Arial"/>
                <w:sz w:val="22"/>
                <w:lang w:val="en-CA"/>
              </w:rPr>
              <w:t>Revised name of manual</w:t>
            </w:r>
          </w:p>
          <w:p w:rsidR="00613F58" w:rsidRPr="00D77D0C" w:rsidRDefault="00613F58" w:rsidP="00D77D0C">
            <w:pPr>
              <w:numPr>
                <w:ilvl w:val="0"/>
                <w:numId w:val="37"/>
              </w:numPr>
              <w:rPr>
                <w:rFonts w:ascii="Arial" w:hAnsi="Arial"/>
                <w:sz w:val="22"/>
                <w:lang w:val="en-CA"/>
              </w:rPr>
            </w:pPr>
            <w:r w:rsidRPr="00D77D0C">
              <w:rPr>
                <w:rFonts w:ascii="Arial" w:hAnsi="Arial"/>
                <w:sz w:val="22"/>
                <w:lang w:val="en-CA"/>
              </w:rPr>
              <w:t>Separated SP.012 into two documents: SP.011 and SP.012</w:t>
            </w:r>
          </w:p>
          <w:p w:rsidR="00613F58" w:rsidRPr="00D77D0C" w:rsidRDefault="00613F58" w:rsidP="00D77D0C">
            <w:pPr>
              <w:numPr>
                <w:ilvl w:val="0"/>
                <w:numId w:val="37"/>
              </w:numPr>
              <w:spacing w:line="228" w:lineRule="auto"/>
              <w:outlineLvl w:val="0"/>
              <w:rPr>
                <w:rFonts w:ascii="Arial" w:hAnsi="Arial"/>
                <w:sz w:val="22"/>
                <w:lang w:val="en-CA"/>
              </w:rPr>
            </w:pPr>
            <w:r w:rsidRPr="00D77D0C">
              <w:rPr>
                <w:rFonts w:ascii="Arial" w:hAnsi="Arial"/>
                <w:sz w:val="22"/>
                <w:lang w:val="en-CA"/>
              </w:rPr>
              <w:t>Revised wording to include “EDTA anticoagulated whole blood (positive DAT due to IgG)” in section 3.0</w:t>
            </w:r>
          </w:p>
          <w:p w:rsidR="00613F58" w:rsidRPr="00D77D0C" w:rsidRDefault="00613F58" w:rsidP="00D77D0C">
            <w:pPr>
              <w:numPr>
                <w:ilvl w:val="0"/>
                <w:numId w:val="37"/>
              </w:numPr>
              <w:spacing w:line="228" w:lineRule="auto"/>
              <w:outlineLvl w:val="0"/>
              <w:rPr>
                <w:rFonts w:ascii="Arial" w:hAnsi="Arial"/>
                <w:sz w:val="22"/>
                <w:lang w:val="en-CA"/>
              </w:rPr>
            </w:pPr>
            <w:r w:rsidRPr="00D77D0C">
              <w:rPr>
                <w:rFonts w:ascii="Arial" w:hAnsi="Arial"/>
                <w:sz w:val="22"/>
                <w:lang w:val="en-CA"/>
              </w:rPr>
              <w:t xml:space="preserve">Specified “0.9% Saline” in section 4.0- </w:t>
            </w:r>
            <w:r w:rsidRPr="00D77D0C">
              <w:rPr>
                <w:rFonts w:ascii="Arial" w:hAnsi="Arial"/>
                <w:i/>
                <w:sz w:val="22"/>
                <w:lang w:val="en-CA"/>
              </w:rPr>
              <w:t>Supplies</w:t>
            </w:r>
          </w:p>
          <w:p w:rsidR="00613F58" w:rsidRPr="00D77D0C" w:rsidRDefault="00613F58" w:rsidP="00D77D0C">
            <w:pPr>
              <w:numPr>
                <w:ilvl w:val="0"/>
                <w:numId w:val="37"/>
              </w:numPr>
              <w:spacing w:line="228" w:lineRule="auto"/>
              <w:outlineLvl w:val="0"/>
              <w:rPr>
                <w:rFonts w:ascii="Arial" w:hAnsi="Arial"/>
                <w:sz w:val="22"/>
                <w:lang w:val="en-CA"/>
              </w:rPr>
            </w:pPr>
            <w:r w:rsidRPr="00D77D0C">
              <w:rPr>
                <w:rFonts w:ascii="Arial" w:hAnsi="Arial"/>
                <w:sz w:val="22"/>
                <w:lang w:val="en-CA"/>
              </w:rPr>
              <w:t>Renumbered section 5.0</w:t>
            </w:r>
          </w:p>
          <w:p w:rsidR="00F308FD" w:rsidRPr="00D77D0C" w:rsidRDefault="00F308FD" w:rsidP="00D77D0C">
            <w:pPr>
              <w:numPr>
                <w:ilvl w:val="0"/>
                <w:numId w:val="37"/>
              </w:numPr>
              <w:spacing w:line="228" w:lineRule="auto"/>
              <w:outlineLvl w:val="0"/>
              <w:rPr>
                <w:rFonts w:ascii="Arial" w:hAnsi="Arial"/>
                <w:sz w:val="22"/>
                <w:lang w:val="en-CA"/>
              </w:rPr>
            </w:pPr>
            <w:r w:rsidRPr="00D77D0C">
              <w:rPr>
                <w:rFonts w:ascii="Arial" w:hAnsi="Arial"/>
                <w:sz w:val="22"/>
                <w:lang w:val="en-CA"/>
              </w:rPr>
              <w:t>Revised and renumbered sections 6.0 &amp; 8.0</w:t>
            </w:r>
          </w:p>
          <w:p w:rsidR="00F308FD" w:rsidRPr="00D77D0C" w:rsidRDefault="00F308FD" w:rsidP="00D77D0C">
            <w:pPr>
              <w:numPr>
                <w:ilvl w:val="0"/>
                <w:numId w:val="37"/>
              </w:numPr>
              <w:spacing w:line="228" w:lineRule="auto"/>
              <w:outlineLvl w:val="0"/>
              <w:rPr>
                <w:rFonts w:ascii="Arial" w:hAnsi="Arial"/>
                <w:sz w:val="22"/>
                <w:lang w:val="en-CA"/>
              </w:rPr>
            </w:pPr>
            <w:r w:rsidRPr="00D77D0C">
              <w:rPr>
                <w:rFonts w:ascii="Arial" w:hAnsi="Arial"/>
                <w:sz w:val="22"/>
                <w:lang w:val="en-CA"/>
              </w:rPr>
              <w:t xml:space="preserve">Updated list of references to include most recent editions </w:t>
            </w:r>
          </w:p>
        </w:tc>
      </w:tr>
    </w:tbl>
    <w:p w:rsidR="00C961DD" w:rsidRDefault="00C961DD" w:rsidP="00F308FD">
      <w:pPr>
        <w:pStyle w:val="ListParagraph"/>
        <w:ind w:left="0"/>
        <w:rPr>
          <w:rFonts w:ascii="Arial" w:hAnsi="Arial"/>
          <w:sz w:val="24"/>
        </w:rPr>
      </w:pPr>
    </w:p>
    <w:sectPr w:rsidR="00C961DD">
      <w:headerReference w:type="default" r:id="rId7"/>
      <w:footerReference w:type="default" r:id="rId8"/>
      <w:headerReference w:type="first" r:id="rId9"/>
      <w:footerReference w:type="first" r:id="rId10"/>
      <w:pgSz w:w="12240" w:h="15840" w:code="1"/>
      <w:pgMar w:top="1267" w:right="1800" w:bottom="1440"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403" w:rsidRDefault="00812403">
      <w:r>
        <w:separator/>
      </w:r>
    </w:p>
  </w:endnote>
  <w:endnote w:type="continuationSeparator" w:id="0">
    <w:p w:rsidR="00812403" w:rsidRDefault="008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506FD">
      <w:trPr>
        <w:trHeight w:val="720"/>
      </w:trPr>
      <w:tc>
        <w:tcPr>
          <w:tcW w:w="1368" w:type="dxa"/>
        </w:tcPr>
        <w:p w:rsidR="00E506FD" w:rsidRDefault="00E506FD">
          <w:pPr>
            <w:pStyle w:val="Footer"/>
            <w:jc w:val="center"/>
            <w:rPr>
              <w:sz w:val="8"/>
            </w:rPr>
          </w:pPr>
        </w:p>
        <w:p w:rsidR="00E506FD" w:rsidRDefault="00FB12FD">
          <w:pPr>
            <w:pStyle w:val="Footer"/>
            <w:jc w:val="center"/>
            <w:rPr>
              <w:rFonts w:ascii="Verdana" w:hAnsi="Verdana"/>
              <w:sz w:val="8"/>
            </w:rPr>
          </w:pPr>
          <w:r>
            <w:rPr>
              <w:noProof/>
            </w:rPr>
            <w:drawing>
              <wp:inline distT="0" distB="0" distL="0" distR="0">
                <wp:extent cx="657225" cy="447675"/>
                <wp:effectExtent l="0" t="0" r="0" b="0"/>
                <wp:docPr id="1" name="Picture 1"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E506FD" w:rsidRDefault="00E506FD">
          <w:pPr>
            <w:pStyle w:val="Footer"/>
            <w:jc w:val="center"/>
            <w:rPr>
              <w:rFonts w:ascii="Arial" w:hAnsi="Arial"/>
              <w:sz w:val="18"/>
            </w:rPr>
          </w:pPr>
        </w:p>
        <w:p w:rsidR="00E506FD" w:rsidRDefault="00E506FD" w:rsidP="00DC48F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E506FD" w:rsidRDefault="00E506FD">
          <w:pPr>
            <w:pStyle w:val="Footer"/>
            <w:jc w:val="center"/>
            <w:rPr>
              <w:rFonts w:ascii="Arial" w:hAnsi="Arial"/>
              <w:sz w:val="18"/>
            </w:rPr>
          </w:pPr>
          <w:r>
            <w:rPr>
              <w:rFonts w:ascii="Arial" w:hAnsi="Arial"/>
              <w:sz w:val="18"/>
            </w:rPr>
            <w:t>Transfusion Technical Resource Manual</w:t>
          </w:r>
        </w:p>
        <w:p w:rsidR="00E506FD" w:rsidRDefault="00E506FD">
          <w:pPr>
            <w:pStyle w:val="Footer"/>
            <w:jc w:val="center"/>
            <w:rPr>
              <w:rFonts w:ascii="Arial" w:hAnsi="Arial"/>
              <w:sz w:val="18"/>
            </w:rPr>
          </w:pPr>
        </w:p>
        <w:p w:rsidR="00E506FD" w:rsidRDefault="00E506FD">
          <w:pPr>
            <w:pStyle w:val="Footer"/>
            <w:rPr>
              <w:rFonts w:ascii="Arial" w:hAnsi="Arial"/>
              <w:sz w:val="18"/>
            </w:rPr>
          </w:pPr>
        </w:p>
      </w:tc>
      <w:tc>
        <w:tcPr>
          <w:tcW w:w="1494" w:type="dxa"/>
        </w:tcPr>
        <w:p w:rsidR="00E506FD" w:rsidRDefault="00E506FD">
          <w:pPr>
            <w:pStyle w:val="Footer"/>
            <w:jc w:val="right"/>
            <w:rPr>
              <w:rFonts w:ascii="Arial" w:hAnsi="Arial"/>
              <w:sz w:val="18"/>
            </w:rPr>
          </w:pPr>
        </w:p>
        <w:p w:rsidR="00E506FD" w:rsidRDefault="00E506FD">
          <w:pPr>
            <w:pStyle w:val="Footer"/>
            <w:jc w:val="right"/>
            <w:rPr>
              <w:rFonts w:ascii="Arial" w:hAnsi="Arial"/>
              <w:sz w:val="18"/>
            </w:rPr>
          </w:pPr>
          <w:r>
            <w:rPr>
              <w:rFonts w:ascii="Arial" w:hAnsi="Arial"/>
              <w:sz w:val="18"/>
            </w:rPr>
            <w:t xml:space="preserve">SP.012 </w:t>
          </w:r>
          <w:r>
            <w:rPr>
              <w:rFonts w:ascii="Arial" w:hAnsi="Arial"/>
              <w:sz w:val="18"/>
            </w:rPr>
            <w:br/>
          </w:r>
        </w:p>
        <w:p w:rsidR="00E506FD" w:rsidRDefault="00E506F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2242B">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2242B">
            <w:rPr>
              <w:rFonts w:ascii="Arial" w:hAnsi="Arial"/>
              <w:noProof/>
              <w:snapToGrid w:val="0"/>
              <w:sz w:val="18"/>
            </w:rPr>
            <w:t>5</w:t>
          </w:r>
          <w:r>
            <w:rPr>
              <w:rFonts w:ascii="Arial" w:hAnsi="Arial"/>
              <w:snapToGrid w:val="0"/>
              <w:sz w:val="18"/>
            </w:rPr>
            <w:fldChar w:fldCharType="end"/>
          </w:r>
        </w:p>
      </w:tc>
    </w:tr>
  </w:tbl>
  <w:p w:rsidR="00E506FD" w:rsidRDefault="00E50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E506FD">
      <w:trPr>
        <w:trHeight w:val="720"/>
      </w:trPr>
      <w:tc>
        <w:tcPr>
          <w:tcW w:w="1368" w:type="dxa"/>
        </w:tcPr>
        <w:p w:rsidR="00E506FD" w:rsidRDefault="00E506FD">
          <w:pPr>
            <w:pStyle w:val="Footer"/>
            <w:jc w:val="center"/>
            <w:rPr>
              <w:rFonts w:ascii="Verdana" w:hAnsi="Verdana"/>
              <w:sz w:val="8"/>
            </w:rPr>
          </w:pPr>
        </w:p>
        <w:p w:rsidR="00E506FD" w:rsidRDefault="00FB12FD">
          <w:pPr>
            <w:pStyle w:val="Footer"/>
            <w:jc w:val="center"/>
            <w:rPr>
              <w:rFonts w:ascii="Verdana" w:hAnsi="Verdana"/>
              <w:sz w:val="8"/>
            </w:rPr>
          </w:pPr>
          <w:r>
            <w:rPr>
              <w:noProof/>
            </w:rPr>
            <w:drawing>
              <wp:inline distT="0" distB="0" distL="0" distR="0">
                <wp:extent cx="657225" cy="447675"/>
                <wp:effectExtent l="0" t="0" r="0" b="0"/>
                <wp:docPr id="3" name="Picture 3" descr="ORB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B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47675"/>
                        </a:xfrm>
                        <a:prstGeom prst="rect">
                          <a:avLst/>
                        </a:prstGeom>
                        <a:noFill/>
                        <a:ln>
                          <a:noFill/>
                        </a:ln>
                      </pic:spPr>
                    </pic:pic>
                  </a:graphicData>
                </a:graphic>
              </wp:inline>
            </w:drawing>
          </w:r>
        </w:p>
      </w:tc>
      <w:tc>
        <w:tcPr>
          <w:tcW w:w="5976" w:type="dxa"/>
        </w:tcPr>
        <w:p w:rsidR="00E506FD" w:rsidRDefault="00E506FD">
          <w:pPr>
            <w:pStyle w:val="Footer"/>
            <w:jc w:val="center"/>
            <w:rPr>
              <w:rFonts w:ascii="Arial" w:hAnsi="Arial"/>
              <w:sz w:val="18"/>
            </w:rPr>
          </w:pPr>
        </w:p>
        <w:p w:rsidR="00E506FD" w:rsidRDefault="00E506FD" w:rsidP="00DC48F0">
          <w:pPr>
            <w:pStyle w:val="Footer"/>
            <w:jc w:val="center"/>
            <w:rPr>
              <w:rFonts w:ascii="Arial" w:hAnsi="Arial"/>
              <w:sz w:val="18"/>
            </w:rPr>
          </w:pPr>
          <w:smartTag w:uri="urn:schemas-microsoft-com:office:smarttags" w:element="State">
            <w:smartTag w:uri="urn:schemas-microsoft-com:office:smarttags" w:element="place">
              <w:r>
                <w:rPr>
                  <w:rFonts w:ascii="Arial" w:hAnsi="Arial"/>
                  <w:sz w:val="18"/>
                </w:rPr>
                <w:t>Ontario</w:t>
              </w:r>
            </w:smartTag>
          </w:smartTag>
          <w:r>
            <w:rPr>
              <w:rFonts w:ascii="Arial" w:hAnsi="Arial"/>
              <w:sz w:val="18"/>
            </w:rPr>
            <w:t xml:space="preserve"> Regional Blood Coordinating Network </w:t>
          </w:r>
        </w:p>
        <w:p w:rsidR="00E506FD" w:rsidRDefault="00E506FD">
          <w:pPr>
            <w:pStyle w:val="Footer"/>
            <w:jc w:val="center"/>
            <w:rPr>
              <w:rFonts w:ascii="Arial" w:hAnsi="Arial"/>
              <w:sz w:val="18"/>
            </w:rPr>
          </w:pPr>
          <w:r>
            <w:rPr>
              <w:rFonts w:ascii="Arial" w:hAnsi="Arial"/>
              <w:sz w:val="18"/>
            </w:rPr>
            <w:t>Standard Work Instruction Manual</w:t>
          </w:r>
        </w:p>
        <w:p w:rsidR="00E506FD" w:rsidRDefault="00E506FD">
          <w:pPr>
            <w:pStyle w:val="Footer"/>
            <w:jc w:val="center"/>
            <w:rPr>
              <w:rFonts w:ascii="Arial" w:hAnsi="Arial"/>
              <w:sz w:val="18"/>
            </w:rPr>
          </w:pPr>
        </w:p>
        <w:p w:rsidR="00E506FD" w:rsidRDefault="00E506FD">
          <w:pPr>
            <w:pStyle w:val="Footer"/>
            <w:rPr>
              <w:rFonts w:ascii="Arial" w:hAnsi="Arial"/>
              <w:sz w:val="18"/>
            </w:rPr>
          </w:pPr>
        </w:p>
      </w:tc>
      <w:tc>
        <w:tcPr>
          <w:tcW w:w="1494" w:type="dxa"/>
        </w:tcPr>
        <w:p w:rsidR="00E506FD" w:rsidRDefault="00E506FD">
          <w:pPr>
            <w:pStyle w:val="Footer"/>
            <w:jc w:val="right"/>
            <w:rPr>
              <w:rFonts w:ascii="Arial" w:hAnsi="Arial"/>
              <w:sz w:val="18"/>
            </w:rPr>
          </w:pPr>
        </w:p>
        <w:p w:rsidR="00E506FD" w:rsidRDefault="00E506FD">
          <w:pPr>
            <w:pStyle w:val="Footer"/>
            <w:jc w:val="right"/>
            <w:rPr>
              <w:rFonts w:ascii="Arial" w:hAnsi="Arial"/>
              <w:sz w:val="18"/>
            </w:rPr>
          </w:pPr>
          <w:r>
            <w:rPr>
              <w:rFonts w:ascii="Arial" w:hAnsi="Arial"/>
              <w:sz w:val="18"/>
            </w:rPr>
            <w:t xml:space="preserve">SP.012 </w:t>
          </w:r>
          <w:r>
            <w:rPr>
              <w:rFonts w:ascii="Arial" w:hAnsi="Arial"/>
              <w:sz w:val="18"/>
            </w:rPr>
            <w:br/>
          </w:r>
        </w:p>
        <w:p w:rsidR="00E506FD" w:rsidRDefault="00E506FD">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52242B">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52242B">
            <w:rPr>
              <w:rFonts w:ascii="Arial" w:hAnsi="Arial"/>
              <w:noProof/>
              <w:snapToGrid w:val="0"/>
              <w:sz w:val="18"/>
            </w:rPr>
            <w:t>1</w:t>
          </w:r>
          <w:r>
            <w:rPr>
              <w:rFonts w:ascii="Arial" w:hAnsi="Arial"/>
              <w:snapToGrid w:val="0"/>
              <w:sz w:val="18"/>
            </w:rPr>
            <w:fldChar w:fldCharType="end"/>
          </w:r>
        </w:p>
      </w:tc>
    </w:tr>
  </w:tbl>
  <w:p w:rsidR="00E506FD" w:rsidRDefault="00E50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403" w:rsidRDefault="00812403">
      <w:r>
        <w:separator/>
      </w:r>
    </w:p>
  </w:footnote>
  <w:footnote w:type="continuationSeparator" w:id="0">
    <w:p w:rsidR="00812403" w:rsidRDefault="0081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FD" w:rsidRDefault="00E506FD">
    <w:pPr>
      <w:pStyle w:val="Header"/>
      <w:jc w:val="center"/>
      <w:rPr>
        <w:rFonts w:ascii="Arial" w:hAnsi="Arial"/>
        <w:b/>
        <w:sz w:val="28"/>
      </w:rPr>
    </w:pPr>
    <w:r>
      <w:rPr>
        <w:rFonts w:ascii="Arial" w:hAnsi="Arial"/>
        <w:b/>
        <w:sz w:val="28"/>
      </w:rPr>
      <w:t>Gamma EGA Kit for Antigen Testing of RBCs with a Positive DAT</w:t>
    </w:r>
  </w:p>
  <w:p w:rsidR="00E506FD" w:rsidRDefault="00E50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FD" w:rsidRDefault="00FB12FD">
    <w:pPr>
      <w:pStyle w:val="Header"/>
      <w:rPr>
        <w:rFonts w:ascii="Arial" w:hAnsi="Arial" w:cs="Arial"/>
        <w:b/>
        <w:bCs/>
        <w:sz w:val="22"/>
      </w:rPr>
    </w:pPr>
    <w:r>
      <w:rPr>
        <w:rFonts w:ascii="Arial" w:hAnsi="Arial" w:cs="Arial"/>
        <w:b/>
        <w:bCs/>
        <w:noProof/>
        <w:sz w:val="22"/>
      </w:rPr>
      <w:drawing>
        <wp:inline distT="0" distB="0" distL="0" distR="0">
          <wp:extent cx="1133475" cy="457200"/>
          <wp:effectExtent l="0" t="0" r="0" b="0"/>
          <wp:docPr id="2" name="Picture 2" descr="ORBCoN 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3C6AA4" w:rsidRDefault="003C6AA4" w:rsidP="003C6AA4">
    <w:pPr>
      <w:pStyle w:val="Header"/>
      <w:jc w:val="center"/>
      <w:rPr>
        <w:rFonts w:ascii="Arial" w:hAnsi="Arial" w:cs="Arial"/>
        <w:b/>
        <w:bCs/>
        <w:sz w:val="22"/>
      </w:rPr>
    </w:pPr>
    <w:r>
      <w:rPr>
        <w:rFonts w:ascii="Arial" w:hAnsi="Arial" w:cs="Arial"/>
        <w:b/>
        <w:bCs/>
        <w:sz w:val="22"/>
      </w:rPr>
      <w:t>Ontario Regional Blood Coordinating Network</w:t>
    </w:r>
  </w:p>
  <w:p w:rsidR="003C6AA4" w:rsidRDefault="003C6AA4" w:rsidP="003C6AA4">
    <w:pPr>
      <w:pStyle w:val="Header"/>
      <w:jc w:val="center"/>
      <w:rPr>
        <w:rFonts w:ascii="Arial" w:hAnsi="Arial" w:cs="Arial"/>
        <w:b/>
        <w:bCs/>
        <w:sz w:val="22"/>
      </w:rPr>
    </w:pPr>
    <w:r>
      <w:rPr>
        <w:rFonts w:ascii="Arial" w:hAnsi="Arial" w:cs="Arial"/>
        <w:b/>
        <w:bCs/>
        <w:sz w:val="22"/>
      </w:rPr>
      <w:t>Transfusion Technical Resource Manual</w:t>
    </w:r>
  </w:p>
  <w:p w:rsidR="003C6AA4" w:rsidRDefault="003C6AA4" w:rsidP="003C6AA4">
    <w:pPr>
      <w:pStyle w:val="Header"/>
      <w:jc w:val="center"/>
      <w:rPr>
        <w:rFonts w:ascii="Arial" w:hAnsi="Arial" w:cs="Arial"/>
        <w:b/>
        <w:bCs/>
        <w:sz w:val="22"/>
      </w:rPr>
    </w:pPr>
  </w:p>
  <w:p w:rsidR="003C6AA4" w:rsidRDefault="00E506FD" w:rsidP="007962CC">
    <w:pPr>
      <w:pStyle w:val="Header"/>
      <w:jc w:val="center"/>
      <w:rPr>
        <w:rFonts w:ascii="Arial" w:hAnsi="Arial"/>
        <w:b/>
        <w:sz w:val="28"/>
      </w:rPr>
    </w:pPr>
    <w:r>
      <w:rPr>
        <w:rFonts w:ascii="Arial" w:hAnsi="Arial"/>
        <w:b/>
        <w:sz w:val="28"/>
      </w:rPr>
      <w:t xml:space="preserve">Gamma EGA Kit for Antigen Testing of RBCs </w:t>
    </w:r>
  </w:p>
  <w:p w:rsidR="00E506FD" w:rsidRDefault="00E506FD" w:rsidP="007962CC">
    <w:pPr>
      <w:pStyle w:val="Header"/>
      <w:jc w:val="center"/>
      <w:rPr>
        <w:rFonts w:ascii="Arial" w:hAnsi="Arial"/>
        <w:b/>
        <w:sz w:val="28"/>
      </w:rPr>
    </w:pPr>
    <w:r>
      <w:rPr>
        <w:rFonts w:ascii="Arial" w:hAnsi="Arial"/>
        <w:b/>
        <w:sz w:val="28"/>
      </w:rPr>
      <w:t>with a Positive DAT</w:t>
    </w:r>
  </w:p>
  <w:p w:rsidR="00E506FD" w:rsidRDefault="00E506FD">
    <w:pPr>
      <w:pStyle w:val="Header"/>
      <w:jc w:val="center"/>
      <w:rPr>
        <w:rFonts w:ascii="Arial" w:hAnsi="Arial" w:cs="Arial"/>
        <w:b/>
        <w:bCs/>
      </w:rPr>
    </w:pPr>
    <w:r>
      <w:rPr>
        <w:rFonts w:ascii="Arial" w:hAnsi="Arial"/>
        <w:b/>
        <w:sz w:val="28"/>
      </w:rPr>
      <w:t xml:space="preserve"> </w:t>
    </w:r>
  </w:p>
  <w:p w:rsidR="00E506FD" w:rsidRDefault="00FB12FD">
    <w:pPr>
      <w:pStyle w:val="Header"/>
      <w:jc w:val="center"/>
      <w:rPr>
        <w:rFonts w:ascii="Arial" w:hAnsi="Arial" w:cs="Arial"/>
        <w:b/>
        <w:bCs/>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528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S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ReAEj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E506FD">
      <w:tc>
        <w:tcPr>
          <w:tcW w:w="4428" w:type="dxa"/>
        </w:tcPr>
        <w:p w:rsidR="00E506FD" w:rsidRDefault="00E506FD">
          <w:pPr>
            <w:pStyle w:val="Header"/>
            <w:rPr>
              <w:rFonts w:ascii="Arial" w:hAnsi="Arial" w:cs="Arial"/>
            </w:rPr>
          </w:pPr>
          <w:r>
            <w:rPr>
              <w:rFonts w:ascii="Arial" w:hAnsi="Arial" w:cs="Arial"/>
            </w:rPr>
            <w:t xml:space="preserve">Approved By:  </w:t>
          </w:r>
        </w:p>
      </w:tc>
      <w:tc>
        <w:tcPr>
          <w:tcW w:w="4428" w:type="dxa"/>
        </w:tcPr>
        <w:p w:rsidR="00E506FD" w:rsidRDefault="00E506FD">
          <w:pPr>
            <w:pStyle w:val="Header"/>
            <w:rPr>
              <w:rFonts w:ascii="Arial" w:hAnsi="Arial" w:cs="Arial"/>
            </w:rPr>
          </w:pPr>
          <w:r>
            <w:rPr>
              <w:rFonts w:ascii="Arial" w:hAnsi="Arial" w:cs="Arial"/>
            </w:rPr>
            <w:t>Document No: SP.012</w:t>
          </w:r>
        </w:p>
      </w:tc>
    </w:tr>
    <w:tr w:rsidR="00E506FD">
      <w:tc>
        <w:tcPr>
          <w:tcW w:w="4428" w:type="dxa"/>
        </w:tcPr>
        <w:p w:rsidR="00E506FD" w:rsidRDefault="00E506FD">
          <w:pPr>
            <w:pStyle w:val="Header"/>
            <w:rPr>
              <w:rFonts w:ascii="Arial" w:hAnsi="Arial" w:cs="Arial"/>
            </w:rPr>
          </w:pPr>
          <w:r>
            <w:rPr>
              <w:rFonts w:ascii="Arial" w:hAnsi="Arial" w:cs="Arial"/>
            </w:rPr>
            <w:t>Date Issued:  2004/04/05</w:t>
          </w:r>
        </w:p>
      </w:tc>
      <w:tc>
        <w:tcPr>
          <w:tcW w:w="4428" w:type="dxa"/>
        </w:tcPr>
        <w:p w:rsidR="00E506FD" w:rsidRDefault="00E506FD">
          <w:pPr>
            <w:pStyle w:val="Header"/>
            <w:rPr>
              <w:rFonts w:ascii="Arial" w:hAnsi="Arial" w:cs="Arial"/>
            </w:rPr>
          </w:pPr>
          <w:r>
            <w:rPr>
              <w:rFonts w:ascii="Arial" w:hAnsi="Arial" w:cs="Arial"/>
            </w:rPr>
            <w:t>Category:  Special Procedures</w:t>
          </w:r>
        </w:p>
      </w:tc>
    </w:tr>
    <w:tr w:rsidR="00E506FD">
      <w:tc>
        <w:tcPr>
          <w:tcW w:w="4428" w:type="dxa"/>
        </w:tcPr>
        <w:p w:rsidR="00E506FD" w:rsidRDefault="00E506FD">
          <w:pPr>
            <w:pStyle w:val="Header"/>
            <w:rPr>
              <w:rFonts w:ascii="Arial" w:hAnsi="Arial" w:cs="Arial"/>
            </w:rPr>
          </w:pPr>
          <w:r>
            <w:rPr>
              <w:rFonts w:ascii="Arial" w:hAnsi="Arial" w:cs="Arial"/>
            </w:rPr>
            <w:t>Date Revised:  2009/09/01; 2014/09/01</w:t>
          </w:r>
        </w:p>
      </w:tc>
      <w:tc>
        <w:tcPr>
          <w:tcW w:w="4428" w:type="dxa"/>
        </w:tcPr>
        <w:p w:rsidR="00E506FD" w:rsidRDefault="00E506FD">
          <w:pPr>
            <w:pStyle w:val="Header"/>
            <w:rPr>
              <w:rFonts w:ascii="Arial" w:hAnsi="Arial" w:cs="Arial"/>
            </w:rPr>
          </w:pPr>
          <w:r>
            <w:rPr>
              <w:rFonts w:ascii="Arial" w:hAnsi="Arial" w:cs="Arial"/>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2242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2242B">
            <w:rPr>
              <w:rFonts w:ascii="Arial" w:hAnsi="Arial" w:cs="Arial"/>
              <w:noProof/>
            </w:rPr>
            <w:t>1</w:t>
          </w:r>
          <w:r>
            <w:rPr>
              <w:rFonts w:ascii="Arial" w:hAnsi="Arial" w:cs="Arial"/>
            </w:rPr>
            <w:fldChar w:fldCharType="end"/>
          </w:r>
        </w:p>
      </w:tc>
    </w:tr>
  </w:tbl>
  <w:p w:rsidR="00E506FD" w:rsidRDefault="00FB12FD">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519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Aj2QNj&#10;EgIAACgEAAAOAAAAAAAAAAAAAAAAAC4CAABkcnMvZTJvRG9jLnhtbFBLAQItABQABgAIAAAAIQAf&#10;PZp03AAAAAgBAAAPAAAAAAAAAAAAAAAAAGwEAABkcnMvZG93bnJldi54bWxQSwUGAAAAAAQABADz&#10;AAAAdQUAAAAA&#10;"/>
          </w:pict>
        </mc:Fallback>
      </mc:AlternateContent>
    </w:r>
    <w:r w:rsidR="00E506FD">
      <w:rPr>
        <w:rFonts w:ascii="Arial" w:hAnsi="Arial" w:cs="Arial"/>
      </w:rPr>
      <w:tab/>
    </w:r>
  </w:p>
  <w:p w:rsidR="00E506FD" w:rsidRDefault="00E506FD">
    <w:pPr>
      <w:pStyle w:val="Heade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314"/>
    <w:multiLevelType w:val="multilevel"/>
    <w:tmpl w:val="C67C019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140"/>
        </w:tabs>
        <w:ind w:left="1140" w:hanging="36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60"/>
        </w:tabs>
        <w:ind w:left="7260" w:hanging="180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1" w15:restartNumberingAfterBreak="0">
    <w:nsid w:val="055116B6"/>
    <w:multiLevelType w:val="multilevel"/>
    <w:tmpl w:val="FFA620F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990"/>
        </w:tabs>
        <w:ind w:left="990" w:hanging="1080"/>
      </w:pPr>
      <w:rPr>
        <w:rFonts w:hint="default"/>
      </w:rPr>
    </w:lvl>
    <w:lvl w:ilvl="2">
      <w:start w:val="1"/>
      <w:numFmt w:val="decimal"/>
      <w:lvlText w:val="%1.%2.%3"/>
      <w:lvlJc w:val="left"/>
      <w:pPr>
        <w:tabs>
          <w:tab w:val="num" w:pos="900"/>
        </w:tabs>
        <w:ind w:left="900" w:hanging="108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 w15:restartNumberingAfterBreak="0">
    <w:nsid w:val="0594311D"/>
    <w:multiLevelType w:val="multilevel"/>
    <w:tmpl w:val="B7B677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73218A"/>
    <w:multiLevelType w:val="multilevel"/>
    <w:tmpl w:val="EBD84E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4" w15:restartNumberingAfterBreak="0">
    <w:nsid w:val="0A48106C"/>
    <w:multiLevelType w:val="multilevel"/>
    <w:tmpl w:val="9318AC14"/>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90B17"/>
    <w:multiLevelType w:val="multilevel"/>
    <w:tmpl w:val="4588C1B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5B27041"/>
    <w:multiLevelType w:val="hybridMultilevel"/>
    <w:tmpl w:val="327ACE2A"/>
    <w:lvl w:ilvl="0" w:tplc="85B4E08E">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891314B"/>
    <w:multiLevelType w:val="multilevel"/>
    <w:tmpl w:val="9D66BC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DEC1441"/>
    <w:multiLevelType w:val="multilevel"/>
    <w:tmpl w:val="A00C9D64"/>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ascii="Arial" w:hAnsi="Arial" w:cs="Arial" w:hint="default"/>
        <w:b w:val="0"/>
        <w:sz w:val="24"/>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EB82A6D"/>
    <w:multiLevelType w:val="multilevel"/>
    <w:tmpl w:val="B0148E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45458AF"/>
    <w:multiLevelType w:val="multilevel"/>
    <w:tmpl w:val="14CC1A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4B610A5"/>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6ED007F"/>
    <w:multiLevelType w:val="multilevel"/>
    <w:tmpl w:val="489E4B5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7DA05D1"/>
    <w:multiLevelType w:val="multilevel"/>
    <w:tmpl w:val="E8C09D8C"/>
    <w:lvl w:ilvl="0">
      <w:start w:val="5"/>
      <w:numFmt w:val="decimal"/>
      <w:lvlText w:val="%1"/>
      <w:lvlJc w:val="left"/>
      <w:pPr>
        <w:ind w:left="405" w:hanging="405"/>
      </w:pPr>
      <w:rPr>
        <w:rFonts w:hint="default"/>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30902DF4"/>
    <w:multiLevelType w:val="multilevel"/>
    <w:tmpl w:val="152EC5BC"/>
    <w:lvl w:ilvl="0">
      <w:start w:val="6"/>
      <w:numFmt w:val="decimal"/>
      <w:lvlText w:val="%1"/>
      <w:lvlJc w:val="left"/>
      <w:pPr>
        <w:tabs>
          <w:tab w:val="num" w:pos="360"/>
        </w:tabs>
        <w:ind w:left="360" w:hanging="360"/>
      </w:pPr>
      <w:rPr>
        <w:rFonts w:hint="default"/>
      </w:rPr>
    </w:lvl>
    <w:lvl w:ilvl="1">
      <w:start w:val="11"/>
      <w:numFmt w:val="none"/>
      <w:lvlText w:val="7.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1AE29FF"/>
    <w:multiLevelType w:val="multilevel"/>
    <w:tmpl w:val="C67C019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140"/>
        </w:tabs>
        <w:ind w:left="1140" w:hanging="36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60"/>
        </w:tabs>
        <w:ind w:left="7260" w:hanging="180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16" w15:restartNumberingAfterBreak="0">
    <w:nsid w:val="33C37D82"/>
    <w:multiLevelType w:val="multilevel"/>
    <w:tmpl w:val="A4782FC6"/>
    <w:lvl w:ilvl="0">
      <w:start w:val="9"/>
      <w:numFmt w:val="decimal"/>
      <w:lvlText w:val="%1.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66339B4"/>
    <w:multiLevelType w:val="multilevel"/>
    <w:tmpl w:val="CA8607A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3A422A92"/>
    <w:multiLevelType w:val="multilevel"/>
    <w:tmpl w:val="9CA4E6C4"/>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20" w15:restartNumberingAfterBreak="0">
    <w:nsid w:val="409D0DBD"/>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0CD2E0B"/>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5C43797"/>
    <w:multiLevelType w:val="multilevel"/>
    <w:tmpl w:val="C7941BE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5DE1FCB"/>
    <w:multiLevelType w:val="singleLevel"/>
    <w:tmpl w:val="D482FD1A"/>
    <w:lvl w:ilvl="0">
      <w:start w:val="4"/>
      <w:numFmt w:val="decimal"/>
      <w:lvlText w:val="%1.0"/>
      <w:lvlJc w:val="left"/>
      <w:pPr>
        <w:tabs>
          <w:tab w:val="num" w:pos="720"/>
        </w:tabs>
        <w:ind w:left="360" w:hanging="360"/>
      </w:pPr>
    </w:lvl>
  </w:abstractNum>
  <w:abstractNum w:abstractNumId="24" w15:restartNumberingAfterBreak="0">
    <w:nsid w:val="4B4976A7"/>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DF56BE1"/>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604130"/>
    <w:multiLevelType w:val="singleLevel"/>
    <w:tmpl w:val="89C6F95A"/>
    <w:lvl w:ilvl="0">
      <w:start w:val="7"/>
      <w:numFmt w:val="decimal"/>
      <w:lvlText w:val="%1.0"/>
      <w:lvlJc w:val="left"/>
      <w:pPr>
        <w:tabs>
          <w:tab w:val="num" w:pos="360"/>
        </w:tabs>
        <w:ind w:left="360" w:hanging="360"/>
      </w:pPr>
    </w:lvl>
  </w:abstractNum>
  <w:abstractNum w:abstractNumId="27" w15:restartNumberingAfterBreak="0">
    <w:nsid w:val="5F0049F7"/>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1FF4ECE"/>
    <w:multiLevelType w:val="multilevel"/>
    <w:tmpl w:val="DD940B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0F0BC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3E33838"/>
    <w:multiLevelType w:val="multilevel"/>
    <w:tmpl w:val="B7A25736"/>
    <w:lvl w:ilvl="0">
      <w:start w:val="9"/>
      <w:numFmt w:val="decimal"/>
      <w:lvlText w:val="%1"/>
      <w:lvlJc w:val="left"/>
      <w:pPr>
        <w:ind w:left="405" w:hanging="405"/>
      </w:pPr>
      <w:rPr>
        <w:rFonts w:hint="default"/>
      </w:rPr>
    </w:lvl>
    <w:lvl w:ilvl="1">
      <w:start w:val="1"/>
      <w:numFmt w:val="decimal"/>
      <w:lvlText w:val="%1.%2"/>
      <w:lvlJc w:val="left"/>
      <w:pPr>
        <w:ind w:left="1080" w:hanging="720"/>
      </w:pPr>
      <w:rPr>
        <w:rFonts w:hint="default"/>
        <w:b w:val="0"/>
        <w:sz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52E5D77"/>
    <w:multiLevelType w:val="singleLevel"/>
    <w:tmpl w:val="0409000F"/>
    <w:lvl w:ilvl="0">
      <w:start w:val="1"/>
      <w:numFmt w:val="decimal"/>
      <w:pStyle w:val="Heading3"/>
      <w:lvlText w:val="%1."/>
      <w:lvlJc w:val="left"/>
      <w:pPr>
        <w:tabs>
          <w:tab w:val="num" w:pos="360"/>
        </w:tabs>
        <w:ind w:left="360" w:hanging="360"/>
      </w:pPr>
    </w:lvl>
  </w:abstractNum>
  <w:abstractNum w:abstractNumId="32" w15:restartNumberingAfterBreak="0">
    <w:nsid w:val="69EE2512"/>
    <w:multiLevelType w:val="multilevel"/>
    <w:tmpl w:val="B704AD96"/>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33" w15:restartNumberingAfterBreak="0">
    <w:nsid w:val="6ED23111"/>
    <w:multiLevelType w:val="multilevel"/>
    <w:tmpl w:val="31D872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72713C0C"/>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8425875"/>
    <w:multiLevelType w:val="singleLevel"/>
    <w:tmpl w:val="B6347B9A"/>
    <w:lvl w:ilvl="0">
      <w:start w:val="1"/>
      <w:numFmt w:val="lowerLetter"/>
      <w:lvlText w:val="%1."/>
      <w:lvlJc w:val="left"/>
      <w:pPr>
        <w:tabs>
          <w:tab w:val="num" w:pos="2880"/>
        </w:tabs>
        <w:ind w:left="2880" w:hanging="600"/>
      </w:pPr>
      <w:rPr>
        <w:rFonts w:hint="default"/>
      </w:rPr>
    </w:lvl>
  </w:abstractNum>
  <w:abstractNum w:abstractNumId="36" w15:restartNumberingAfterBreak="0">
    <w:nsid w:val="7A625C0F"/>
    <w:multiLevelType w:val="singleLevel"/>
    <w:tmpl w:val="E1FC2778"/>
    <w:lvl w:ilvl="0">
      <w:start w:val="1"/>
      <w:numFmt w:val="decimal"/>
      <w:lvlText w:val="%1.0"/>
      <w:lvlJc w:val="left"/>
      <w:pPr>
        <w:tabs>
          <w:tab w:val="num" w:pos="720"/>
        </w:tabs>
        <w:ind w:left="360" w:hanging="360"/>
      </w:pPr>
    </w:lvl>
  </w:abstractNum>
  <w:abstractNum w:abstractNumId="37" w15:restartNumberingAfterBreak="0">
    <w:nsid w:val="7AA32121"/>
    <w:multiLevelType w:val="multilevel"/>
    <w:tmpl w:val="C67C019C"/>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1140"/>
        </w:tabs>
        <w:ind w:left="1140" w:hanging="360"/>
      </w:pPr>
      <w:rPr>
        <w:rFonts w:hint="default"/>
        <w:b/>
      </w:rPr>
    </w:lvl>
    <w:lvl w:ilvl="2">
      <w:start w:val="1"/>
      <w:numFmt w:val="decimal"/>
      <w:lvlText w:val="%1.%2.%3"/>
      <w:lvlJc w:val="left"/>
      <w:pPr>
        <w:tabs>
          <w:tab w:val="num" w:pos="2280"/>
        </w:tabs>
        <w:ind w:left="2280" w:hanging="720"/>
      </w:pPr>
      <w:rPr>
        <w:rFonts w:hint="default"/>
        <w:b/>
      </w:rPr>
    </w:lvl>
    <w:lvl w:ilvl="3">
      <w:start w:val="1"/>
      <w:numFmt w:val="decimal"/>
      <w:lvlText w:val="%1.%2.%3.%4"/>
      <w:lvlJc w:val="left"/>
      <w:pPr>
        <w:tabs>
          <w:tab w:val="num" w:pos="3420"/>
        </w:tabs>
        <w:ind w:left="3420" w:hanging="1080"/>
      </w:pPr>
      <w:rPr>
        <w:rFonts w:hint="default"/>
        <w:b/>
      </w:rPr>
    </w:lvl>
    <w:lvl w:ilvl="4">
      <w:start w:val="1"/>
      <w:numFmt w:val="decimal"/>
      <w:lvlText w:val="%1.%2.%3.%4.%5"/>
      <w:lvlJc w:val="left"/>
      <w:pPr>
        <w:tabs>
          <w:tab w:val="num" w:pos="4200"/>
        </w:tabs>
        <w:ind w:left="4200" w:hanging="1080"/>
      </w:pPr>
      <w:rPr>
        <w:rFonts w:hint="default"/>
        <w:b/>
      </w:rPr>
    </w:lvl>
    <w:lvl w:ilvl="5">
      <w:start w:val="1"/>
      <w:numFmt w:val="decimal"/>
      <w:lvlText w:val="%1.%2.%3.%4.%5.%6"/>
      <w:lvlJc w:val="left"/>
      <w:pPr>
        <w:tabs>
          <w:tab w:val="num" w:pos="5340"/>
        </w:tabs>
        <w:ind w:left="5340" w:hanging="1440"/>
      </w:pPr>
      <w:rPr>
        <w:rFonts w:hint="default"/>
        <w:b/>
      </w:rPr>
    </w:lvl>
    <w:lvl w:ilvl="6">
      <w:start w:val="1"/>
      <w:numFmt w:val="decimal"/>
      <w:lvlText w:val="%1.%2.%3.%4.%5.%6.%7"/>
      <w:lvlJc w:val="left"/>
      <w:pPr>
        <w:tabs>
          <w:tab w:val="num" w:pos="6120"/>
        </w:tabs>
        <w:ind w:left="6120" w:hanging="1440"/>
      </w:pPr>
      <w:rPr>
        <w:rFonts w:hint="default"/>
        <w:b/>
      </w:rPr>
    </w:lvl>
    <w:lvl w:ilvl="7">
      <w:start w:val="1"/>
      <w:numFmt w:val="decimal"/>
      <w:lvlText w:val="%1.%2.%3.%4.%5.%6.%7.%8"/>
      <w:lvlJc w:val="left"/>
      <w:pPr>
        <w:tabs>
          <w:tab w:val="num" w:pos="7260"/>
        </w:tabs>
        <w:ind w:left="7260" w:hanging="1800"/>
      </w:pPr>
      <w:rPr>
        <w:rFonts w:hint="default"/>
        <w:b/>
      </w:rPr>
    </w:lvl>
    <w:lvl w:ilvl="8">
      <w:start w:val="1"/>
      <w:numFmt w:val="decimal"/>
      <w:lvlText w:val="%1.%2.%3.%4.%5.%6.%7.%8.%9"/>
      <w:lvlJc w:val="left"/>
      <w:pPr>
        <w:tabs>
          <w:tab w:val="num" w:pos="8040"/>
        </w:tabs>
        <w:ind w:left="8040" w:hanging="1800"/>
      </w:pPr>
      <w:rPr>
        <w:rFonts w:hint="default"/>
        <w:b/>
      </w:rPr>
    </w:lvl>
  </w:abstractNum>
  <w:abstractNum w:abstractNumId="38" w15:restartNumberingAfterBreak="0">
    <w:nsid w:val="7D050BC9"/>
    <w:multiLevelType w:val="hybridMultilevel"/>
    <w:tmpl w:val="24DA29E2"/>
    <w:lvl w:ilvl="0" w:tplc="4788965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1"/>
  </w:num>
  <w:num w:numId="2">
    <w:abstractNumId w:val="34"/>
  </w:num>
  <w:num w:numId="3">
    <w:abstractNumId w:val="27"/>
  </w:num>
  <w:num w:numId="4">
    <w:abstractNumId w:val="36"/>
  </w:num>
  <w:num w:numId="5">
    <w:abstractNumId w:val="23"/>
  </w:num>
  <w:num w:numId="6">
    <w:abstractNumId w:val="9"/>
  </w:num>
  <w:num w:numId="7">
    <w:abstractNumId w:val="4"/>
  </w:num>
  <w:num w:numId="8">
    <w:abstractNumId w:val="26"/>
  </w:num>
  <w:num w:numId="9">
    <w:abstractNumId w:val="14"/>
  </w:num>
  <w:num w:numId="10">
    <w:abstractNumId w:val="16"/>
  </w:num>
  <w:num w:numId="11">
    <w:abstractNumId w:val="18"/>
  </w:num>
  <w:num w:numId="12">
    <w:abstractNumId w:val="28"/>
  </w:num>
  <w:num w:numId="13">
    <w:abstractNumId w:val="19"/>
  </w:num>
  <w:num w:numId="14">
    <w:abstractNumId w:val="29"/>
  </w:num>
  <w:num w:numId="15">
    <w:abstractNumId w:val="25"/>
  </w:num>
  <w:num w:numId="16">
    <w:abstractNumId w:val="20"/>
  </w:num>
  <w:num w:numId="17">
    <w:abstractNumId w:val="21"/>
  </w:num>
  <w:num w:numId="18">
    <w:abstractNumId w:val="1"/>
  </w:num>
  <w:num w:numId="19">
    <w:abstractNumId w:val="2"/>
  </w:num>
  <w:num w:numId="20">
    <w:abstractNumId w:val="33"/>
  </w:num>
  <w:num w:numId="21">
    <w:abstractNumId w:val="22"/>
  </w:num>
  <w:num w:numId="22">
    <w:abstractNumId w:val="32"/>
  </w:num>
  <w:num w:numId="23">
    <w:abstractNumId w:val="35"/>
  </w:num>
  <w:num w:numId="24">
    <w:abstractNumId w:val="10"/>
  </w:num>
  <w:num w:numId="25">
    <w:abstractNumId w:val="12"/>
  </w:num>
  <w:num w:numId="26">
    <w:abstractNumId w:val="5"/>
  </w:num>
  <w:num w:numId="27">
    <w:abstractNumId w:val="24"/>
  </w:num>
  <w:num w:numId="28">
    <w:abstractNumId w:val="11"/>
  </w:num>
  <w:num w:numId="29">
    <w:abstractNumId w:val="0"/>
  </w:num>
  <w:num w:numId="30">
    <w:abstractNumId w:val="37"/>
  </w:num>
  <w:num w:numId="31">
    <w:abstractNumId w:val="15"/>
  </w:num>
  <w:num w:numId="32">
    <w:abstractNumId w:val="17"/>
  </w:num>
  <w:num w:numId="33">
    <w:abstractNumId w:val="7"/>
  </w:num>
  <w:num w:numId="34">
    <w:abstractNumId w:val="3"/>
  </w:num>
  <w:num w:numId="35">
    <w:abstractNumId w:val="8"/>
  </w:num>
  <w:num w:numId="36">
    <w:abstractNumId w:val="30"/>
  </w:num>
  <w:num w:numId="37">
    <w:abstractNumId w:val="6"/>
  </w:num>
  <w:num w:numId="38">
    <w:abstractNumId w:val="3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8E"/>
    <w:rsid w:val="000A2EC7"/>
    <w:rsid w:val="00363968"/>
    <w:rsid w:val="003C6AA4"/>
    <w:rsid w:val="003F1D17"/>
    <w:rsid w:val="00400798"/>
    <w:rsid w:val="0043698D"/>
    <w:rsid w:val="004478AF"/>
    <w:rsid w:val="004B1AB2"/>
    <w:rsid w:val="00504616"/>
    <w:rsid w:val="0052242B"/>
    <w:rsid w:val="0056033E"/>
    <w:rsid w:val="00572218"/>
    <w:rsid w:val="00576A76"/>
    <w:rsid w:val="00592AE5"/>
    <w:rsid w:val="00593289"/>
    <w:rsid w:val="00613F58"/>
    <w:rsid w:val="00686957"/>
    <w:rsid w:val="007962CC"/>
    <w:rsid w:val="00807564"/>
    <w:rsid w:val="00812403"/>
    <w:rsid w:val="00857BEE"/>
    <w:rsid w:val="0087419E"/>
    <w:rsid w:val="008F698E"/>
    <w:rsid w:val="009761E7"/>
    <w:rsid w:val="00987304"/>
    <w:rsid w:val="00AD081D"/>
    <w:rsid w:val="00AD7805"/>
    <w:rsid w:val="00B06BFD"/>
    <w:rsid w:val="00B13B0A"/>
    <w:rsid w:val="00B2407E"/>
    <w:rsid w:val="00C437AE"/>
    <w:rsid w:val="00C64D00"/>
    <w:rsid w:val="00C961DD"/>
    <w:rsid w:val="00D054C3"/>
    <w:rsid w:val="00D070EA"/>
    <w:rsid w:val="00D52C18"/>
    <w:rsid w:val="00D77D0C"/>
    <w:rsid w:val="00DC48F0"/>
    <w:rsid w:val="00E506FD"/>
    <w:rsid w:val="00E7084A"/>
    <w:rsid w:val="00F308FD"/>
    <w:rsid w:val="00FB12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C1510EE-39EE-4264-9370-A5E0231D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720"/>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hanging="720"/>
    </w:pPr>
    <w:rPr>
      <w:rFonts w:ascii="Arial" w:hAnsi="Arial"/>
      <w:sz w:val="24"/>
    </w:rPr>
  </w:style>
  <w:style w:type="paragraph" w:styleId="BodyText">
    <w:name w:val="Body Text"/>
    <w:basedOn w:val="Normal"/>
    <w:pPr>
      <w:outlineLvl w:val="0"/>
    </w:pPr>
    <w:rPr>
      <w:rFonts w:ascii="Arial" w:hAnsi="Arial"/>
      <w:sz w:val="24"/>
    </w:rPr>
  </w:style>
  <w:style w:type="paragraph" w:styleId="BodyTextIndent2">
    <w:name w:val="Body Text Indent 2"/>
    <w:basedOn w:val="Normal"/>
    <w:pPr>
      <w:ind w:left="1440"/>
    </w:pPr>
    <w:rPr>
      <w:rFonts w:ascii="Arial" w:hAnsi="Arial"/>
      <w:sz w:val="24"/>
    </w:rPr>
  </w:style>
  <w:style w:type="paragraph" w:styleId="BodyTextIndent3">
    <w:name w:val="Body Text Indent 3"/>
    <w:basedOn w:val="Normal"/>
    <w:pPr>
      <w:ind w:left="720"/>
      <w:outlineLvl w:val="0"/>
    </w:pPr>
    <w:rPr>
      <w:rFonts w:ascii="Arial" w:hAnsi="Arial"/>
      <w:sz w:val="24"/>
    </w:rPr>
  </w:style>
  <w:style w:type="paragraph" w:styleId="BalloonText">
    <w:name w:val="Balloon Text"/>
    <w:basedOn w:val="Normal"/>
    <w:link w:val="BalloonTextChar"/>
    <w:uiPriority w:val="99"/>
    <w:semiHidden/>
    <w:unhideWhenUsed/>
    <w:rsid w:val="00C437AE"/>
    <w:rPr>
      <w:rFonts w:ascii="Tahoma" w:hAnsi="Tahoma" w:cs="Tahoma"/>
      <w:sz w:val="16"/>
      <w:szCs w:val="16"/>
    </w:rPr>
  </w:style>
  <w:style w:type="character" w:customStyle="1" w:styleId="BalloonTextChar">
    <w:name w:val="Balloon Text Char"/>
    <w:link w:val="BalloonText"/>
    <w:uiPriority w:val="99"/>
    <w:semiHidden/>
    <w:rsid w:val="00C437AE"/>
    <w:rPr>
      <w:rFonts w:ascii="Tahoma" w:hAnsi="Tahoma" w:cs="Tahoma"/>
      <w:sz w:val="16"/>
      <w:szCs w:val="16"/>
    </w:rPr>
  </w:style>
  <w:style w:type="character" w:styleId="CommentReference">
    <w:name w:val="annotation reference"/>
    <w:uiPriority w:val="99"/>
    <w:semiHidden/>
    <w:unhideWhenUsed/>
    <w:rsid w:val="0087419E"/>
    <w:rPr>
      <w:sz w:val="16"/>
      <w:szCs w:val="16"/>
    </w:rPr>
  </w:style>
  <w:style w:type="paragraph" w:styleId="CommentText">
    <w:name w:val="annotation text"/>
    <w:basedOn w:val="Normal"/>
    <w:link w:val="CommentTextChar"/>
    <w:uiPriority w:val="99"/>
    <w:semiHidden/>
    <w:unhideWhenUsed/>
    <w:rsid w:val="0087419E"/>
  </w:style>
  <w:style w:type="character" w:customStyle="1" w:styleId="CommentTextChar">
    <w:name w:val="Comment Text Char"/>
    <w:basedOn w:val="DefaultParagraphFont"/>
    <w:link w:val="CommentText"/>
    <w:uiPriority w:val="99"/>
    <w:semiHidden/>
    <w:rsid w:val="0087419E"/>
  </w:style>
  <w:style w:type="paragraph" w:styleId="CommentSubject">
    <w:name w:val="annotation subject"/>
    <w:basedOn w:val="CommentText"/>
    <w:next w:val="CommentText"/>
    <w:link w:val="CommentSubjectChar"/>
    <w:uiPriority w:val="99"/>
    <w:semiHidden/>
    <w:unhideWhenUsed/>
    <w:rsid w:val="0087419E"/>
    <w:rPr>
      <w:b/>
      <w:bCs/>
    </w:rPr>
  </w:style>
  <w:style w:type="character" w:customStyle="1" w:styleId="CommentSubjectChar">
    <w:name w:val="Comment Subject Char"/>
    <w:link w:val="CommentSubject"/>
    <w:uiPriority w:val="99"/>
    <w:semiHidden/>
    <w:rsid w:val="0087419E"/>
    <w:rPr>
      <w:b/>
      <w:bCs/>
    </w:rPr>
  </w:style>
  <w:style w:type="table" w:styleId="TableGrid">
    <w:name w:val="Table Grid"/>
    <w:basedOn w:val="TableNormal"/>
    <w:uiPriority w:val="59"/>
    <w:rsid w:val="003C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C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907547">
      <w:bodyDiv w:val="1"/>
      <w:marLeft w:val="0"/>
      <w:marRight w:val="0"/>
      <w:marTop w:val="0"/>
      <w:marBottom w:val="0"/>
      <w:divBdr>
        <w:top w:val="none" w:sz="0" w:space="0" w:color="auto"/>
        <w:left w:val="none" w:sz="0" w:space="0" w:color="auto"/>
        <w:bottom w:val="none" w:sz="0" w:space="0" w:color="auto"/>
        <w:right w:val="none" w:sz="0" w:space="0" w:color="auto"/>
      </w:divBdr>
    </w:div>
    <w:div w:id="21184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SP.012 - Gamma EGA Kit</vt:lpstr>
    </vt:vector>
  </TitlesOfParts>
  <Company>The Ottawa Hospital</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SP.012 - Gamma EGA Kit</dc:title>
  <dc:subject/>
  <dc:creator>Transfusion Ontario Program Office</dc:creator>
  <cp:keywords/>
  <cp:lastModifiedBy>Nesrallah, Heather</cp:lastModifiedBy>
  <cp:revision>2</cp:revision>
  <cp:lastPrinted>2015-01-06T18:48:00Z</cp:lastPrinted>
  <dcterms:created xsi:type="dcterms:W3CDTF">2020-08-11T15:13:00Z</dcterms:created>
  <dcterms:modified xsi:type="dcterms:W3CDTF">2020-08-11T15:13:00Z</dcterms:modified>
</cp:coreProperties>
</file>