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1E7" w:rsidRDefault="009761E7">
      <w:pPr>
        <w:numPr>
          <w:ilvl w:val="0"/>
          <w:numId w:val="33"/>
        </w:numPr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 xml:space="preserve">Principle </w:t>
      </w:r>
    </w:p>
    <w:p w:rsidR="009761E7" w:rsidRDefault="009761E7">
      <w:pPr>
        <w:ind w:left="720"/>
        <w:rPr>
          <w:rFonts w:ascii="Arial" w:hAnsi="Arial"/>
          <w:sz w:val="24"/>
        </w:rPr>
      </w:pPr>
    </w:p>
    <w:p w:rsidR="009761E7" w:rsidRDefault="009761E7">
      <w:pPr>
        <w:pStyle w:val="BodyTextIndent"/>
        <w:ind w:left="720" w:firstLine="0"/>
      </w:pPr>
      <w:r>
        <w:t>Chloroquine diphosphate dissociates IgG from the red cell membrane with little</w:t>
      </w:r>
      <w:r w:rsidR="007A76A2">
        <w:t xml:space="preserve"> or no damage to its integrity.</w:t>
      </w:r>
      <w:r>
        <w:t xml:space="preserve"> Use of this procedure permits complete phenotyping of red cells coated with warm reactive </w:t>
      </w:r>
      <w:r w:rsidR="00E41F5F">
        <w:t xml:space="preserve">(IgG) </w:t>
      </w:r>
      <w:r>
        <w:t>autoantibody, including tests with reagents solely reactive by indirect antiglobulin techniques.</w:t>
      </w:r>
    </w:p>
    <w:p w:rsidR="009761E7" w:rsidRDefault="009761E7" w:rsidP="00E41F5F">
      <w:pPr>
        <w:rPr>
          <w:rFonts w:ascii="Arial" w:hAnsi="Arial"/>
          <w:b/>
          <w:sz w:val="24"/>
        </w:rPr>
      </w:pPr>
    </w:p>
    <w:p w:rsidR="007A76A2" w:rsidRDefault="00E41F5F" w:rsidP="007A76A2">
      <w:pPr>
        <w:numPr>
          <w:ilvl w:val="0"/>
          <w:numId w:val="33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Scope and Related Policies</w:t>
      </w:r>
    </w:p>
    <w:p w:rsidR="007A76A2" w:rsidRPr="007A76A2" w:rsidRDefault="007A76A2" w:rsidP="007A76A2">
      <w:pPr>
        <w:ind w:left="1440"/>
        <w:rPr>
          <w:rFonts w:ascii="Arial" w:hAnsi="Arial"/>
          <w:b/>
          <w:sz w:val="28"/>
        </w:rPr>
      </w:pPr>
    </w:p>
    <w:p w:rsidR="00E41F5F" w:rsidRPr="007A76A2" w:rsidRDefault="00E41F5F" w:rsidP="007A76A2">
      <w:pPr>
        <w:numPr>
          <w:ilvl w:val="1"/>
          <w:numId w:val="33"/>
        </w:numPr>
        <w:rPr>
          <w:rFonts w:ascii="Arial" w:hAnsi="Arial"/>
          <w:b/>
          <w:sz w:val="28"/>
        </w:rPr>
      </w:pPr>
      <w:r w:rsidRPr="007A76A2">
        <w:rPr>
          <w:rFonts w:ascii="Arial" w:hAnsi="Arial"/>
          <w:sz w:val="24"/>
        </w:rPr>
        <w:t>Chloroquine diphosphate may also be used to treat cells used for autoabsorption in antibody investigations in situations where ZZAP is not effective (e.g. when the autoantibody has a</w:t>
      </w:r>
      <w:r w:rsidR="007A76A2">
        <w:rPr>
          <w:rFonts w:ascii="Arial" w:hAnsi="Arial"/>
          <w:sz w:val="24"/>
        </w:rPr>
        <w:t xml:space="preserve"> </w:t>
      </w:r>
      <w:r w:rsidRPr="007A76A2">
        <w:rPr>
          <w:rFonts w:ascii="Arial" w:hAnsi="Arial"/>
          <w:sz w:val="24"/>
        </w:rPr>
        <w:t>Kell system specificity).</w:t>
      </w:r>
    </w:p>
    <w:p w:rsidR="009761E7" w:rsidRDefault="009761E7">
      <w:pPr>
        <w:ind w:left="1440"/>
        <w:rPr>
          <w:rFonts w:ascii="Arial" w:hAnsi="Arial"/>
          <w:sz w:val="24"/>
        </w:rPr>
      </w:pPr>
    </w:p>
    <w:p w:rsidR="009761E7" w:rsidRDefault="009761E7">
      <w:pPr>
        <w:numPr>
          <w:ilvl w:val="0"/>
          <w:numId w:val="33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Specimen</w:t>
      </w:r>
    </w:p>
    <w:p w:rsidR="009761E7" w:rsidRDefault="009761E7">
      <w:pPr>
        <w:rPr>
          <w:rFonts w:ascii="Arial" w:hAnsi="Arial"/>
          <w:sz w:val="24"/>
        </w:rPr>
      </w:pPr>
    </w:p>
    <w:p w:rsidR="009761E7" w:rsidRDefault="009761E7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EDTA anticoagulated </w:t>
      </w:r>
      <w:r w:rsidR="00E41F5F">
        <w:rPr>
          <w:rFonts w:ascii="Arial" w:hAnsi="Arial"/>
          <w:sz w:val="24"/>
        </w:rPr>
        <w:t>whole blood</w:t>
      </w:r>
      <w:r>
        <w:rPr>
          <w:rFonts w:ascii="Arial" w:hAnsi="Arial"/>
          <w:sz w:val="24"/>
        </w:rPr>
        <w:t>.</w:t>
      </w:r>
    </w:p>
    <w:p w:rsidR="009761E7" w:rsidRDefault="009761E7">
      <w:pPr>
        <w:rPr>
          <w:rFonts w:ascii="Arial" w:hAnsi="Arial"/>
          <w:sz w:val="24"/>
        </w:rPr>
      </w:pPr>
    </w:p>
    <w:p w:rsidR="009761E7" w:rsidRDefault="009761E7">
      <w:pPr>
        <w:numPr>
          <w:ilvl w:val="0"/>
          <w:numId w:val="33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Material</w:t>
      </w:r>
    </w:p>
    <w:p w:rsidR="009761E7" w:rsidRDefault="009761E7">
      <w:pPr>
        <w:rPr>
          <w:rFonts w:ascii="Arial" w:hAnsi="Arial"/>
          <w:sz w:val="24"/>
        </w:rPr>
      </w:pPr>
    </w:p>
    <w:p w:rsidR="009761E7" w:rsidRDefault="009761E7">
      <w:pPr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Equipment: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Cell Washer</w:t>
      </w:r>
    </w:p>
    <w:p w:rsidR="009761E7" w:rsidRDefault="009761E7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Serological centrifuge</w:t>
      </w:r>
    </w:p>
    <w:p w:rsidR="009761E7" w:rsidRDefault="009761E7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Block for test tubes</w:t>
      </w:r>
    </w:p>
    <w:p w:rsidR="009761E7" w:rsidRDefault="009761E7">
      <w:pPr>
        <w:ind w:left="2880"/>
        <w:rPr>
          <w:rFonts w:ascii="Arial" w:hAnsi="Arial"/>
          <w:sz w:val="24"/>
        </w:rPr>
      </w:pPr>
      <w:r>
        <w:rPr>
          <w:rFonts w:ascii="Arial" w:hAnsi="Arial"/>
          <w:sz w:val="24"/>
        </w:rPr>
        <w:t>Microscope</w:t>
      </w:r>
    </w:p>
    <w:p w:rsidR="009761E7" w:rsidRDefault="009761E7">
      <w:pPr>
        <w:ind w:left="720"/>
        <w:rPr>
          <w:rFonts w:ascii="Arial" w:hAnsi="Arial"/>
          <w:b/>
          <w:sz w:val="24"/>
        </w:rPr>
      </w:pPr>
    </w:p>
    <w:p w:rsidR="009761E7" w:rsidRDefault="009761E7">
      <w:pPr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Supplies: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Test tubes – 10 x 75</w:t>
      </w:r>
      <w:r w:rsidR="00DC48F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mm</w:t>
      </w:r>
    </w:p>
    <w:p w:rsidR="009761E7" w:rsidRDefault="009761E7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Serological pipettes</w:t>
      </w:r>
    </w:p>
    <w:p w:rsidR="009761E7" w:rsidRDefault="009761E7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9761E7" w:rsidRDefault="009761E7">
      <w:pPr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Reagents: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E41F5F">
        <w:rPr>
          <w:rFonts w:ascii="Arial" w:hAnsi="Arial"/>
          <w:sz w:val="24"/>
        </w:rPr>
        <w:t>0.9%</w:t>
      </w:r>
      <w:r w:rsidR="00DC48F0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aline</w:t>
      </w:r>
    </w:p>
    <w:p w:rsidR="009761E7" w:rsidRDefault="009761E7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Anti-IgG</w:t>
      </w:r>
    </w:p>
    <w:p w:rsidR="009761E7" w:rsidRDefault="009761E7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IgG-coated cells</w:t>
      </w:r>
    </w:p>
    <w:p w:rsidR="009761E7" w:rsidRDefault="009761E7">
      <w:pPr>
        <w:ind w:left="2880"/>
        <w:rPr>
          <w:rFonts w:ascii="Arial" w:hAnsi="Arial"/>
          <w:sz w:val="24"/>
        </w:rPr>
      </w:pPr>
      <w:r>
        <w:rPr>
          <w:rFonts w:ascii="Arial" w:hAnsi="Arial"/>
          <w:sz w:val="24"/>
        </w:rPr>
        <w:t>Working Solution of Chloroquine Diphosphate, see                     RP.006 Preparing Chloroquine Diphosphate Reagent.</w:t>
      </w:r>
    </w:p>
    <w:p w:rsidR="009761E7" w:rsidRDefault="009761E7">
      <w:pPr>
        <w:numPr>
          <w:ilvl w:val="0"/>
          <w:numId w:val="33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Quality Control</w:t>
      </w:r>
    </w:p>
    <w:p w:rsidR="009761E7" w:rsidRDefault="009761E7">
      <w:pPr>
        <w:ind w:left="720"/>
        <w:rPr>
          <w:rFonts w:ascii="Arial" w:hAnsi="Arial"/>
          <w:sz w:val="24"/>
        </w:rPr>
      </w:pPr>
    </w:p>
    <w:p w:rsidR="009761E7" w:rsidRDefault="009761E7">
      <w:pPr>
        <w:numPr>
          <w:ilvl w:val="1"/>
          <w:numId w:val="3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Positive Control red cells - carrying a single-dose expression of antigens for which the test samples are to be phenotyped.</w:t>
      </w:r>
    </w:p>
    <w:p w:rsidR="009761E7" w:rsidRDefault="009761E7">
      <w:pPr>
        <w:ind w:left="720"/>
        <w:rPr>
          <w:rFonts w:ascii="Arial" w:hAnsi="Arial"/>
          <w:sz w:val="24"/>
        </w:rPr>
      </w:pPr>
    </w:p>
    <w:p w:rsidR="009761E7" w:rsidRDefault="009761E7">
      <w:pPr>
        <w:numPr>
          <w:ilvl w:val="1"/>
          <w:numId w:val="3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Negative Control red cells – antigens absent for which the test samples are to be phenotyped.</w:t>
      </w:r>
    </w:p>
    <w:p w:rsidR="009761E7" w:rsidRDefault="009761E7">
      <w:pPr>
        <w:rPr>
          <w:rFonts w:ascii="Arial" w:hAnsi="Arial"/>
          <w:bCs/>
          <w:sz w:val="24"/>
        </w:rPr>
      </w:pPr>
    </w:p>
    <w:p w:rsidR="009761E7" w:rsidRDefault="009761E7" w:rsidP="007A76A2">
      <w:pPr>
        <w:numPr>
          <w:ilvl w:val="0"/>
          <w:numId w:val="33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Procedure</w:t>
      </w:r>
    </w:p>
    <w:p w:rsidR="007A76A2" w:rsidRPr="007A76A2" w:rsidRDefault="007A76A2" w:rsidP="007A76A2">
      <w:pPr>
        <w:ind w:left="720"/>
        <w:rPr>
          <w:rFonts w:ascii="Arial" w:hAnsi="Arial"/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A76A2" w:rsidRPr="00363EC5" w:rsidTr="00363EC5">
        <w:tc>
          <w:tcPr>
            <w:tcW w:w="8748" w:type="dxa"/>
            <w:shd w:val="clear" w:color="auto" w:fill="auto"/>
          </w:tcPr>
          <w:p w:rsidR="007A76A2" w:rsidRPr="00363EC5" w:rsidRDefault="007A76A2" w:rsidP="00363EC5">
            <w:pPr>
              <w:numPr>
                <w:ilvl w:val="1"/>
                <w:numId w:val="33"/>
              </w:numPr>
              <w:tabs>
                <w:tab w:val="clear" w:pos="1440"/>
                <w:tab w:val="num" w:pos="687"/>
              </w:tabs>
              <w:ind w:left="687" w:hanging="709"/>
              <w:rPr>
                <w:rFonts w:ascii="Arial" w:hAnsi="Arial"/>
                <w:sz w:val="24"/>
              </w:rPr>
            </w:pPr>
            <w:r w:rsidRPr="00363EC5">
              <w:rPr>
                <w:rFonts w:ascii="Arial" w:hAnsi="Arial"/>
                <w:sz w:val="24"/>
              </w:rPr>
              <w:t>To one volume of packed red cells add four volumes of chloroquine disphosphate working solution. Similarly treat the control cells.</w:t>
            </w:r>
          </w:p>
        </w:tc>
      </w:tr>
      <w:tr w:rsidR="007A76A2" w:rsidRPr="00363EC5" w:rsidTr="00363EC5">
        <w:tc>
          <w:tcPr>
            <w:tcW w:w="8748" w:type="dxa"/>
            <w:shd w:val="clear" w:color="auto" w:fill="auto"/>
          </w:tcPr>
          <w:p w:rsidR="007A76A2" w:rsidRPr="00363EC5" w:rsidRDefault="007A76A2" w:rsidP="00363EC5">
            <w:pPr>
              <w:numPr>
                <w:ilvl w:val="1"/>
                <w:numId w:val="33"/>
              </w:numPr>
              <w:tabs>
                <w:tab w:val="clear" w:pos="1440"/>
                <w:tab w:val="num" w:pos="687"/>
              </w:tabs>
              <w:ind w:left="687" w:hanging="709"/>
              <w:rPr>
                <w:rFonts w:ascii="Arial" w:hAnsi="Arial"/>
                <w:sz w:val="24"/>
              </w:rPr>
            </w:pPr>
            <w:r w:rsidRPr="00363EC5">
              <w:rPr>
                <w:rFonts w:ascii="Arial" w:hAnsi="Arial"/>
                <w:sz w:val="24"/>
              </w:rPr>
              <w:t>Mix and incubate at room temperature for 30 minutes.</w:t>
            </w:r>
          </w:p>
        </w:tc>
      </w:tr>
      <w:tr w:rsidR="007A76A2" w:rsidRPr="00363EC5" w:rsidTr="00363EC5">
        <w:tc>
          <w:tcPr>
            <w:tcW w:w="8748" w:type="dxa"/>
            <w:shd w:val="clear" w:color="auto" w:fill="auto"/>
          </w:tcPr>
          <w:p w:rsidR="007A76A2" w:rsidRPr="00363EC5" w:rsidRDefault="007A76A2" w:rsidP="00363EC5">
            <w:pPr>
              <w:numPr>
                <w:ilvl w:val="1"/>
                <w:numId w:val="33"/>
              </w:numPr>
              <w:tabs>
                <w:tab w:val="clear" w:pos="1440"/>
                <w:tab w:val="num" w:pos="687"/>
              </w:tabs>
              <w:ind w:left="687"/>
              <w:rPr>
                <w:rFonts w:ascii="Arial" w:hAnsi="Arial"/>
                <w:sz w:val="24"/>
              </w:rPr>
            </w:pPr>
            <w:r w:rsidRPr="00363EC5">
              <w:rPr>
                <w:rFonts w:ascii="Arial" w:hAnsi="Arial"/>
                <w:sz w:val="24"/>
              </w:rPr>
              <w:t>Remove a small aliquot (e.g. 1 drop) of the treated test cells and wash them four times with saline.</w:t>
            </w:r>
          </w:p>
        </w:tc>
      </w:tr>
      <w:tr w:rsidR="007A76A2" w:rsidRPr="00363EC5" w:rsidTr="00363EC5">
        <w:tc>
          <w:tcPr>
            <w:tcW w:w="8748" w:type="dxa"/>
            <w:shd w:val="clear" w:color="auto" w:fill="auto"/>
          </w:tcPr>
          <w:p w:rsidR="007A76A2" w:rsidRPr="00363EC5" w:rsidRDefault="007A76A2" w:rsidP="00363EC5">
            <w:pPr>
              <w:numPr>
                <w:ilvl w:val="1"/>
                <w:numId w:val="33"/>
              </w:numPr>
              <w:tabs>
                <w:tab w:val="clear" w:pos="1440"/>
                <w:tab w:val="num" w:pos="687"/>
              </w:tabs>
              <w:ind w:left="687"/>
              <w:rPr>
                <w:rFonts w:ascii="Arial" w:hAnsi="Arial"/>
                <w:sz w:val="24"/>
              </w:rPr>
            </w:pPr>
            <w:r w:rsidRPr="00363EC5">
              <w:rPr>
                <w:rFonts w:ascii="Arial" w:hAnsi="Arial"/>
                <w:sz w:val="24"/>
              </w:rPr>
              <w:t>Test the washed cells with anti-IgG.</w:t>
            </w:r>
          </w:p>
        </w:tc>
      </w:tr>
      <w:tr w:rsidR="007A76A2" w:rsidRPr="00363EC5" w:rsidTr="00363EC5">
        <w:tc>
          <w:tcPr>
            <w:tcW w:w="8748" w:type="dxa"/>
            <w:shd w:val="clear" w:color="auto" w:fill="auto"/>
          </w:tcPr>
          <w:p w:rsidR="007A76A2" w:rsidRPr="00363EC5" w:rsidRDefault="007A76A2" w:rsidP="00363EC5">
            <w:pPr>
              <w:numPr>
                <w:ilvl w:val="1"/>
                <w:numId w:val="33"/>
              </w:numPr>
              <w:tabs>
                <w:tab w:val="clear" w:pos="1440"/>
                <w:tab w:val="num" w:pos="687"/>
              </w:tabs>
              <w:ind w:left="687"/>
              <w:rPr>
                <w:rFonts w:ascii="Arial" w:hAnsi="Arial"/>
                <w:sz w:val="24"/>
              </w:rPr>
            </w:pPr>
            <w:r w:rsidRPr="00363EC5">
              <w:rPr>
                <w:rFonts w:ascii="Arial" w:hAnsi="Arial"/>
                <w:sz w:val="24"/>
              </w:rPr>
              <w:t>If this treatment has rendered the cells nonreactive with anti-IgG, wash the total volumes of treated test cells and control cells three times in saline and make a 3% suspension in solution to use in subsequent blood typing tests.</w:t>
            </w:r>
          </w:p>
        </w:tc>
      </w:tr>
      <w:tr w:rsidR="007A76A2" w:rsidRPr="00363EC5" w:rsidTr="00363EC5">
        <w:tc>
          <w:tcPr>
            <w:tcW w:w="8748" w:type="dxa"/>
            <w:shd w:val="clear" w:color="auto" w:fill="auto"/>
          </w:tcPr>
          <w:p w:rsidR="007A76A2" w:rsidRPr="00363EC5" w:rsidRDefault="007A76A2" w:rsidP="00363EC5">
            <w:pPr>
              <w:numPr>
                <w:ilvl w:val="1"/>
                <w:numId w:val="33"/>
              </w:numPr>
              <w:tabs>
                <w:tab w:val="clear" w:pos="1440"/>
                <w:tab w:val="num" w:pos="687"/>
              </w:tabs>
              <w:ind w:left="687" w:hanging="675"/>
              <w:rPr>
                <w:rFonts w:ascii="Arial" w:hAnsi="Arial"/>
                <w:sz w:val="24"/>
              </w:rPr>
            </w:pPr>
            <w:r w:rsidRPr="00363EC5">
              <w:rPr>
                <w:rFonts w:ascii="Arial" w:hAnsi="Arial"/>
                <w:sz w:val="24"/>
              </w:rPr>
              <w:t>If the treated red cells still react with anti-IgG after 30 minutes of incubation with chloroquine disphosphate, steps 6.2 to 6.4 should be repeated at 30 minute intervals (for a maximum incubation period of 2 hours), until the sample tested is nonreactive with anti-IgG, as described in step 6.5.</w:t>
            </w:r>
          </w:p>
        </w:tc>
      </w:tr>
      <w:tr w:rsidR="007A76A2" w:rsidRPr="00363EC5" w:rsidTr="00363EC5">
        <w:tc>
          <w:tcPr>
            <w:tcW w:w="8748" w:type="dxa"/>
            <w:shd w:val="clear" w:color="auto" w:fill="auto"/>
          </w:tcPr>
          <w:p w:rsidR="007A76A2" w:rsidRPr="00363EC5" w:rsidRDefault="007A76A2" w:rsidP="00363EC5">
            <w:pPr>
              <w:numPr>
                <w:ilvl w:val="1"/>
                <w:numId w:val="33"/>
              </w:numPr>
              <w:tabs>
                <w:tab w:val="clear" w:pos="1440"/>
                <w:tab w:val="num" w:pos="687"/>
              </w:tabs>
              <w:ind w:left="687"/>
              <w:rPr>
                <w:rFonts w:ascii="Arial" w:hAnsi="Arial"/>
                <w:sz w:val="24"/>
              </w:rPr>
            </w:pPr>
            <w:r w:rsidRPr="00363EC5">
              <w:rPr>
                <w:rFonts w:ascii="Arial" w:hAnsi="Arial"/>
                <w:sz w:val="24"/>
              </w:rPr>
              <w:t>Once IgG has been removed effectively from the red cells, they can be used for Antigen typing (see NRT.009 Antigen Typing) or Autoabsorption (see SP.014 Autoabsorption – Chloroquine Treated Cells).</w:t>
            </w:r>
          </w:p>
        </w:tc>
      </w:tr>
    </w:tbl>
    <w:p w:rsidR="007A76A2" w:rsidRDefault="007A76A2" w:rsidP="007A76A2">
      <w:pPr>
        <w:ind w:left="1440"/>
        <w:rPr>
          <w:rFonts w:ascii="Arial" w:hAnsi="Arial"/>
          <w:sz w:val="24"/>
        </w:rPr>
      </w:pPr>
    </w:p>
    <w:p w:rsidR="009761E7" w:rsidRDefault="009761E7">
      <w:pPr>
        <w:numPr>
          <w:ilvl w:val="0"/>
          <w:numId w:val="33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Reporting </w:t>
      </w:r>
    </w:p>
    <w:p w:rsidR="009761E7" w:rsidRDefault="009761E7">
      <w:pPr>
        <w:ind w:left="720"/>
        <w:rPr>
          <w:rFonts w:ascii="Arial" w:hAnsi="Arial"/>
          <w:b/>
          <w:sz w:val="28"/>
        </w:rPr>
      </w:pPr>
    </w:p>
    <w:p w:rsidR="009761E7" w:rsidRDefault="009761E7">
      <w:pPr>
        <w:pStyle w:val="Heading1"/>
      </w:pPr>
      <w:r>
        <w:t>Interpretations of Results:</w:t>
      </w:r>
    </w:p>
    <w:p w:rsidR="009761E7" w:rsidRDefault="009761E7"/>
    <w:p w:rsidR="009761E7" w:rsidRDefault="009761E7" w:rsidP="007A76A2">
      <w:pPr>
        <w:numPr>
          <w:ilvl w:val="1"/>
          <w:numId w:val="22"/>
        </w:numPr>
        <w:ind w:hanging="73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If the direct antiglobulin test is negative on the red blood cells after treatment, the cells may be tested for </w:t>
      </w:r>
      <w:r w:rsidR="00AD7805">
        <w:rPr>
          <w:rFonts w:ascii="Arial" w:hAnsi="Arial"/>
          <w:sz w:val="24"/>
        </w:rPr>
        <w:t xml:space="preserve">their surface </w:t>
      </w:r>
      <w:r>
        <w:rPr>
          <w:rFonts w:ascii="Arial" w:hAnsi="Arial"/>
          <w:sz w:val="24"/>
        </w:rPr>
        <w:t>antigen</w:t>
      </w:r>
      <w:r w:rsidR="00593289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by the indirect antiglobulin procedure.</w:t>
      </w:r>
    </w:p>
    <w:p w:rsidR="00E41F5F" w:rsidRPr="007A76A2" w:rsidRDefault="00E41F5F" w:rsidP="00E41F5F">
      <w:pPr>
        <w:ind w:left="720"/>
        <w:rPr>
          <w:rFonts w:ascii="Arial" w:hAnsi="Arial"/>
          <w:b/>
          <w:sz w:val="24"/>
        </w:rPr>
      </w:pPr>
    </w:p>
    <w:p w:rsidR="009761E7" w:rsidRDefault="009761E7">
      <w:pPr>
        <w:numPr>
          <w:ilvl w:val="0"/>
          <w:numId w:val="33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Procedural Notes</w:t>
      </w:r>
    </w:p>
    <w:p w:rsidR="009761E7" w:rsidRDefault="009761E7">
      <w:pPr>
        <w:rPr>
          <w:rFonts w:ascii="Arial" w:hAnsi="Arial"/>
          <w:sz w:val="24"/>
        </w:rPr>
      </w:pPr>
    </w:p>
    <w:p w:rsidR="009761E7" w:rsidRDefault="009761E7">
      <w:pPr>
        <w:numPr>
          <w:ilvl w:val="1"/>
          <w:numId w:val="3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Incubation with chloroquine diphosphate should not be extended beyond 2 hours. Prolonged incubation at room temperature or incubation at 37</w:t>
      </w:r>
      <w:r w:rsidR="007A76A2">
        <w:rPr>
          <w:rFonts w:ascii="Arial" w:hAnsi="Arial" w:cs="Arial"/>
          <w:sz w:val="24"/>
        </w:rPr>
        <w:t>º</w:t>
      </w:r>
      <w:r>
        <w:rPr>
          <w:rFonts w:ascii="Arial" w:hAnsi="Arial"/>
          <w:sz w:val="24"/>
        </w:rPr>
        <w:t>C may cause hemolysis and loss of red cell antigens.</w:t>
      </w:r>
    </w:p>
    <w:p w:rsidR="009761E7" w:rsidRDefault="009761E7">
      <w:pPr>
        <w:ind w:left="720"/>
        <w:rPr>
          <w:rFonts w:ascii="Arial" w:hAnsi="Arial"/>
          <w:sz w:val="24"/>
        </w:rPr>
      </w:pPr>
    </w:p>
    <w:p w:rsidR="009761E7" w:rsidRDefault="009761E7">
      <w:pPr>
        <w:numPr>
          <w:ilvl w:val="1"/>
          <w:numId w:val="3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Some denaturation of Rh antigens may occur.</w:t>
      </w:r>
    </w:p>
    <w:p w:rsidR="009761E7" w:rsidRDefault="009761E7">
      <w:pPr>
        <w:rPr>
          <w:rFonts w:ascii="Arial" w:hAnsi="Arial"/>
          <w:sz w:val="24"/>
        </w:rPr>
      </w:pPr>
    </w:p>
    <w:p w:rsidR="009761E7" w:rsidRDefault="009761E7">
      <w:pPr>
        <w:numPr>
          <w:ilvl w:val="1"/>
          <w:numId w:val="3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Chloroquine diphosphate may not completely remove antibody from sensitized red cells. DAT results on red cells from some persons, particularly those with a strongly positive initial test, may only be diminished in strength.</w:t>
      </w:r>
    </w:p>
    <w:p w:rsidR="009761E7" w:rsidRDefault="009761E7">
      <w:pPr>
        <w:rPr>
          <w:rFonts w:ascii="Arial" w:hAnsi="Arial"/>
          <w:sz w:val="24"/>
        </w:rPr>
      </w:pPr>
    </w:p>
    <w:p w:rsidR="009761E7" w:rsidRDefault="009761E7">
      <w:pPr>
        <w:numPr>
          <w:ilvl w:val="1"/>
          <w:numId w:val="3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This method can be used for removal of Bg (HLA-related antigens) from red cells. Appropriate controls should be used.  </w:t>
      </w:r>
    </w:p>
    <w:p w:rsidR="009761E7" w:rsidRDefault="009761E7">
      <w:pPr>
        <w:rPr>
          <w:rFonts w:ascii="Arial" w:hAnsi="Arial"/>
          <w:b/>
          <w:sz w:val="24"/>
        </w:rPr>
      </w:pPr>
    </w:p>
    <w:p w:rsidR="009761E7" w:rsidRDefault="009761E7">
      <w:pPr>
        <w:numPr>
          <w:ilvl w:val="0"/>
          <w:numId w:val="33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References</w:t>
      </w:r>
    </w:p>
    <w:p w:rsidR="009761E7" w:rsidRDefault="009761E7">
      <w:pPr>
        <w:rPr>
          <w:rFonts w:ascii="Arial" w:hAnsi="Arial"/>
          <w:b/>
          <w:sz w:val="24"/>
        </w:rPr>
      </w:pPr>
    </w:p>
    <w:p w:rsidR="00D070EA" w:rsidRPr="00D070EA" w:rsidRDefault="00D070EA" w:rsidP="00D070EA">
      <w:pPr>
        <w:numPr>
          <w:ilvl w:val="1"/>
          <w:numId w:val="33"/>
        </w:numPr>
        <w:rPr>
          <w:rFonts w:ascii="Arial" w:hAnsi="Arial"/>
          <w:sz w:val="24"/>
        </w:rPr>
      </w:pPr>
      <w:r w:rsidRPr="00D070EA">
        <w:rPr>
          <w:rFonts w:ascii="Arial" w:hAnsi="Arial"/>
          <w:sz w:val="24"/>
        </w:rPr>
        <w:t xml:space="preserve">Judd, WJ ed. Judd’s Methods in Immunohematology, 3rd ed,   </w:t>
      </w:r>
      <w:smartTag w:uri="urn:schemas-microsoft-com:office:smarttags" w:element="place">
        <w:smartTag w:uri="urn:schemas-microsoft-com:office:smarttags" w:element="City">
          <w:r w:rsidRPr="00D070EA">
            <w:rPr>
              <w:rFonts w:ascii="Arial" w:hAnsi="Arial"/>
              <w:sz w:val="24"/>
            </w:rPr>
            <w:t>Bethesda</w:t>
          </w:r>
        </w:smartTag>
        <w:r w:rsidRPr="00D070EA">
          <w:rPr>
            <w:rFonts w:ascii="Arial" w:hAnsi="Arial"/>
            <w:sz w:val="24"/>
          </w:rPr>
          <w:t xml:space="preserve">, </w:t>
        </w:r>
        <w:smartTag w:uri="urn:schemas-microsoft-com:office:smarttags" w:element="State">
          <w:r w:rsidRPr="00D070EA">
            <w:rPr>
              <w:rFonts w:ascii="Arial" w:hAnsi="Arial"/>
              <w:sz w:val="24"/>
            </w:rPr>
            <w:t>MD</w:t>
          </w:r>
        </w:smartTag>
      </w:smartTag>
      <w:r>
        <w:rPr>
          <w:rFonts w:ascii="Arial" w:hAnsi="Arial"/>
          <w:sz w:val="24"/>
        </w:rPr>
        <w:t>: pg. 170-172.</w:t>
      </w:r>
    </w:p>
    <w:p w:rsidR="00D070EA" w:rsidRPr="00D070EA" w:rsidRDefault="00D070EA" w:rsidP="00D070EA">
      <w:pPr>
        <w:ind w:left="720"/>
        <w:rPr>
          <w:rFonts w:ascii="Arial" w:hAnsi="Arial"/>
          <w:sz w:val="24"/>
        </w:rPr>
      </w:pPr>
    </w:p>
    <w:p w:rsidR="00D070EA" w:rsidRDefault="00D070EA" w:rsidP="00D070EA">
      <w:pPr>
        <w:numPr>
          <w:ilvl w:val="1"/>
          <w:numId w:val="33"/>
        </w:numPr>
        <w:rPr>
          <w:rFonts w:ascii="Arial" w:hAnsi="Arial"/>
          <w:sz w:val="24"/>
        </w:rPr>
      </w:pPr>
      <w:r w:rsidRPr="00D070EA">
        <w:rPr>
          <w:rFonts w:ascii="Arial" w:hAnsi="Arial"/>
          <w:sz w:val="24"/>
        </w:rPr>
        <w:t>Roback, JD. ed. AABB Technical Manual, 1</w:t>
      </w:r>
      <w:r w:rsidR="00593289">
        <w:rPr>
          <w:rFonts w:ascii="Arial" w:hAnsi="Arial"/>
          <w:sz w:val="24"/>
        </w:rPr>
        <w:t>7</w:t>
      </w:r>
      <w:r w:rsidR="007D11A0">
        <w:rPr>
          <w:rFonts w:ascii="Arial" w:hAnsi="Arial"/>
          <w:sz w:val="24"/>
        </w:rPr>
        <w:t xml:space="preserve">th ed. </w:t>
      </w:r>
      <w:r w:rsidRPr="00D070EA">
        <w:rPr>
          <w:rFonts w:ascii="Arial" w:hAnsi="Arial"/>
          <w:sz w:val="24"/>
        </w:rPr>
        <w:t>Bethesda, MD: American Association of Blood Banks, 20</w:t>
      </w:r>
      <w:r w:rsidR="00593289">
        <w:rPr>
          <w:rFonts w:ascii="Arial" w:hAnsi="Arial"/>
          <w:sz w:val="24"/>
        </w:rPr>
        <w:t>11</w:t>
      </w:r>
      <w:r w:rsidRPr="00D070EA">
        <w:rPr>
          <w:rFonts w:ascii="Arial" w:hAnsi="Arial"/>
          <w:sz w:val="24"/>
        </w:rPr>
        <w:t xml:space="preserve">: pg </w:t>
      </w:r>
      <w:r>
        <w:rPr>
          <w:rFonts w:ascii="Arial" w:hAnsi="Arial"/>
          <w:sz w:val="24"/>
        </w:rPr>
        <w:t>89</w:t>
      </w:r>
      <w:r w:rsidR="00593289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>-89</w:t>
      </w:r>
      <w:r w:rsidR="00593289">
        <w:rPr>
          <w:rFonts w:ascii="Arial" w:hAnsi="Arial"/>
          <w:sz w:val="24"/>
        </w:rPr>
        <w:t>2</w:t>
      </w:r>
      <w:r w:rsidRPr="00D070EA">
        <w:rPr>
          <w:rFonts w:ascii="Arial" w:hAnsi="Arial"/>
          <w:sz w:val="24"/>
        </w:rPr>
        <w:t>.</w:t>
      </w:r>
    </w:p>
    <w:p w:rsidR="00CE2625" w:rsidRDefault="00CE2625" w:rsidP="00CE2625">
      <w:pPr>
        <w:pStyle w:val="ListParagraph"/>
        <w:rPr>
          <w:rFonts w:ascii="Arial" w:hAnsi="Arial"/>
          <w:sz w:val="24"/>
        </w:rPr>
      </w:pPr>
    </w:p>
    <w:p w:rsidR="00CE2625" w:rsidRPr="00CE2625" w:rsidRDefault="00CE2625" w:rsidP="00CE2625">
      <w:pPr>
        <w:numPr>
          <w:ilvl w:val="0"/>
          <w:numId w:val="33"/>
        </w:numPr>
        <w:rPr>
          <w:rFonts w:ascii="Arial" w:hAnsi="Arial"/>
          <w:b/>
          <w:sz w:val="28"/>
        </w:rPr>
      </w:pPr>
      <w:r w:rsidRPr="00CE2625">
        <w:rPr>
          <w:rFonts w:ascii="Arial" w:hAnsi="Arial"/>
          <w:b/>
          <w:sz w:val="28"/>
        </w:rPr>
        <w:t>Revision History</w:t>
      </w:r>
    </w:p>
    <w:p w:rsidR="009761E7" w:rsidRDefault="009761E7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771"/>
      </w:tblGrid>
      <w:tr w:rsidR="00CE2625" w:rsidRPr="00363EC5" w:rsidTr="0027586F">
        <w:tc>
          <w:tcPr>
            <w:tcW w:w="3085" w:type="dxa"/>
            <w:shd w:val="clear" w:color="auto" w:fill="D9D9D9"/>
          </w:tcPr>
          <w:p w:rsidR="00CE2625" w:rsidRPr="00363EC5" w:rsidRDefault="00CE2625" w:rsidP="00363EC5">
            <w:pPr>
              <w:jc w:val="center"/>
              <w:rPr>
                <w:rFonts w:ascii="Arial" w:hAnsi="Arial"/>
                <w:b/>
                <w:sz w:val="22"/>
              </w:rPr>
            </w:pPr>
            <w:r w:rsidRPr="00363EC5">
              <w:rPr>
                <w:rFonts w:ascii="Arial" w:hAnsi="Arial"/>
                <w:b/>
                <w:sz w:val="22"/>
              </w:rPr>
              <w:t>Revision Date</w:t>
            </w:r>
          </w:p>
        </w:tc>
        <w:tc>
          <w:tcPr>
            <w:tcW w:w="5771" w:type="dxa"/>
            <w:shd w:val="clear" w:color="auto" w:fill="D9D9D9"/>
          </w:tcPr>
          <w:p w:rsidR="00CE2625" w:rsidRPr="00363EC5" w:rsidRDefault="00CE2625" w:rsidP="00363EC5">
            <w:pPr>
              <w:jc w:val="center"/>
              <w:rPr>
                <w:rFonts w:ascii="Arial" w:hAnsi="Arial"/>
                <w:b/>
                <w:sz w:val="22"/>
              </w:rPr>
            </w:pPr>
            <w:r w:rsidRPr="00363EC5">
              <w:rPr>
                <w:rFonts w:ascii="Arial" w:hAnsi="Arial"/>
                <w:b/>
                <w:sz w:val="22"/>
              </w:rPr>
              <w:t>Summary of Revision</w:t>
            </w:r>
          </w:p>
        </w:tc>
      </w:tr>
      <w:tr w:rsidR="00CE2625" w:rsidRPr="00363EC5" w:rsidTr="0027586F">
        <w:tc>
          <w:tcPr>
            <w:tcW w:w="3085" w:type="dxa"/>
            <w:shd w:val="clear" w:color="auto" w:fill="auto"/>
          </w:tcPr>
          <w:p w:rsidR="00CE2625" w:rsidRPr="00363EC5" w:rsidRDefault="00CE2625">
            <w:pPr>
              <w:rPr>
                <w:rFonts w:ascii="Arial" w:hAnsi="Arial"/>
                <w:sz w:val="22"/>
              </w:rPr>
            </w:pPr>
            <w:r w:rsidRPr="00363EC5">
              <w:rPr>
                <w:rFonts w:ascii="Arial" w:hAnsi="Arial"/>
                <w:sz w:val="22"/>
              </w:rPr>
              <w:t>September 1, 2014</w:t>
            </w:r>
          </w:p>
        </w:tc>
        <w:tc>
          <w:tcPr>
            <w:tcW w:w="5771" w:type="dxa"/>
            <w:shd w:val="clear" w:color="auto" w:fill="auto"/>
          </w:tcPr>
          <w:p w:rsidR="00CE2625" w:rsidRPr="00363EC5" w:rsidRDefault="00CE2625" w:rsidP="00363EC5">
            <w:pPr>
              <w:numPr>
                <w:ilvl w:val="0"/>
                <w:numId w:val="35"/>
              </w:numPr>
              <w:rPr>
                <w:rFonts w:ascii="Arial" w:hAnsi="Arial"/>
                <w:sz w:val="22"/>
              </w:rPr>
            </w:pPr>
            <w:r w:rsidRPr="00363EC5">
              <w:rPr>
                <w:rFonts w:ascii="Arial" w:hAnsi="Arial"/>
                <w:sz w:val="22"/>
              </w:rPr>
              <w:t>Revised name of manual</w:t>
            </w:r>
          </w:p>
          <w:p w:rsidR="00CE2625" w:rsidRPr="00363EC5" w:rsidRDefault="00CE2625" w:rsidP="00363EC5">
            <w:pPr>
              <w:numPr>
                <w:ilvl w:val="0"/>
                <w:numId w:val="35"/>
              </w:numPr>
              <w:rPr>
                <w:rFonts w:ascii="Arial" w:hAnsi="Arial"/>
                <w:sz w:val="22"/>
              </w:rPr>
            </w:pPr>
            <w:r w:rsidRPr="00363EC5">
              <w:rPr>
                <w:rFonts w:ascii="Arial" w:hAnsi="Arial"/>
                <w:sz w:val="22"/>
              </w:rPr>
              <w:t>Separated SP.012 into two documents: SP.011 and SP.012</w:t>
            </w:r>
          </w:p>
          <w:p w:rsidR="00CE2625" w:rsidRPr="00363EC5" w:rsidRDefault="00CE2625" w:rsidP="00363EC5">
            <w:pPr>
              <w:numPr>
                <w:ilvl w:val="0"/>
                <w:numId w:val="35"/>
              </w:numPr>
              <w:rPr>
                <w:rFonts w:ascii="Arial" w:hAnsi="Arial"/>
                <w:sz w:val="22"/>
              </w:rPr>
            </w:pPr>
            <w:r w:rsidRPr="00363EC5">
              <w:rPr>
                <w:rFonts w:ascii="Arial" w:hAnsi="Arial"/>
                <w:sz w:val="22"/>
              </w:rPr>
              <w:t>Added section 2.1</w:t>
            </w:r>
          </w:p>
          <w:p w:rsidR="00CE2625" w:rsidRPr="00363EC5" w:rsidRDefault="00CE2625" w:rsidP="00363EC5">
            <w:pPr>
              <w:numPr>
                <w:ilvl w:val="0"/>
                <w:numId w:val="35"/>
              </w:numPr>
              <w:rPr>
                <w:rFonts w:ascii="Arial" w:hAnsi="Arial"/>
                <w:sz w:val="22"/>
              </w:rPr>
            </w:pPr>
            <w:r w:rsidRPr="00363EC5">
              <w:rPr>
                <w:rFonts w:ascii="Arial" w:hAnsi="Arial"/>
                <w:sz w:val="22"/>
              </w:rPr>
              <w:t>Revised wording to read “EDTA anticoagulated whole blood” in section 3.0</w:t>
            </w:r>
          </w:p>
          <w:p w:rsidR="00CE2625" w:rsidRPr="00363EC5" w:rsidRDefault="00CE2625" w:rsidP="00363EC5">
            <w:pPr>
              <w:numPr>
                <w:ilvl w:val="0"/>
                <w:numId w:val="35"/>
              </w:numPr>
              <w:rPr>
                <w:rFonts w:ascii="Arial" w:hAnsi="Arial"/>
                <w:sz w:val="22"/>
              </w:rPr>
            </w:pPr>
            <w:r w:rsidRPr="00363EC5">
              <w:rPr>
                <w:rFonts w:ascii="Arial" w:hAnsi="Arial"/>
                <w:sz w:val="22"/>
              </w:rPr>
              <w:t xml:space="preserve">Changed “Normal saline” to “0.9% saline” in section 4.0- </w:t>
            </w:r>
            <w:r w:rsidRPr="00363EC5">
              <w:rPr>
                <w:rFonts w:ascii="Arial" w:hAnsi="Arial"/>
                <w:i/>
                <w:sz w:val="22"/>
              </w:rPr>
              <w:t>Reagents</w:t>
            </w:r>
          </w:p>
          <w:p w:rsidR="00CE2625" w:rsidRPr="00363EC5" w:rsidRDefault="00CE2625" w:rsidP="00363EC5">
            <w:pPr>
              <w:numPr>
                <w:ilvl w:val="0"/>
                <w:numId w:val="35"/>
              </w:numPr>
              <w:rPr>
                <w:rFonts w:ascii="Arial" w:hAnsi="Arial"/>
                <w:sz w:val="22"/>
              </w:rPr>
            </w:pPr>
            <w:r w:rsidRPr="00363EC5">
              <w:rPr>
                <w:rFonts w:ascii="Arial" w:hAnsi="Arial"/>
                <w:sz w:val="22"/>
              </w:rPr>
              <w:t>Revised and renumbered section 6.0</w:t>
            </w:r>
          </w:p>
          <w:p w:rsidR="00CE2625" w:rsidRPr="00363EC5" w:rsidRDefault="00CE2625" w:rsidP="00363EC5">
            <w:pPr>
              <w:numPr>
                <w:ilvl w:val="0"/>
                <w:numId w:val="35"/>
              </w:numPr>
              <w:rPr>
                <w:rFonts w:ascii="Arial" w:hAnsi="Arial"/>
                <w:sz w:val="22"/>
              </w:rPr>
            </w:pPr>
            <w:r w:rsidRPr="00363EC5">
              <w:rPr>
                <w:rFonts w:ascii="Arial" w:hAnsi="Arial"/>
                <w:sz w:val="22"/>
              </w:rPr>
              <w:t>Updated list of references to include most recent editions</w:t>
            </w:r>
          </w:p>
        </w:tc>
      </w:tr>
    </w:tbl>
    <w:p w:rsidR="00CE2625" w:rsidRPr="00CE2625" w:rsidRDefault="00CE2625">
      <w:pPr>
        <w:rPr>
          <w:rFonts w:ascii="Arial" w:hAnsi="Arial"/>
          <w:sz w:val="22"/>
        </w:rPr>
      </w:pPr>
    </w:p>
    <w:p w:rsidR="009761E7" w:rsidRDefault="009761E7"/>
    <w:sectPr w:rsidR="00976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7" w:right="1800" w:bottom="1440" w:left="1800" w:header="720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8F5" w:rsidRDefault="00A818F5">
      <w:r>
        <w:separator/>
      </w:r>
    </w:p>
  </w:endnote>
  <w:endnote w:type="continuationSeparator" w:id="0">
    <w:p w:rsidR="00A818F5" w:rsidRDefault="00A8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625" w:rsidRDefault="00CE2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AD7805">
      <w:trPr>
        <w:trHeight w:val="720"/>
      </w:trPr>
      <w:tc>
        <w:tcPr>
          <w:tcW w:w="1368" w:type="dxa"/>
        </w:tcPr>
        <w:p w:rsidR="00AD7805" w:rsidRDefault="00AD7805">
          <w:pPr>
            <w:pStyle w:val="Footer"/>
            <w:jc w:val="center"/>
            <w:rPr>
              <w:sz w:val="8"/>
            </w:rPr>
          </w:pPr>
        </w:p>
        <w:p w:rsidR="00AD7805" w:rsidRDefault="003652ED">
          <w:pPr>
            <w:pStyle w:val="Footer"/>
            <w:jc w:val="center"/>
            <w:rPr>
              <w:rFonts w:ascii="Verdana" w:hAnsi="Verdana"/>
              <w:sz w:val="8"/>
            </w:rPr>
          </w:pPr>
          <w:r>
            <w:rPr>
              <w:noProof/>
            </w:rPr>
            <w:drawing>
              <wp:inline distT="0" distB="0" distL="0" distR="0">
                <wp:extent cx="657225" cy="447675"/>
                <wp:effectExtent l="0" t="0" r="0" b="0"/>
                <wp:docPr id="1" name="Picture 1" descr="ORB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B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AD7805" w:rsidRDefault="00AD7805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AD7805" w:rsidRDefault="00AD7805" w:rsidP="00DC48F0">
          <w:pPr>
            <w:pStyle w:val="Footer"/>
            <w:jc w:val="center"/>
            <w:rPr>
              <w:rFonts w:ascii="Arial" w:hAnsi="Arial"/>
              <w:sz w:val="18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z w:val="18"/>
                </w:rPr>
                <w:t>Ontario</w:t>
              </w:r>
            </w:smartTag>
          </w:smartTag>
          <w:r>
            <w:rPr>
              <w:rFonts w:ascii="Arial" w:hAnsi="Arial"/>
              <w:sz w:val="18"/>
            </w:rPr>
            <w:t xml:space="preserve"> Regional Blood Coordinating Network </w:t>
          </w:r>
        </w:p>
        <w:p w:rsidR="00AD7805" w:rsidRDefault="00CE2625">
          <w:pPr>
            <w:pStyle w:val="Foot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Transfusion Technical Resource Manual</w:t>
          </w:r>
        </w:p>
        <w:p w:rsidR="00AD7805" w:rsidRDefault="00AD7805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AD7805" w:rsidRDefault="00AD7805">
          <w:pPr>
            <w:pStyle w:val="Footer"/>
            <w:rPr>
              <w:rFonts w:ascii="Arial" w:hAnsi="Arial"/>
              <w:sz w:val="18"/>
            </w:rPr>
          </w:pPr>
        </w:p>
      </w:tc>
      <w:tc>
        <w:tcPr>
          <w:tcW w:w="1494" w:type="dxa"/>
        </w:tcPr>
        <w:p w:rsidR="00AD7805" w:rsidRDefault="00AD7805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AD7805" w:rsidRDefault="00CE2625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SP.011</w:t>
          </w:r>
          <w:r w:rsidR="00AD7805">
            <w:rPr>
              <w:rFonts w:ascii="Arial" w:hAnsi="Arial"/>
              <w:sz w:val="18"/>
            </w:rPr>
            <w:br/>
          </w:r>
        </w:p>
        <w:p w:rsidR="00AD7805" w:rsidRDefault="00AD7805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621F8E">
            <w:rPr>
              <w:rFonts w:ascii="Arial" w:hAnsi="Arial"/>
              <w:noProof/>
              <w:snapToGrid w:val="0"/>
              <w:sz w:val="18"/>
            </w:rPr>
            <w:t>3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of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621F8E">
            <w:rPr>
              <w:rFonts w:ascii="Arial" w:hAnsi="Arial"/>
              <w:noProof/>
              <w:snapToGrid w:val="0"/>
              <w:sz w:val="18"/>
            </w:rPr>
            <w:t>3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AD7805" w:rsidRDefault="00AD78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AD7805">
      <w:trPr>
        <w:trHeight w:val="720"/>
      </w:trPr>
      <w:tc>
        <w:tcPr>
          <w:tcW w:w="1368" w:type="dxa"/>
        </w:tcPr>
        <w:p w:rsidR="00AD7805" w:rsidRDefault="00AD7805">
          <w:pPr>
            <w:pStyle w:val="Footer"/>
            <w:jc w:val="center"/>
            <w:rPr>
              <w:rFonts w:ascii="Verdana" w:hAnsi="Verdana"/>
              <w:sz w:val="8"/>
            </w:rPr>
          </w:pPr>
        </w:p>
        <w:p w:rsidR="00AD7805" w:rsidRDefault="003652ED">
          <w:pPr>
            <w:pStyle w:val="Footer"/>
            <w:jc w:val="center"/>
            <w:rPr>
              <w:rFonts w:ascii="Verdana" w:hAnsi="Verdana"/>
              <w:sz w:val="8"/>
            </w:rPr>
          </w:pPr>
          <w:r>
            <w:rPr>
              <w:noProof/>
            </w:rPr>
            <w:drawing>
              <wp:inline distT="0" distB="0" distL="0" distR="0">
                <wp:extent cx="657225" cy="447675"/>
                <wp:effectExtent l="0" t="0" r="0" b="0"/>
                <wp:docPr id="3" name="Picture 3" descr="ORB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ORB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AD7805" w:rsidRDefault="00AD7805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AD7805" w:rsidRDefault="00AD7805" w:rsidP="00DC48F0">
          <w:pPr>
            <w:pStyle w:val="Footer"/>
            <w:jc w:val="center"/>
            <w:rPr>
              <w:rFonts w:ascii="Arial" w:hAnsi="Arial"/>
              <w:sz w:val="18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z w:val="18"/>
                </w:rPr>
                <w:t>Ontario</w:t>
              </w:r>
            </w:smartTag>
          </w:smartTag>
          <w:r>
            <w:rPr>
              <w:rFonts w:ascii="Arial" w:hAnsi="Arial"/>
              <w:sz w:val="18"/>
            </w:rPr>
            <w:t xml:space="preserve"> Regional Blood Coordinating Network </w:t>
          </w:r>
        </w:p>
        <w:p w:rsidR="00AD7805" w:rsidRDefault="00CE2625">
          <w:pPr>
            <w:pStyle w:val="Foot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Transfusion Technical Resource Manual</w:t>
          </w:r>
        </w:p>
        <w:p w:rsidR="00AD7805" w:rsidRDefault="00AD7805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AD7805" w:rsidRDefault="00AD7805">
          <w:pPr>
            <w:pStyle w:val="Footer"/>
            <w:rPr>
              <w:rFonts w:ascii="Arial" w:hAnsi="Arial"/>
              <w:sz w:val="18"/>
            </w:rPr>
          </w:pPr>
        </w:p>
      </w:tc>
      <w:tc>
        <w:tcPr>
          <w:tcW w:w="1494" w:type="dxa"/>
        </w:tcPr>
        <w:p w:rsidR="00AD7805" w:rsidRDefault="00AD7805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AD7805" w:rsidRDefault="00AD7805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SP.01</w:t>
          </w:r>
          <w:r w:rsidR="00CE2625">
            <w:rPr>
              <w:rFonts w:ascii="Arial" w:hAnsi="Arial"/>
              <w:sz w:val="18"/>
            </w:rPr>
            <w:t>1</w:t>
          </w:r>
          <w:r>
            <w:rPr>
              <w:rFonts w:ascii="Arial" w:hAnsi="Arial"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br/>
          </w:r>
        </w:p>
        <w:p w:rsidR="00AD7805" w:rsidRDefault="00AD7805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621F8E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of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621F8E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AD7805" w:rsidRDefault="00AD7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8F5" w:rsidRDefault="00A818F5">
      <w:r>
        <w:separator/>
      </w:r>
    </w:p>
  </w:footnote>
  <w:footnote w:type="continuationSeparator" w:id="0">
    <w:p w:rsidR="00A818F5" w:rsidRDefault="00A81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625" w:rsidRDefault="00CE2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805" w:rsidRDefault="00AD7805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Dissociating of IgG by Chloroquine Disphosphate/Gamma EGA Kit for Antigen Testing of RBCs with a Positive DAT</w:t>
    </w:r>
  </w:p>
  <w:p w:rsidR="00AD7805" w:rsidRDefault="00AD78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805" w:rsidRDefault="003652ED">
    <w:pPr>
      <w:pStyle w:val="Head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noProof/>
        <w:sz w:val="22"/>
      </w:rPr>
      <w:drawing>
        <wp:inline distT="0" distB="0" distL="0" distR="0">
          <wp:extent cx="1133475" cy="457200"/>
          <wp:effectExtent l="0" t="0" r="0" b="0"/>
          <wp:docPr id="2" name="Picture 2" descr="ORBCoN 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BCoN 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76A2" w:rsidRDefault="007A76A2" w:rsidP="007A76A2">
    <w:pPr>
      <w:pStyle w:val="Header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Ontario Regional Blood Coordinating Network</w:t>
    </w:r>
  </w:p>
  <w:p w:rsidR="007A76A2" w:rsidRDefault="007A76A2" w:rsidP="007A76A2">
    <w:pPr>
      <w:pStyle w:val="Header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Transfusion Technical Resource Manual</w:t>
    </w:r>
  </w:p>
  <w:p w:rsidR="00AD7805" w:rsidRDefault="00AD7805">
    <w:pPr>
      <w:pStyle w:val="Header"/>
      <w:jc w:val="center"/>
      <w:rPr>
        <w:rFonts w:ascii="Arial" w:hAnsi="Arial" w:cs="Arial"/>
        <w:b/>
        <w:bCs/>
        <w:sz w:val="22"/>
      </w:rPr>
    </w:pPr>
  </w:p>
  <w:p w:rsidR="00AD7805" w:rsidRDefault="00AD7805" w:rsidP="007962CC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Dissociati</w:t>
    </w:r>
    <w:r w:rsidR="00DF0E05">
      <w:rPr>
        <w:rFonts w:ascii="Arial" w:hAnsi="Arial"/>
        <w:b/>
        <w:sz w:val="28"/>
      </w:rPr>
      <w:t>on</w:t>
    </w:r>
    <w:r>
      <w:rPr>
        <w:rFonts w:ascii="Arial" w:hAnsi="Arial"/>
        <w:b/>
        <w:sz w:val="28"/>
      </w:rPr>
      <w:t xml:space="preserve"> of IgG by Chloroquine Diphosphate</w:t>
    </w:r>
  </w:p>
  <w:p w:rsidR="00AD7805" w:rsidRDefault="00AD7805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/>
        <w:b/>
        <w:sz w:val="28"/>
      </w:rPr>
      <w:t xml:space="preserve"> </w:t>
    </w:r>
  </w:p>
  <w:p w:rsidR="00AD7805" w:rsidRDefault="003652ED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20955</wp:posOffset>
              </wp:positionV>
              <wp:extent cx="56007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D0B7F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65pt" to="436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ASO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F0lqZ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"/>
          </w:pict>
        </mc:Fallback>
      </mc:AlternateContent>
    </w:r>
  </w:p>
  <w:tbl>
    <w:tblPr>
      <w:tblW w:w="0" w:type="auto"/>
      <w:tblLook w:val="0000" w:firstRow="0" w:lastRow="0" w:firstColumn="0" w:lastColumn="0" w:noHBand="0" w:noVBand="0"/>
    </w:tblPr>
    <w:tblGrid>
      <w:gridCol w:w="4321"/>
      <w:gridCol w:w="4319"/>
    </w:tblGrid>
    <w:tr w:rsidR="00AD7805">
      <w:tc>
        <w:tcPr>
          <w:tcW w:w="4428" w:type="dxa"/>
        </w:tcPr>
        <w:p w:rsidR="00AD7805" w:rsidRDefault="00AD7805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Approved By: </w:t>
          </w:r>
        </w:p>
      </w:tc>
      <w:tc>
        <w:tcPr>
          <w:tcW w:w="4428" w:type="dxa"/>
        </w:tcPr>
        <w:p w:rsidR="00AD7805" w:rsidRDefault="00AD7805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Document No: SP.01</w:t>
          </w:r>
          <w:r w:rsidR="00DF0E05">
            <w:rPr>
              <w:rFonts w:ascii="Arial" w:hAnsi="Arial" w:cs="Arial"/>
            </w:rPr>
            <w:t>1</w:t>
          </w:r>
        </w:p>
      </w:tc>
    </w:tr>
    <w:tr w:rsidR="00AD7805">
      <w:tc>
        <w:tcPr>
          <w:tcW w:w="4428" w:type="dxa"/>
        </w:tcPr>
        <w:p w:rsidR="00AD7805" w:rsidRDefault="00AD7805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Date Issued:  2004/04/05</w:t>
          </w:r>
        </w:p>
      </w:tc>
      <w:tc>
        <w:tcPr>
          <w:tcW w:w="4428" w:type="dxa"/>
        </w:tcPr>
        <w:p w:rsidR="00AD7805" w:rsidRDefault="00AD7805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Category:  Special Procedures</w:t>
          </w:r>
        </w:p>
      </w:tc>
    </w:tr>
    <w:tr w:rsidR="00AD7805">
      <w:tc>
        <w:tcPr>
          <w:tcW w:w="4428" w:type="dxa"/>
        </w:tcPr>
        <w:p w:rsidR="00AD7805" w:rsidRDefault="00AD7805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Date Revised:  2009/09/01</w:t>
          </w:r>
          <w:r w:rsidR="00DF0E05">
            <w:rPr>
              <w:rFonts w:ascii="Arial" w:hAnsi="Arial" w:cs="Arial"/>
            </w:rPr>
            <w:t>; 2014/09/01</w:t>
          </w:r>
        </w:p>
      </w:tc>
      <w:tc>
        <w:tcPr>
          <w:tcW w:w="4428" w:type="dxa"/>
        </w:tcPr>
        <w:p w:rsidR="00AD7805" w:rsidRDefault="00AD7805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Page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 w:rsidR="00621F8E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of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 w:rsidR="00621F8E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</w:p>
      </w:tc>
    </w:tr>
  </w:tbl>
  <w:p w:rsidR="00AD7805" w:rsidRDefault="003652ED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122555</wp:posOffset>
              </wp:positionV>
              <wp:extent cx="560070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34C55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65pt" to="436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Nj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M70xhUQUKmtDbXRk3o1z5p+d0jpqiVqzyPDt7OBtCxkJO9SwsYZwN/1XzSDGHLwOrbp&#10;1NguQEID0Cmqcb6pwU8eUTicztL0MQ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"/>
          </w:pict>
        </mc:Fallback>
      </mc:AlternateContent>
    </w:r>
    <w:r w:rsidR="00AD7805">
      <w:rPr>
        <w:rFonts w:ascii="Arial" w:hAnsi="Arial" w:cs="Arial"/>
      </w:rPr>
      <w:tab/>
    </w:r>
  </w:p>
  <w:p w:rsidR="00AD7805" w:rsidRDefault="00AD7805">
    <w:pPr>
      <w:pStyle w:val="Header"/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314"/>
    <w:multiLevelType w:val="multilevel"/>
    <w:tmpl w:val="C67C01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  <w:b/>
      </w:rPr>
    </w:lvl>
  </w:abstractNum>
  <w:abstractNum w:abstractNumId="1" w15:restartNumberingAfterBreak="0">
    <w:nsid w:val="055116B6"/>
    <w:multiLevelType w:val="multilevel"/>
    <w:tmpl w:val="FFA620FE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0"/>
        </w:tabs>
        <w:ind w:left="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0"/>
        </w:tabs>
        <w:ind w:left="11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800"/>
      </w:pPr>
      <w:rPr>
        <w:rFonts w:hint="default"/>
      </w:rPr>
    </w:lvl>
  </w:abstractNum>
  <w:abstractNum w:abstractNumId="2" w15:restartNumberingAfterBreak="0">
    <w:nsid w:val="0594311D"/>
    <w:multiLevelType w:val="multilevel"/>
    <w:tmpl w:val="B7B677B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973218A"/>
    <w:multiLevelType w:val="multilevel"/>
    <w:tmpl w:val="EBD84E7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" w15:restartNumberingAfterBreak="0">
    <w:nsid w:val="0A48106C"/>
    <w:multiLevelType w:val="multilevel"/>
    <w:tmpl w:val="9318AC1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390B17"/>
    <w:multiLevelType w:val="multilevel"/>
    <w:tmpl w:val="4588C1B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891314B"/>
    <w:multiLevelType w:val="multilevel"/>
    <w:tmpl w:val="4578949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1EB82A6D"/>
    <w:multiLevelType w:val="multilevel"/>
    <w:tmpl w:val="B0148EA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45458AF"/>
    <w:multiLevelType w:val="multilevel"/>
    <w:tmpl w:val="14CC1A9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4B610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6ED007F"/>
    <w:multiLevelType w:val="multilevel"/>
    <w:tmpl w:val="489E4B5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0902DF4"/>
    <w:multiLevelType w:val="multilevel"/>
    <w:tmpl w:val="152EC5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none"/>
      <w:lvlText w:val="7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31AE29FF"/>
    <w:multiLevelType w:val="multilevel"/>
    <w:tmpl w:val="C67C01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  <w:b/>
      </w:rPr>
    </w:lvl>
  </w:abstractNum>
  <w:abstractNum w:abstractNumId="13" w15:restartNumberingAfterBreak="0">
    <w:nsid w:val="33C37D82"/>
    <w:multiLevelType w:val="multilevel"/>
    <w:tmpl w:val="A4782FC6"/>
    <w:lvl w:ilvl="0">
      <w:start w:val="9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4567BF1"/>
    <w:multiLevelType w:val="multilevel"/>
    <w:tmpl w:val="1ABE313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66339B4"/>
    <w:multiLevelType w:val="multilevel"/>
    <w:tmpl w:val="CA8607A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A422A92"/>
    <w:multiLevelType w:val="multilevel"/>
    <w:tmpl w:val="9CA4E6C4"/>
    <w:lvl w:ilvl="0">
      <w:start w:val="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7" w15:restartNumberingAfterBreak="0">
    <w:nsid w:val="409D0DBD"/>
    <w:multiLevelType w:val="multilevel"/>
    <w:tmpl w:val="C5A8703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0CD2E0B"/>
    <w:multiLevelType w:val="multilevel"/>
    <w:tmpl w:val="C5A8703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5C43797"/>
    <w:multiLevelType w:val="multilevel"/>
    <w:tmpl w:val="C7941BE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45DE1FCB"/>
    <w:multiLevelType w:val="singleLevel"/>
    <w:tmpl w:val="D482FD1A"/>
    <w:lvl w:ilvl="0">
      <w:start w:val="4"/>
      <w:numFmt w:val="decimal"/>
      <w:lvlText w:val="%1.0"/>
      <w:lvlJc w:val="left"/>
      <w:pPr>
        <w:tabs>
          <w:tab w:val="num" w:pos="720"/>
        </w:tabs>
        <w:ind w:left="360" w:hanging="360"/>
      </w:pPr>
    </w:lvl>
  </w:abstractNum>
  <w:abstractNum w:abstractNumId="21" w15:restartNumberingAfterBreak="0">
    <w:nsid w:val="4B4976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DF56BE1"/>
    <w:multiLevelType w:val="multilevel"/>
    <w:tmpl w:val="C5A8703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4604130"/>
    <w:multiLevelType w:val="singleLevel"/>
    <w:tmpl w:val="89C6F95A"/>
    <w:lvl w:ilvl="0">
      <w:start w:val="7"/>
      <w:numFmt w:val="decimal"/>
      <w:lvlText w:val="%1.0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F0049F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1FF4ECE"/>
    <w:multiLevelType w:val="multilevel"/>
    <w:tmpl w:val="DD940BA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30F0B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52E5D77"/>
    <w:multiLevelType w:val="singleLevel"/>
    <w:tmpl w:val="0409000F"/>
    <w:lvl w:ilvl="0">
      <w:start w:val="1"/>
      <w:numFmt w:val="decimal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9EE2512"/>
    <w:multiLevelType w:val="multilevel"/>
    <w:tmpl w:val="B704AD96"/>
    <w:lvl w:ilvl="0">
      <w:start w:val="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9" w15:restartNumberingAfterBreak="0">
    <w:nsid w:val="6ED23111"/>
    <w:multiLevelType w:val="multilevel"/>
    <w:tmpl w:val="31D8721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2713C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8425875"/>
    <w:multiLevelType w:val="singleLevel"/>
    <w:tmpl w:val="B6347B9A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600"/>
      </w:pPr>
      <w:rPr>
        <w:rFonts w:hint="default"/>
      </w:rPr>
    </w:lvl>
  </w:abstractNum>
  <w:abstractNum w:abstractNumId="32" w15:restartNumberingAfterBreak="0">
    <w:nsid w:val="7A625C0F"/>
    <w:multiLevelType w:val="singleLevel"/>
    <w:tmpl w:val="E1FC2778"/>
    <w:lvl w:ilvl="0">
      <w:start w:val="1"/>
      <w:numFmt w:val="decimal"/>
      <w:lvlText w:val="%1.0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7AA32121"/>
    <w:multiLevelType w:val="multilevel"/>
    <w:tmpl w:val="C67C01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  <w:b/>
      </w:rPr>
    </w:lvl>
  </w:abstractNum>
  <w:abstractNum w:abstractNumId="34" w15:restartNumberingAfterBreak="0">
    <w:nsid w:val="7D050BC9"/>
    <w:multiLevelType w:val="hybridMultilevel"/>
    <w:tmpl w:val="24DA29E2"/>
    <w:lvl w:ilvl="0" w:tplc="4788965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24"/>
  </w:num>
  <w:num w:numId="4">
    <w:abstractNumId w:val="32"/>
  </w:num>
  <w:num w:numId="5">
    <w:abstractNumId w:val="20"/>
  </w:num>
  <w:num w:numId="6">
    <w:abstractNumId w:val="7"/>
  </w:num>
  <w:num w:numId="7">
    <w:abstractNumId w:val="4"/>
  </w:num>
  <w:num w:numId="8">
    <w:abstractNumId w:val="23"/>
  </w:num>
  <w:num w:numId="9">
    <w:abstractNumId w:val="11"/>
  </w:num>
  <w:num w:numId="10">
    <w:abstractNumId w:val="13"/>
  </w:num>
  <w:num w:numId="11">
    <w:abstractNumId w:val="15"/>
  </w:num>
  <w:num w:numId="12">
    <w:abstractNumId w:val="25"/>
  </w:num>
  <w:num w:numId="13">
    <w:abstractNumId w:val="16"/>
  </w:num>
  <w:num w:numId="14">
    <w:abstractNumId w:val="26"/>
  </w:num>
  <w:num w:numId="15">
    <w:abstractNumId w:val="22"/>
  </w:num>
  <w:num w:numId="16">
    <w:abstractNumId w:val="17"/>
  </w:num>
  <w:num w:numId="17">
    <w:abstractNumId w:val="18"/>
  </w:num>
  <w:num w:numId="18">
    <w:abstractNumId w:val="1"/>
  </w:num>
  <w:num w:numId="19">
    <w:abstractNumId w:val="2"/>
  </w:num>
  <w:num w:numId="20">
    <w:abstractNumId w:val="29"/>
  </w:num>
  <w:num w:numId="21">
    <w:abstractNumId w:val="19"/>
  </w:num>
  <w:num w:numId="22">
    <w:abstractNumId w:val="28"/>
  </w:num>
  <w:num w:numId="23">
    <w:abstractNumId w:val="31"/>
  </w:num>
  <w:num w:numId="24">
    <w:abstractNumId w:val="8"/>
  </w:num>
  <w:num w:numId="25">
    <w:abstractNumId w:val="10"/>
  </w:num>
  <w:num w:numId="26">
    <w:abstractNumId w:val="5"/>
  </w:num>
  <w:num w:numId="27">
    <w:abstractNumId w:val="21"/>
  </w:num>
  <w:num w:numId="28">
    <w:abstractNumId w:val="9"/>
  </w:num>
  <w:num w:numId="29">
    <w:abstractNumId w:val="0"/>
  </w:num>
  <w:num w:numId="30">
    <w:abstractNumId w:val="33"/>
  </w:num>
  <w:num w:numId="31">
    <w:abstractNumId w:val="12"/>
  </w:num>
  <w:num w:numId="32">
    <w:abstractNumId w:val="14"/>
  </w:num>
  <w:num w:numId="33">
    <w:abstractNumId w:val="6"/>
  </w:num>
  <w:num w:numId="34">
    <w:abstractNumId w:val="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8E"/>
    <w:rsid w:val="00003CDA"/>
    <w:rsid w:val="00042B35"/>
    <w:rsid w:val="000B69E6"/>
    <w:rsid w:val="001D78EC"/>
    <w:rsid w:val="00241DE1"/>
    <w:rsid w:val="0027586F"/>
    <w:rsid w:val="00306484"/>
    <w:rsid w:val="00363EC5"/>
    <w:rsid w:val="003652ED"/>
    <w:rsid w:val="00576A76"/>
    <w:rsid w:val="00593289"/>
    <w:rsid w:val="0060297C"/>
    <w:rsid w:val="00621F8E"/>
    <w:rsid w:val="00686957"/>
    <w:rsid w:val="006D1FFC"/>
    <w:rsid w:val="007962CC"/>
    <w:rsid w:val="007A76A2"/>
    <w:rsid w:val="007D11A0"/>
    <w:rsid w:val="0087419E"/>
    <w:rsid w:val="008F698E"/>
    <w:rsid w:val="009761E7"/>
    <w:rsid w:val="00A818F5"/>
    <w:rsid w:val="00AD081D"/>
    <w:rsid w:val="00AD7805"/>
    <w:rsid w:val="00B06BFD"/>
    <w:rsid w:val="00C214B4"/>
    <w:rsid w:val="00C437AE"/>
    <w:rsid w:val="00C70DAA"/>
    <w:rsid w:val="00C81D74"/>
    <w:rsid w:val="00CE2625"/>
    <w:rsid w:val="00D070EA"/>
    <w:rsid w:val="00DC48F0"/>
    <w:rsid w:val="00DF0E05"/>
    <w:rsid w:val="00E41F5F"/>
    <w:rsid w:val="00F6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392E21-D716-49B7-A299-685293D8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after="240"/>
      <w:outlineLvl w:val="2"/>
    </w:pPr>
    <w:rPr>
      <w:rFonts w:ascii="Georgia" w:hAnsi="Georgia"/>
      <w:kern w:val="2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">
    <w:name w:val="Body Text"/>
    <w:basedOn w:val="Normal"/>
    <w:pPr>
      <w:outlineLvl w:val="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1440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ind w:left="720"/>
      <w:outlineLvl w:val="0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37A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74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1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1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419E"/>
    <w:rPr>
      <w:b/>
      <w:bCs/>
    </w:rPr>
  </w:style>
  <w:style w:type="paragraph" w:styleId="ListParagraph">
    <w:name w:val="List Paragraph"/>
    <w:basedOn w:val="Normal"/>
    <w:uiPriority w:val="34"/>
    <w:qFormat/>
    <w:rsid w:val="00E41F5F"/>
    <w:pPr>
      <w:ind w:left="720"/>
    </w:pPr>
  </w:style>
  <w:style w:type="table" w:styleId="TableGrid">
    <w:name w:val="Table Grid"/>
    <w:basedOn w:val="TableNormal"/>
    <w:uiPriority w:val="59"/>
    <w:rsid w:val="007A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3359-FC45-4BF6-930B-E0313220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SP.012 - Gamma EGA Kit</vt:lpstr>
    </vt:vector>
  </TitlesOfParts>
  <Company>The Ottawa Hospital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SP.012 - Gamma EGA Kit</dc:title>
  <dc:subject/>
  <dc:creator>Transfusion Ontario Program Office</dc:creator>
  <cp:keywords/>
  <cp:lastModifiedBy>Nesrallah, Heather</cp:lastModifiedBy>
  <cp:revision>2</cp:revision>
  <cp:lastPrinted>2015-01-06T18:48:00Z</cp:lastPrinted>
  <dcterms:created xsi:type="dcterms:W3CDTF">2020-08-11T15:13:00Z</dcterms:created>
  <dcterms:modified xsi:type="dcterms:W3CDTF">2020-08-11T15:13:00Z</dcterms:modified>
</cp:coreProperties>
</file>