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B3" w:rsidRDefault="006B66B3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6B66B3" w:rsidRDefault="006B66B3">
      <w:pPr>
        <w:rPr>
          <w:rFonts w:ascii="Arial" w:hAnsi="Arial"/>
          <w:b/>
          <w:sz w:val="24"/>
        </w:rPr>
      </w:pPr>
    </w:p>
    <w:p w:rsidR="006B66B3" w:rsidRDefault="006B66B3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The Donath Landsteiner indirect test detects bithermic hemolysis of paroxysmal cold hemoglobinururia (PCH).</w:t>
      </w:r>
    </w:p>
    <w:p w:rsidR="006B66B3" w:rsidRDefault="006B66B3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6B66B3" w:rsidRDefault="006B66B3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The antibody produces hemolysis only when allowed to act first at a very low temperature and subsequently at a higher temperature (bithermic hemolysin). It is a non-agglutinating antibody that reacts almost exclusively with P+ red cells and is usually a transient condition secondary to viral infections (especially in children). It can also occur as an idiopathic chronic condition in older patients.</w:t>
      </w:r>
    </w:p>
    <w:p w:rsidR="006B66B3" w:rsidRDefault="006B66B3">
      <w:pPr>
        <w:rPr>
          <w:rFonts w:ascii="Arial" w:hAnsi="Arial"/>
          <w:b/>
          <w:sz w:val="24"/>
        </w:rPr>
      </w:pPr>
    </w:p>
    <w:p w:rsidR="006B66B3" w:rsidRDefault="006B66B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6B66B3" w:rsidRDefault="006B66B3">
      <w:pPr>
        <w:rPr>
          <w:rFonts w:ascii="Arial" w:hAnsi="Arial"/>
          <w:sz w:val="24"/>
        </w:rPr>
      </w:pPr>
    </w:p>
    <w:p w:rsidR="006B66B3" w:rsidRDefault="00FA34AF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Fresh Normal Serum (</w:t>
      </w:r>
      <w:r w:rsidR="006B66B3">
        <w:rPr>
          <w:rFonts w:ascii="Arial" w:hAnsi="Arial"/>
          <w:sz w:val="24"/>
        </w:rPr>
        <w:t>FNS</w:t>
      </w:r>
      <w:r>
        <w:rPr>
          <w:rFonts w:ascii="Arial" w:hAnsi="Arial"/>
          <w:sz w:val="24"/>
        </w:rPr>
        <w:t>)</w:t>
      </w:r>
      <w:r w:rsidR="006B66B3">
        <w:rPr>
          <w:rFonts w:ascii="Arial" w:hAnsi="Arial"/>
          <w:sz w:val="24"/>
        </w:rPr>
        <w:t xml:space="preserve"> used for this procedure MUST be fresh (less than </w:t>
      </w:r>
      <w:r w:rsidR="006A4A5F">
        <w:rPr>
          <w:rFonts w:ascii="Arial" w:hAnsi="Arial"/>
          <w:sz w:val="24"/>
        </w:rPr>
        <w:t>four</w:t>
      </w:r>
      <w:r w:rsidR="006B66B3">
        <w:rPr>
          <w:rFonts w:ascii="Arial" w:hAnsi="Arial"/>
          <w:sz w:val="24"/>
        </w:rPr>
        <w:t xml:space="preserve"> hours old) as it is used as a source of Complement.</w:t>
      </w:r>
    </w:p>
    <w:p w:rsidR="006B66B3" w:rsidRDefault="006B66B3">
      <w:pPr>
        <w:rPr>
          <w:rFonts w:ascii="Arial" w:hAnsi="Arial"/>
          <w:sz w:val="24"/>
        </w:rPr>
      </w:pPr>
    </w:p>
    <w:p w:rsidR="006B66B3" w:rsidRDefault="006B66B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6B66B3" w:rsidRDefault="006B66B3">
      <w:pPr>
        <w:rPr>
          <w:rFonts w:ascii="Arial" w:hAnsi="Arial"/>
          <w:b/>
          <w:sz w:val="24"/>
        </w:rPr>
      </w:pP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Serum separated from a freshly collected blood sample maintained at 37</w:t>
      </w:r>
      <w:r w:rsidR="006A4A5F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C.</w:t>
      </w:r>
    </w:p>
    <w:p w:rsidR="006B66B3" w:rsidRDefault="006B66B3">
      <w:pPr>
        <w:ind w:left="720"/>
        <w:rPr>
          <w:rFonts w:ascii="Arial" w:hAnsi="Arial"/>
          <w:sz w:val="24"/>
        </w:rPr>
      </w:pPr>
    </w:p>
    <w:p w:rsidR="006B66B3" w:rsidRDefault="006B66B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6B66B3" w:rsidRDefault="006B66B3">
      <w:pPr>
        <w:rPr>
          <w:rFonts w:ascii="Arial" w:hAnsi="Arial"/>
          <w:sz w:val="24"/>
        </w:rPr>
      </w:pP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Water bath/Heating block at 37</w:t>
      </w:r>
      <w:r w:rsidR="006A4A5F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</w:t>
      </w: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6A4A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E87D92" w:rsidRDefault="00E87D9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Ice bath</w:t>
      </w: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B66B3" w:rsidRDefault="006B66B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r w:rsidR="006A4A5F">
          <w:rPr>
            <w:rFonts w:ascii="Arial" w:hAnsi="Arial"/>
            <w:sz w:val="24"/>
          </w:rPr>
          <w:t>Normal</w:t>
        </w:r>
      </w:smartTag>
      <w:r w:rsidR="006A4A5F"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aline</w:t>
      </w:r>
    </w:p>
    <w:p w:rsidR="006B66B3" w:rsidRDefault="003F68FC" w:rsidP="006A4A5F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Fresh group compatible serum </w:t>
      </w:r>
      <w:r w:rsidR="006B66B3">
        <w:rPr>
          <w:rFonts w:ascii="Arial" w:hAnsi="Arial"/>
          <w:sz w:val="24"/>
        </w:rPr>
        <w:t>(less than</w:t>
      </w:r>
      <w:r w:rsidR="006A4A5F">
        <w:rPr>
          <w:rFonts w:ascii="Arial" w:hAnsi="Arial"/>
          <w:sz w:val="24"/>
        </w:rPr>
        <w:t xml:space="preserve"> four</w:t>
      </w:r>
      <w:r w:rsidR="006B66B3">
        <w:rPr>
          <w:rFonts w:ascii="Arial" w:hAnsi="Arial"/>
          <w:sz w:val="24"/>
        </w:rPr>
        <w:t xml:space="preserve"> h</w:t>
      </w:r>
      <w:r w:rsidR="006A4A5F">
        <w:rPr>
          <w:rFonts w:ascii="Arial" w:hAnsi="Arial"/>
          <w:sz w:val="24"/>
        </w:rPr>
        <w:t>ours</w:t>
      </w:r>
      <w:r w:rsidR="006B66B3">
        <w:rPr>
          <w:rFonts w:ascii="Arial" w:hAnsi="Arial"/>
          <w:sz w:val="24"/>
        </w:rPr>
        <w:t xml:space="preserve"> old</w:t>
      </w:r>
      <w:r w:rsidR="00E87D92">
        <w:rPr>
          <w:rFonts w:ascii="Arial" w:hAnsi="Arial"/>
          <w:sz w:val="24"/>
        </w:rPr>
        <w:t xml:space="preserve"> and known not to contain unexpected antibodies</w:t>
      </w:r>
      <w:r w:rsidR="006B66B3">
        <w:rPr>
          <w:rFonts w:ascii="Arial" w:hAnsi="Arial"/>
          <w:sz w:val="24"/>
        </w:rPr>
        <w:t>)</w:t>
      </w:r>
    </w:p>
    <w:p w:rsidR="006B66B3" w:rsidRDefault="006B66B3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Approximately 10 drops 50% saline suspension of normal group O red cells that express the P antigen. (twice washed and suspended in 0.9% saline).</w:t>
      </w:r>
    </w:p>
    <w:p w:rsidR="006B66B3" w:rsidRDefault="006B66B3">
      <w:pPr>
        <w:ind w:left="2880"/>
        <w:rPr>
          <w:rFonts w:ascii="Arial" w:hAnsi="Arial"/>
          <w:sz w:val="24"/>
        </w:rPr>
      </w:pPr>
    </w:p>
    <w:p w:rsidR="006B66B3" w:rsidRDefault="006B66B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6B66B3" w:rsidRDefault="006B66B3">
      <w:pPr>
        <w:ind w:left="720"/>
        <w:rPr>
          <w:rFonts w:ascii="Arial" w:hAnsi="Arial"/>
          <w:sz w:val="24"/>
        </w:rPr>
      </w:pPr>
    </w:p>
    <w:p w:rsidR="006B66B3" w:rsidRDefault="006B66B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6B66B3" w:rsidRDefault="006B66B3">
      <w:pPr>
        <w:suppressAutoHyphens/>
        <w:ind w:left="1800" w:hanging="1800"/>
        <w:rPr>
          <w:spacing w:val="-2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 w:hanging="743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Label three sets of three 10 x 75 mm test tubes as follows: A1-A2-A3; B1-B2-B3; C1-C2-C3. Refer to table below.</w:t>
            </w:r>
          </w:p>
          <w:p w:rsidR="00DD3E2C" w:rsidRPr="00F15294" w:rsidRDefault="00DD3E2C" w:rsidP="00F15294">
            <w:pPr>
              <w:ind w:left="743"/>
              <w:rPr>
                <w:rFonts w:ascii="Arial" w:hAnsi="Arial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3119"/>
              <w:gridCol w:w="2977"/>
            </w:tblGrid>
            <w:tr w:rsidR="00DD3E2C" w:rsidTr="00F15294">
              <w:trPr>
                <w:jc w:val="center"/>
              </w:trPr>
              <w:tc>
                <w:tcPr>
                  <w:tcW w:w="3006" w:type="dxa"/>
                  <w:shd w:val="clear" w:color="auto" w:fill="D9D9D9"/>
                </w:tcPr>
                <w:p w:rsidR="00DD3E2C" w:rsidRDefault="00DD3E2C" w:rsidP="00DD3E2C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Set A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DD3E2C" w:rsidRDefault="00DD3E2C" w:rsidP="00DD3E2C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Set B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DD3E2C" w:rsidRDefault="00DD3E2C" w:rsidP="00DD3E2C">
                  <w:pPr>
                    <w:jc w:val="center"/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Set C</w:t>
                  </w:r>
                </w:p>
              </w:tc>
            </w:tr>
            <w:tr w:rsidR="00DD3E2C" w:rsidTr="00DD3E2C">
              <w:trPr>
                <w:jc w:val="center"/>
              </w:trPr>
              <w:tc>
                <w:tcPr>
                  <w:tcW w:w="3006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A1 - pt sera &amp; P+ cells</w:t>
                  </w:r>
                </w:p>
              </w:tc>
              <w:tc>
                <w:tcPr>
                  <w:tcW w:w="3119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B1 - pt sera &amp; P+ cells</w:t>
                  </w:r>
                </w:p>
              </w:tc>
              <w:tc>
                <w:tcPr>
                  <w:tcW w:w="2977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C1 - pt sera &amp; P+ cells</w:t>
                  </w:r>
                </w:p>
              </w:tc>
            </w:tr>
            <w:tr w:rsidR="00DD3E2C" w:rsidTr="00DD3E2C">
              <w:trPr>
                <w:jc w:val="center"/>
              </w:trPr>
              <w:tc>
                <w:tcPr>
                  <w:tcW w:w="3006" w:type="dxa"/>
                </w:tcPr>
                <w:p w:rsidR="00DD3E2C" w:rsidRDefault="00DD3E2C" w:rsidP="00DD3E2C">
                  <w:pPr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A2 -  pt sera &amp; FNS &amp; P+ cells</w:t>
                  </w:r>
                </w:p>
              </w:tc>
              <w:tc>
                <w:tcPr>
                  <w:tcW w:w="3119" w:type="dxa"/>
                </w:tcPr>
                <w:p w:rsidR="00DD3E2C" w:rsidRDefault="00DD3E2C" w:rsidP="00DD3E2C">
                  <w:pPr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B2 -  pt sera &amp; FNS &amp; P+ cells</w:t>
                  </w:r>
                </w:p>
              </w:tc>
              <w:tc>
                <w:tcPr>
                  <w:tcW w:w="2977" w:type="dxa"/>
                </w:tcPr>
                <w:p w:rsidR="00DD3E2C" w:rsidRDefault="00DD3E2C" w:rsidP="00DD3E2C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 xml:space="preserve">C2 - pt sera &amp; FNS &amp; </w:t>
                  </w:r>
                  <w:r>
                    <w:rPr>
                      <w:rFonts w:ascii="Arial" w:hAnsi="Arial"/>
                      <w:sz w:val="24"/>
                    </w:rPr>
                    <w:t>P+ cells</w:t>
                  </w:r>
                </w:p>
              </w:tc>
            </w:tr>
            <w:tr w:rsidR="00DD3E2C" w:rsidTr="00DD3E2C">
              <w:trPr>
                <w:jc w:val="center"/>
              </w:trPr>
              <w:tc>
                <w:tcPr>
                  <w:tcW w:w="3006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A3 - FNS &amp; P+ cells</w:t>
                  </w:r>
                </w:p>
              </w:tc>
              <w:tc>
                <w:tcPr>
                  <w:tcW w:w="3119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B3- FNS &amp; P+ cells</w:t>
                  </w:r>
                </w:p>
              </w:tc>
              <w:tc>
                <w:tcPr>
                  <w:tcW w:w="2977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C3- FNS &amp; P+ cells</w:t>
                  </w:r>
                </w:p>
              </w:tc>
            </w:tr>
            <w:tr w:rsidR="00DD3E2C" w:rsidTr="00DD3E2C">
              <w:trPr>
                <w:jc w:val="center"/>
              </w:trPr>
              <w:tc>
                <w:tcPr>
                  <w:tcW w:w="3006" w:type="dxa"/>
                </w:tcPr>
                <w:p w:rsidR="00DD3E2C" w:rsidRDefault="00DD3E2C" w:rsidP="00DD3E2C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Ice for 30 min., 37</w:t>
                  </w:r>
                  <w:r>
                    <w:rPr>
                      <w:rFonts w:ascii="Arial" w:hAnsi="Arial" w:cs="Arial"/>
                      <w:sz w:val="24"/>
                    </w:rPr>
                    <w:t>°</w:t>
                  </w:r>
                  <w:r>
                    <w:rPr>
                      <w:rFonts w:ascii="Arial" w:hAnsi="Arial"/>
                      <w:sz w:val="24"/>
                    </w:rPr>
                    <w:t>C for 1 hour</w:t>
                  </w:r>
                </w:p>
              </w:tc>
              <w:tc>
                <w:tcPr>
                  <w:tcW w:w="3119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Ice for 90 min.</w:t>
                  </w:r>
                </w:p>
              </w:tc>
              <w:tc>
                <w:tcPr>
                  <w:tcW w:w="2977" w:type="dxa"/>
                </w:tcPr>
                <w:p w:rsidR="00DD3E2C" w:rsidRDefault="00DD3E2C" w:rsidP="00F1529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37</w:t>
                  </w:r>
                  <w:r>
                    <w:rPr>
                      <w:rFonts w:ascii="Arial" w:hAnsi="Arial" w:cs="Arial"/>
                      <w:sz w:val="24"/>
                    </w:rPr>
                    <w:t>°</w:t>
                  </w:r>
                  <w:r>
                    <w:rPr>
                      <w:rFonts w:ascii="Arial" w:hAnsi="Arial"/>
                      <w:sz w:val="24"/>
                    </w:rPr>
                    <w:t>C for 90 min.</w:t>
                  </w:r>
                </w:p>
              </w:tc>
            </w:tr>
          </w:tbl>
          <w:p w:rsidR="00DD3E2C" w:rsidRPr="00F15294" w:rsidRDefault="00DD3E2C" w:rsidP="00DD3E2C">
            <w:pPr>
              <w:rPr>
                <w:rFonts w:ascii="Arial" w:hAnsi="Arial"/>
                <w:sz w:val="24"/>
              </w:rPr>
            </w:pP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A34AF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To tubes 1 and 2 of each set, add 10 volumes (e.g. drops) of the patient's serum.</w:t>
            </w: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0"/>
              </w:numPr>
              <w:tabs>
                <w:tab w:val="clear" w:pos="1080"/>
                <w:tab w:val="num" w:pos="743"/>
              </w:tabs>
              <w:suppressAutoHyphens/>
              <w:ind w:left="743" w:hanging="709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To tubes 2 and 3 of each set, add 10 volumes of fresh normal serum.</w:t>
            </w: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0"/>
              </w:numPr>
              <w:tabs>
                <w:tab w:val="clear" w:pos="1080"/>
                <w:tab w:val="num" w:pos="743"/>
                <w:tab w:val="left" w:pos="1440"/>
              </w:tabs>
              <w:suppressAutoHyphens/>
              <w:ind w:left="743" w:hanging="709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To all tubes, add one volume of the 50% suspension of washed P positive red cells and mix well.</w:t>
            </w: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0"/>
              </w:numPr>
              <w:tabs>
                <w:tab w:val="clear" w:pos="1080"/>
                <w:tab w:val="num" w:pos="743"/>
              </w:tabs>
              <w:suppressAutoHyphens/>
              <w:ind w:left="743" w:hanging="720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Place the three "A" tubes in a bath of melting ice for 30 minutes, and then at 37</w:t>
            </w:r>
            <w:r w:rsidRPr="00F15294">
              <w:rPr>
                <w:rFonts w:ascii="Arial" w:hAnsi="Arial" w:cs="Arial"/>
                <w:sz w:val="24"/>
              </w:rPr>
              <w:t>°</w:t>
            </w: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C for 1 hour.</w:t>
            </w: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0"/>
              </w:numPr>
              <w:tabs>
                <w:tab w:val="clear" w:pos="1080"/>
                <w:tab w:val="num" w:pos="743"/>
              </w:tabs>
              <w:suppressAutoHyphens/>
              <w:ind w:left="743" w:hanging="709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Place the three "B" tubes in a bath of melting ice, and keep them in melting ice for 90 minutes.</w:t>
            </w: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0"/>
              </w:numPr>
              <w:tabs>
                <w:tab w:val="clear" w:pos="1080"/>
                <w:tab w:val="num" w:pos="743"/>
              </w:tabs>
              <w:suppressAutoHyphens/>
              <w:ind w:left="743" w:hanging="709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Place the three "C" tubes at 37</w:t>
            </w:r>
            <w:r w:rsidRPr="00F15294">
              <w:rPr>
                <w:rFonts w:ascii="Arial" w:hAnsi="Arial" w:cs="Arial"/>
                <w:sz w:val="24"/>
              </w:rPr>
              <w:t>°</w:t>
            </w: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C, and keep them at 37</w:t>
            </w:r>
            <w:r w:rsidRPr="00F15294">
              <w:rPr>
                <w:rFonts w:ascii="Arial" w:hAnsi="Arial" w:cs="Arial"/>
                <w:sz w:val="24"/>
              </w:rPr>
              <w:t>°</w:t>
            </w: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C for 90 minutes.</w:t>
            </w:r>
          </w:p>
        </w:tc>
      </w:tr>
      <w:tr w:rsidR="00DD3E2C" w:rsidRPr="00F15294" w:rsidTr="00F15294">
        <w:tc>
          <w:tcPr>
            <w:tcW w:w="9215" w:type="dxa"/>
            <w:shd w:val="clear" w:color="auto" w:fill="auto"/>
          </w:tcPr>
          <w:p w:rsidR="00DD3E2C" w:rsidRPr="00F15294" w:rsidRDefault="00DD3E2C" w:rsidP="00F15294">
            <w:pPr>
              <w:numPr>
                <w:ilvl w:val="1"/>
                <w:numId w:val="10"/>
              </w:numPr>
              <w:tabs>
                <w:tab w:val="clear" w:pos="1080"/>
                <w:tab w:val="num" w:pos="743"/>
              </w:tabs>
              <w:suppressAutoHyphens/>
              <w:ind w:left="743" w:hanging="709"/>
              <w:rPr>
                <w:rFonts w:ascii="Arial" w:hAnsi="Arial"/>
                <w:sz w:val="24"/>
              </w:rPr>
            </w:pPr>
            <w:r w:rsidRPr="00F15294">
              <w:rPr>
                <w:rFonts w:ascii="Arial" w:hAnsi="Arial"/>
                <w:spacing w:val="-2"/>
                <w:sz w:val="24"/>
                <w:lang w:val="en-GB"/>
              </w:rPr>
              <w:t>Centrifuge all tubes at 3500 rpm for 10-15 seconds, and examine the supernatant fluid for hemolysis. Record results.</w:t>
            </w:r>
          </w:p>
        </w:tc>
      </w:tr>
    </w:tbl>
    <w:p w:rsidR="006B66B3" w:rsidRDefault="006B66B3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6B66B3" w:rsidRDefault="006B66B3">
      <w:pPr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7.0</w:t>
      </w:r>
      <w:r>
        <w:rPr>
          <w:rFonts w:ascii="Arial" w:hAnsi="Arial"/>
          <w:b/>
          <w:sz w:val="28"/>
        </w:rPr>
        <w:tab/>
        <w:t xml:space="preserve">Reporting  </w:t>
      </w:r>
    </w:p>
    <w:p w:rsidR="006B66B3" w:rsidRDefault="006B66B3">
      <w:pPr>
        <w:rPr>
          <w:rFonts w:ascii="Arial" w:hAnsi="Arial"/>
          <w:sz w:val="24"/>
        </w:rPr>
      </w:pPr>
    </w:p>
    <w:p w:rsidR="00065A71" w:rsidRDefault="006B66B3" w:rsidP="00065A71">
      <w:pPr>
        <w:numPr>
          <w:ilvl w:val="1"/>
          <w:numId w:val="16"/>
        </w:numPr>
        <w:suppressAutoHyphens/>
        <w:ind w:right="720"/>
        <w:rPr>
          <w:rFonts w:ascii="Arial" w:hAnsi="Arial"/>
          <w:spacing w:val="-2"/>
          <w:sz w:val="24"/>
          <w:lang w:val="en-GB"/>
        </w:rPr>
      </w:pPr>
      <w:r w:rsidRPr="00065A71">
        <w:rPr>
          <w:rFonts w:ascii="Arial" w:hAnsi="Arial"/>
          <w:spacing w:val="-2"/>
          <w:sz w:val="24"/>
          <w:lang w:val="en-GB"/>
        </w:rPr>
        <w:t>The Donath-Landsteiner test is considered positive when the patient's serum, with or without added complement, causes hemolysis in the tubes that were incubated first in melting ice and then at 37</w:t>
      </w:r>
      <w:r w:rsidR="006A4A5F" w:rsidRPr="00065A71">
        <w:rPr>
          <w:rFonts w:ascii="Arial" w:hAnsi="Arial" w:cs="Arial"/>
          <w:sz w:val="24"/>
        </w:rPr>
        <w:t>°</w:t>
      </w:r>
      <w:r w:rsidR="00DD3E2C" w:rsidRPr="00065A71">
        <w:rPr>
          <w:rFonts w:ascii="Arial" w:hAnsi="Arial"/>
          <w:spacing w:val="-2"/>
          <w:sz w:val="24"/>
          <w:lang w:val="en-GB"/>
        </w:rPr>
        <w:t>C (i.e.</w:t>
      </w:r>
      <w:r w:rsidRPr="00065A71">
        <w:rPr>
          <w:rFonts w:ascii="Arial" w:hAnsi="Arial"/>
          <w:spacing w:val="-2"/>
          <w:sz w:val="24"/>
          <w:lang w:val="en-GB"/>
        </w:rPr>
        <w:t xml:space="preserve"> tubes A1, A2) and there is no hemolysis in any of the tubes maintained throughout at 37</w:t>
      </w:r>
      <w:r w:rsidR="006A4A5F" w:rsidRPr="00065A71">
        <w:rPr>
          <w:rFonts w:ascii="Arial" w:hAnsi="Arial" w:cs="Arial"/>
          <w:sz w:val="24"/>
        </w:rPr>
        <w:t>°</w:t>
      </w:r>
      <w:r w:rsidRPr="00065A71">
        <w:rPr>
          <w:rFonts w:ascii="Arial" w:hAnsi="Arial"/>
          <w:spacing w:val="-2"/>
          <w:sz w:val="24"/>
          <w:lang w:val="en-GB"/>
        </w:rPr>
        <w:t>C (i.e. tubes C1, C2) or in melting ice (i.e. tubes B1, B2). The A3, B3 and C3 tubes serve as a control for complement activity and should not manifest hemolysis.</w:t>
      </w:r>
    </w:p>
    <w:p w:rsidR="00FA34AF" w:rsidRDefault="00FA34AF" w:rsidP="00FA34AF">
      <w:pPr>
        <w:suppressAutoHyphens/>
        <w:ind w:left="1440" w:right="720"/>
        <w:rPr>
          <w:rFonts w:ascii="Arial" w:hAnsi="Arial"/>
          <w:spacing w:val="-2"/>
          <w:sz w:val="24"/>
          <w:lang w:val="en-GB"/>
        </w:rPr>
      </w:pPr>
    </w:p>
    <w:p w:rsidR="00E87D92" w:rsidRPr="00065A71" w:rsidRDefault="00E87D92" w:rsidP="00065A71">
      <w:pPr>
        <w:numPr>
          <w:ilvl w:val="1"/>
          <w:numId w:val="16"/>
        </w:numPr>
        <w:suppressAutoHyphens/>
        <w:ind w:right="720"/>
        <w:rPr>
          <w:rFonts w:ascii="Arial" w:hAnsi="Arial"/>
          <w:spacing w:val="-2"/>
          <w:sz w:val="24"/>
          <w:lang w:val="en-GB"/>
        </w:rPr>
      </w:pPr>
      <w:r w:rsidRPr="00065A71">
        <w:rPr>
          <w:rFonts w:ascii="Arial" w:hAnsi="Arial"/>
          <w:spacing w:val="-2"/>
          <w:sz w:val="24"/>
          <w:lang w:val="en-GB"/>
        </w:rPr>
        <w:t>A positive result must be telephoned to the patient’s physician.</w:t>
      </w:r>
    </w:p>
    <w:p w:rsidR="006B66B3" w:rsidRDefault="006B66B3">
      <w:pPr>
        <w:suppressAutoHyphens/>
        <w:ind w:left="1440" w:right="720"/>
        <w:rPr>
          <w:rFonts w:ascii="Arial" w:hAnsi="Arial"/>
          <w:spacing w:val="-2"/>
          <w:sz w:val="24"/>
          <w:lang w:val="en-GB"/>
        </w:rPr>
      </w:pPr>
    </w:p>
    <w:p w:rsidR="006B66B3" w:rsidRDefault="006B66B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8.0</w:t>
      </w:r>
      <w:r>
        <w:rPr>
          <w:rFonts w:ascii="Arial" w:hAnsi="Arial"/>
          <w:b/>
          <w:sz w:val="28"/>
        </w:rPr>
        <w:tab/>
        <w:t>Procedural Notes</w:t>
      </w:r>
    </w:p>
    <w:p w:rsidR="006B66B3" w:rsidRDefault="006B66B3">
      <w:pPr>
        <w:rPr>
          <w:rFonts w:ascii="Arial" w:hAnsi="Arial"/>
          <w:sz w:val="24"/>
        </w:rPr>
      </w:pPr>
    </w:p>
    <w:p w:rsidR="00E87D92" w:rsidRDefault="006B66B3" w:rsidP="00F86319">
      <w:pPr>
        <w:numPr>
          <w:ilvl w:val="1"/>
          <w:numId w:val="1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This procedure will be done at the request of the attending physician.</w:t>
      </w:r>
    </w:p>
    <w:p w:rsidR="00E87D92" w:rsidRDefault="00E87D92" w:rsidP="00F86319">
      <w:pPr>
        <w:suppressAutoHyphens/>
        <w:ind w:left="1440"/>
        <w:rPr>
          <w:rFonts w:ascii="Arial" w:hAnsi="Arial"/>
          <w:spacing w:val="-2"/>
          <w:sz w:val="24"/>
          <w:lang w:val="en-GB"/>
        </w:rPr>
      </w:pPr>
    </w:p>
    <w:p w:rsidR="00E87D92" w:rsidRPr="00F86319" w:rsidRDefault="00E87D92" w:rsidP="00F86319">
      <w:pPr>
        <w:numPr>
          <w:ilvl w:val="1"/>
          <w:numId w:val="11"/>
        </w:numPr>
        <w:suppressAutoHyphens/>
        <w:rPr>
          <w:rFonts w:ascii="Arial" w:hAnsi="Arial"/>
          <w:spacing w:val="-2"/>
          <w:sz w:val="24"/>
          <w:lang w:val="en-GB"/>
        </w:rPr>
      </w:pPr>
      <w:r w:rsidRPr="00E87D92">
        <w:rPr>
          <w:rFonts w:ascii="Arial" w:hAnsi="Arial"/>
          <w:spacing w:val="-2"/>
          <w:sz w:val="24"/>
          <w:lang w:val="en-GB"/>
        </w:rPr>
        <w:t xml:space="preserve">This test is indicated if the patient has a positive direct antiglobulin test (DAT) due to complement (C3) and is exhibiting hemoglobinemia and/or </w:t>
      </w:r>
      <w:r w:rsidRPr="00F86319">
        <w:rPr>
          <w:rFonts w:ascii="Arial" w:hAnsi="Arial"/>
          <w:spacing w:val="-2"/>
          <w:sz w:val="24"/>
          <w:lang w:val="en-GB"/>
        </w:rPr>
        <w:t>hemoglobinuria.</w:t>
      </w:r>
      <w:r w:rsidRPr="00F86319">
        <w:rPr>
          <w:rFonts w:ascii="Arial" w:hAnsi="Arial"/>
          <w:spacing w:val="-2"/>
          <w:sz w:val="24"/>
          <w:vertAlign w:val="superscript"/>
          <w:lang w:val="en-GB"/>
        </w:rPr>
        <w:t>9.1</w:t>
      </w:r>
    </w:p>
    <w:p w:rsidR="006B66B3" w:rsidRDefault="006B66B3">
      <w:pPr>
        <w:rPr>
          <w:rFonts w:ascii="Arial" w:hAnsi="Arial"/>
          <w:sz w:val="24"/>
        </w:rPr>
      </w:pPr>
    </w:p>
    <w:p w:rsidR="006B66B3" w:rsidRDefault="006B66B3">
      <w:pPr>
        <w:numPr>
          <w:ilvl w:val="0"/>
          <w:numId w:val="1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6B66B3" w:rsidRDefault="006B66B3">
      <w:pPr>
        <w:ind w:left="720"/>
        <w:rPr>
          <w:rFonts w:ascii="Arial" w:hAnsi="Arial"/>
          <w:sz w:val="24"/>
        </w:rPr>
      </w:pPr>
    </w:p>
    <w:p w:rsidR="002D36DA" w:rsidRDefault="002D36DA" w:rsidP="00065A71">
      <w:pPr>
        <w:numPr>
          <w:ilvl w:val="1"/>
          <w:numId w:val="1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Roback, JD. ed. AABB Technical Manual, </w:t>
      </w:r>
      <w:r w:rsidR="008A2E0B">
        <w:rPr>
          <w:rFonts w:ascii="Arial" w:hAnsi="Arial"/>
          <w:sz w:val="24"/>
        </w:rPr>
        <w:t>17</w:t>
      </w:r>
      <w:r w:rsidRPr="008E6BA9">
        <w:rPr>
          <w:rFonts w:ascii="Arial" w:hAnsi="Arial"/>
          <w:sz w:val="24"/>
        </w:rPr>
        <w:t>th</w:t>
      </w:r>
      <w:r>
        <w:rPr>
          <w:rFonts w:ascii="Arial" w:hAnsi="Arial"/>
          <w:sz w:val="24"/>
        </w:rPr>
        <w:t xml:space="preserve"> ed.  Bethesda, MD: American Association of Blood Banks, 20</w:t>
      </w:r>
      <w:r w:rsidR="008A2E0B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: pg</w:t>
      </w:r>
      <w:r w:rsidR="00FA34A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9</w:t>
      </w:r>
      <w:r w:rsidR="008A2E0B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>.</w:t>
      </w:r>
    </w:p>
    <w:p w:rsidR="00065A71" w:rsidRDefault="00065A71" w:rsidP="00065A71">
      <w:pPr>
        <w:ind w:left="720"/>
        <w:rPr>
          <w:rFonts w:ascii="Arial" w:hAnsi="Arial"/>
          <w:sz w:val="24"/>
        </w:rPr>
      </w:pPr>
    </w:p>
    <w:p w:rsidR="00065A71" w:rsidRPr="00065A71" w:rsidRDefault="00065A71" w:rsidP="00065A71">
      <w:pPr>
        <w:numPr>
          <w:ilvl w:val="0"/>
          <w:numId w:val="11"/>
        </w:numPr>
        <w:rPr>
          <w:rFonts w:ascii="Arial" w:hAnsi="Arial"/>
          <w:b/>
          <w:sz w:val="24"/>
        </w:rPr>
      </w:pPr>
      <w:r w:rsidRPr="00065A71">
        <w:rPr>
          <w:rFonts w:ascii="Arial" w:hAnsi="Arial"/>
          <w:b/>
          <w:sz w:val="28"/>
        </w:rPr>
        <w:t>Revision History</w:t>
      </w:r>
    </w:p>
    <w:p w:rsidR="00065A71" w:rsidRPr="00065A71" w:rsidRDefault="00065A71" w:rsidP="00065A71">
      <w:pPr>
        <w:ind w:left="720"/>
        <w:rPr>
          <w:rFonts w:ascii="Arial" w:hAnsi="Arial"/>
          <w:b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062"/>
      </w:tblGrid>
      <w:tr w:rsidR="00065A71" w:rsidRPr="00F15294" w:rsidTr="00FA34AF">
        <w:tc>
          <w:tcPr>
            <w:tcW w:w="3074" w:type="dxa"/>
            <w:shd w:val="clear" w:color="auto" w:fill="D9D9D9"/>
          </w:tcPr>
          <w:p w:rsidR="00065A71" w:rsidRPr="00F15294" w:rsidRDefault="00065A71" w:rsidP="00F15294">
            <w:pPr>
              <w:jc w:val="center"/>
              <w:rPr>
                <w:rFonts w:ascii="Arial" w:hAnsi="Arial"/>
                <w:b/>
                <w:sz w:val="22"/>
              </w:rPr>
            </w:pPr>
            <w:r w:rsidRPr="00F15294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062" w:type="dxa"/>
            <w:shd w:val="clear" w:color="auto" w:fill="D9D9D9"/>
          </w:tcPr>
          <w:p w:rsidR="00065A71" w:rsidRPr="00F15294" w:rsidRDefault="00065A71" w:rsidP="00F15294">
            <w:pPr>
              <w:jc w:val="center"/>
              <w:rPr>
                <w:rFonts w:ascii="Arial" w:hAnsi="Arial"/>
                <w:b/>
                <w:sz w:val="24"/>
              </w:rPr>
            </w:pPr>
            <w:r w:rsidRPr="00F15294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065A71" w:rsidRPr="00F15294" w:rsidTr="00FA34AF">
        <w:tc>
          <w:tcPr>
            <w:tcW w:w="3074" w:type="dxa"/>
            <w:shd w:val="clear" w:color="auto" w:fill="auto"/>
          </w:tcPr>
          <w:p w:rsidR="00065A71" w:rsidRPr="00F15294" w:rsidRDefault="00065A71" w:rsidP="00065A71">
            <w:pPr>
              <w:rPr>
                <w:rFonts w:ascii="Arial" w:hAnsi="Arial"/>
                <w:sz w:val="22"/>
              </w:rPr>
            </w:pPr>
            <w:r w:rsidRPr="00F15294">
              <w:rPr>
                <w:rFonts w:ascii="Arial" w:hAnsi="Arial"/>
                <w:sz w:val="22"/>
              </w:rPr>
              <w:t>September 1, 2014</w:t>
            </w:r>
          </w:p>
        </w:tc>
        <w:tc>
          <w:tcPr>
            <w:tcW w:w="5062" w:type="dxa"/>
            <w:shd w:val="clear" w:color="auto" w:fill="auto"/>
          </w:tcPr>
          <w:p w:rsidR="00065A71" w:rsidRPr="00F15294" w:rsidRDefault="00065A71" w:rsidP="00F15294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F15294">
              <w:rPr>
                <w:rFonts w:ascii="Arial" w:hAnsi="Arial"/>
                <w:sz w:val="22"/>
              </w:rPr>
              <w:t>Revised name of manual</w:t>
            </w:r>
          </w:p>
          <w:p w:rsidR="00065A71" w:rsidRPr="00F15294" w:rsidRDefault="00065A71" w:rsidP="00F15294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F15294">
              <w:rPr>
                <w:rFonts w:ascii="Arial" w:hAnsi="Arial"/>
                <w:sz w:val="22"/>
              </w:rPr>
              <w:t xml:space="preserve">Added “ice bath”  to section 4.0- </w:t>
            </w:r>
            <w:r w:rsidRPr="00F15294">
              <w:rPr>
                <w:rFonts w:ascii="Arial" w:hAnsi="Arial"/>
                <w:i/>
                <w:sz w:val="22"/>
              </w:rPr>
              <w:t>Supplies</w:t>
            </w:r>
          </w:p>
          <w:p w:rsidR="00065A71" w:rsidRPr="00F15294" w:rsidRDefault="00065A71" w:rsidP="00F15294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F15294">
              <w:rPr>
                <w:rFonts w:ascii="Arial" w:hAnsi="Arial"/>
                <w:sz w:val="22"/>
              </w:rPr>
              <w:t>Specified “at 3500 rpm for 10-15 seconds” in section 6.8</w:t>
            </w:r>
          </w:p>
          <w:p w:rsidR="00065A71" w:rsidRPr="00F15294" w:rsidRDefault="00065A71" w:rsidP="00F15294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F15294">
              <w:rPr>
                <w:rFonts w:ascii="Arial" w:hAnsi="Arial"/>
                <w:sz w:val="22"/>
              </w:rPr>
              <w:t>Added section 7.2</w:t>
            </w:r>
          </w:p>
          <w:p w:rsidR="00065A71" w:rsidRPr="00F15294" w:rsidRDefault="00065A71" w:rsidP="00F15294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F15294">
              <w:rPr>
                <w:rFonts w:ascii="Arial" w:hAnsi="Arial"/>
                <w:sz w:val="22"/>
              </w:rPr>
              <w:t>Revised and renumbered section 8.0</w:t>
            </w:r>
          </w:p>
          <w:p w:rsidR="00065A71" w:rsidRPr="00F15294" w:rsidRDefault="00C64E5C" w:rsidP="00C64E5C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Updated</w:t>
            </w:r>
            <w:r w:rsidR="00065A71" w:rsidRPr="00F15294">
              <w:rPr>
                <w:rFonts w:ascii="Arial" w:hAnsi="Arial"/>
                <w:sz w:val="22"/>
              </w:rPr>
              <w:t xml:space="preserve"> list of references to include most </w:t>
            </w:r>
            <w:r>
              <w:rPr>
                <w:rFonts w:ascii="Arial" w:hAnsi="Arial"/>
                <w:sz w:val="22"/>
              </w:rPr>
              <w:t>recent</w:t>
            </w:r>
            <w:r w:rsidR="00065A71" w:rsidRPr="00F15294">
              <w:rPr>
                <w:rFonts w:ascii="Arial" w:hAnsi="Arial"/>
                <w:sz w:val="22"/>
              </w:rPr>
              <w:t xml:space="preserve"> editions</w:t>
            </w:r>
          </w:p>
        </w:tc>
      </w:tr>
    </w:tbl>
    <w:p w:rsidR="00065A71" w:rsidRPr="00065A71" w:rsidRDefault="00065A71" w:rsidP="00065A71">
      <w:pPr>
        <w:ind w:left="720"/>
        <w:rPr>
          <w:rFonts w:ascii="Arial" w:hAnsi="Arial"/>
          <w:b/>
          <w:sz w:val="24"/>
        </w:rPr>
      </w:pPr>
    </w:p>
    <w:p w:rsidR="006B66B3" w:rsidRDefault="006B66B3">
      <w:pPr>
        <w:rPr>
          <w:rFonts w:ascii="Arial" w:hAnsi="Arial"/>
          <w:sz w:val="24"/>
        </w:rPr>
      </w:pPr>
    </w:p>
    <w:p w:rsidR="006B66B3" w:rsidRDefault="006B66B3">
      <w:pPr>
        <w:ind w:left="720"/>
        <w:rPr>
          <w:rFonts w:ascii="Arial" w:hAnsi="Arial"/>
          <w:sz w:val="24"/>
        </w:rPr>
      </w:pPr>
    </w:p>
    <w:p w:rsidR="006B66B3" w:rsidRDefault="006B66B3">
      <w:pPr>
        <w:pStyle w:val="Heading7"/>
      </w:pPr>
    </w:p>
    <w:sectPr w:rsidR="006B6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74" w:rsidRDefault="001A1F74">
      <w:r>
        <w:separator/>
      </w:r>
    </w:p>
  </w:endnote>
  <w:endnote w:type="continuationSeparator" w:id="0">
    <w:p w:rsidR="001A1F74" w:rsidRDefault="001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69" w:rsidRDefault="0086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6B66B3">
      <w:trPr>
        <w:trHeight w:val="720"/>
      </w:trPr>
      <w:tc>
        <w:tcPr>
          <w:tcW w:w="1368" w:type="dxa"/>
        </w:tcPr>
        <w:p w:rsidR="006B66B3" w:rsidRDefault="006B66B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B66B3" w:rsidRDefault="00D2355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6B66B3" w:rsidRDefault="006B66B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A4A5F" w:rsidRDefault="006A4A5F" w:rsidP="006A4A5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6B66B3" w:rsidRDefault="0086616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6B66B3" w:rsidRDefault="006B66B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B66B3" w:rsidRDefault="006B66B3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6B66B3" w:rsidRDefault="006B66B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B66B3" w:rsidRDefault="006B66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SP.006 </w:t>
          </w:r>
          <w:r>
            <w:rPr>
              <w:rFonts w:ascii="Arial" w:hAnsi="Arial"/>
              <w:sz w:val="18"/>
            </w:rPr>
            <w:br/>
          </w:r>
        </w:p>
        <w:p w:rsidR="006B66B3" w:rsidRDefault="006B66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2234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2234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B66B3" w:rsidRDefault="006B6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6B66B3">
      <w:trPr>
        <w:trHeight w:val="720"/>
      </w:trPr>
      <w:tc>
        <w:tcPr>
          <w:tcW w:w="1368" w:type="dxa"/>
        </w:tcPr>
        <w:p w:rsidR="006B66B3" w:rsidRDefault="006B66B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B66B3" w:rsidRDefault="00D2355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6B66B3" w:rsidRDefault="006B66B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A4A5F" w:rsidRDefault="006A4A5F" w:rsidP="006A4A5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6B66B3" w:rsidRDefault="0086616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6B66B3" w:rsidRDefault="006B66B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B66B3" w:rsidRDefault="006B66B3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6B66B3" w:rsidRDefault="006B66B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B66B3" w:rsidRDefault="006B66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SP.006 </w:t>
          </w:r>
          <w:r>
            <w:rPr>
              <w:rFonts w:ascii="Arial" w:hAnsi="Arial"/>
              <w:sz w:val="18"/>
            </w:rPr>
            <w:br/>
          </w:r>
        </w:p>
        <w:p w:rsidR="006B66B3" w:rsidRDefault="006B66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223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2223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B66B3" w:rsidRDefault="006B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74" w:rsidRDefault="001A1F74">
      <w:r>
        <w:separator/>
      </w:r>
    </w:p>
  </w:footnote>
  <w:footnote w:type="continuationSeparator" w:id="0">
    <w:p w:rsidR="001A1F74" w:rsidRDefault="001A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69" w:rsidRDefault="0086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B3" w:rsidRDefault="006B66B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Donath Landsteiner Test for PCH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B3" w:rsidRDefault="00D23550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169" w:rsidRDefault="00866169" w:rsidP="00866169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866169" w:rsidRDefault="00866169" w:rsidP="00866169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Transfusion Technical Resource Manual </w:t>
    </w:r>
  </w:p>
  <w:p w:rsidR="00866169" w:rsidRDefault="00866169" w:rsidP="00866169">
    <w:pPr>
      <w:pStyle w:val="Header"/>
      <w:jc w:val="center"/>
      <w:rPr>
        <w:rFonts w:ascii="Arial" w:hAnsi="Arial" w:cs="Arial"/>
        <w:b/>
        <w:bCs/>
        <w:sz w:val="22"/>
      </w:rPr>
    </w:pPr>
  </w:p>
  <w:p w:rsidR="006B66B3" w:rsidRDefault="006B66B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Donath Landsteiner Test for PCH</w:t>
    </w:r>
  </w:p>
  <w:p w:rsidR="006B66B3" w:rsidRDefault="006B66B3">
    <w:pPr>
      <w:pStyle w:val="Header"/>
      <w:jc w:val="center"/>
      <w:rPr>
        <w:rFonts w:ascii="Arial" w:hAnsi="Arial"/>
        <w:b/>
        <w:sz w:val="28"/>
      </w:rPr>
    </w:pPr>
  </w:p>
  <w:p w:rsidR="006B66B3" w:rsidRDefault="006B66B3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D2355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FBA4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6B66B3">
      <w:tc>
        <w:tcPr>
          <w:tcW w:w="4428" w:type="dxa"/>
        </w:tcPr>
        <w:p w:rsidR="006B66B3" w:rsidRDefault="006B66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6B66B3" w:rsidRDefault="006B66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SP.006</w:t>
          </w:r>
        </w:p>
      </w:tc>
    </w:tr>
    <w:tr w:rsidR="006B66B3">
      <w:tc>
        <w:tcPr>
          <w:tcW w:w="4428" w:type="dxa"/>
        </w:tcPr>
        <w:p w:rsidR="006B66B3" w:rsidRDefault="006B66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6B66B3" w:rsidRDefault="006B66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6B66B3">
      <w:tc>
        <w:tcPr>
          <w:tcW w:w="4428" w:type="dxa"/>
        </w:tcPr>
        <w:p w:rsidR="006B66B3" w:rsidRDefault="006B66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6A4A5F">
            <w:rPr>
              <w:rFonts w:ascii="Arial" w:hAnsi="Arial" w:cs="Arial"/>
            </w:rPr>
            <w:t xml:space="preserve">  2009/</w:t>
          </w:r>
          <w:r w:rsidR="001D2864">
            <w:rPr>
              <w:rFonts w:ascii="Arial" w:hAnsi="Arial" w:cs="Arial"/>
            </w:rPr>
            <w:t>12/31</w:t>
          </w:r>
          <w:r w:rsidR="00E87D92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6B66B3" w:rsidRDefault="006B66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E2223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E2223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6B66B3" w:rsidRDefault="00D23550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3471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6B66B3">
      <w:rPr>
        <w:rFonts w:ascii="Arial" w:hAnsi="Arial" w:cs="Arial"/>
      </w:rPr>
      <w:tab/>
    </w:r>
    <w:r w:rsidR="006B66B3">
      <w:rPr>
        <w:rFonts w:ascii="Arial" w:hAnsi="Arial" w:cs="Arial"/>
      </w:rPr>
      <w:tab/>
    </w:r>
  </w:p>
  <w:p w:rsidR="006B66B3" w:rsidRDefault="006B6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145"/>
    <w:multiLevelType w:val="multilevel"/>
    <w:tmpl w:val="DDA21A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35275E9"/>
    <w:multiLevelType w:val="multilevel"/>
    <w:tmpl w:val="E78C819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93B1A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4766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4A02BC5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DA232FC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3B7D0F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6BD15C5"/>
    <w:multiLevelType w:val="hybridMultilevel"/>
    <w:tmpl w:val="9F528DC8"/>
    <w:lvl w:ilvl="0" w:tplc="B53065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7262A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365197E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A8F6F1F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61E256F1"/>
    <w:multiLevelType w:val="multilevel"/>
    <w:tmpl w:val="77102B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C02E8D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9"/>
  </w:num>
  <w:num w:numId="6">
    <w:abstractNumId w:val="18"/>
  </w:num>
  <w:num w:numId="7">
    <w:abstractNumId w:val="16"/>
  </w:num>
  <w:num w:numId="8">
    <w:abstractNumId w:val="6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3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DA"/>
    <w:rsid w:val="00065A71"/>
    <w:rsid w:val="0011719A"/>
    <w:rsid w:val="001A1F74"/>
    <w:rsid w:val="001D2864"/>
    <w:rsid w:val="001F2494"/>
    <w:rsid w:val="002B3C4F"/>
    <w:rsid w:val="002D36DA"/>
    <w:rsid w:val="003F68FC"/>
    <w:rsid w:val="00653BD7"/>
    <w:rsid w:val="006A4A5F"/>
    <w:rsid w:val="006B66B3"/>
    <w:rsid w:val="006C2567"/>
    <w:rsid w:val="006E0219"/>
    <w:rsid w:val="00866169"/>
    <w:rsid w:val="008A2E0B"/>
    <w:rsid w:val="00C12593"/>
    <w:rsid w:val="00C64E5C"/>
    <w:rsid w:val="00CA5CBC"/>
    <w:rsid w:val="00D23550"/>
    <w:rsid w:val="00D239CF"/>
    <w:rsid w:val="00D45FBE"/>
    <w:rsid w:val="00D57E74"/>
    <w:rsid w:val="00D60421"/>
    <w:rsid w:val="00DD3E2C"/>
    <w:rsid w:val="00E22234"/>
    <w:rsid w:val="00E87D92"/>
    <w:rsid w:val="00EE6B6B"/>
    <w:rsid w:val="00F15294"/>
    <w:rsid w:val="00F86319"/>
    <w:rsid w:val="00FA34AF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E0722-A8F1-4A49-97EF-E30E25B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8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D9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D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CAD7-A268-4656-ABE8-BA83CE08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SP.006 - Donath Landsteiner</vt:lpstr>
    </vt:vector>
  </TitlesOfParts>
  <Company>The Ottawa Hospital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SP.006 - Donath Landsteiner</dc:title>
  <dc:subject/>
  <dc:creator>Transfusion Ontario Program Office</dc:creator>
  <cp:keywords/>
  <cp:lastModifiedBy>Nesrallah, Heather</cp:lastModifiedBy>
  <cp:revision>2</cp:revision>
  <cp:lastPrinted>2015-01-06T18:49:00Z</cp:lastPrinted>
  <dcterms:created xsi:type="dcterms:W3CDTF">2020-08-11T15:10:00Z</dcterms:created>
  <dcterms:modified xsi:type="dcterms:W3CDTF">2020-08-11T15:10:00Z</dcterms:modified>
</cp:coreProperties>
</file>