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FD" w:rsidRDefault="00EB56FD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EB56FD" w:rsidRDefault="00EB56FD">
      <w:pPr>
        <w:rPr>
          <w:rFonts w:ascii="Arial" w:hAnsi="Arial"/>
          <w:b/>
          <w:sz w:val="24"/>
        </w:rPr>
      </w:pPr>
    </w:p>
    <w:p w:rsidR="00EB56FD" w:rsidRDefault="00EB56FD">
      <w:pPr>
        <w:ind w:left="720"/>
        <w:rPr>
          <w:rFonts w:ascii="Arial" w:hAnsi="Arial"/>
          <w:color w:val="808080"/>
          <w:sz w:val="24"/>
        </w:rPr>
      </w:pPr>
      <w:r>
        <w:rPr>
          <w:rFonts w:ascii="Arial" w:hAnsi="Arial"/>
          <w:sz w:val="24"/>
        </w:rPr>
        <w:t>Determination of the titre of an antibody in a patient's blood sample is performed by straightforward serial dilutions of the plasma. Cold reactive autoantibodies</w:t>
      </w:r>
      <w:r w:rsidR="00892E8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if reactive at very high titres, may suggest a pathologic cold agglutinin disease.</w:t>
      </w:r>
    </w:p>
    <w:p w:rsidR="00EB56FD" w:rsidRDefault="00EB56FD">
      <w:pPr>
        <w:ind w:left="720"/>
        <w:rPr>
          <w:rFonts w:ascii="Arial" w:hAnsi="Arial"/>
          <w:color w:val="808080"/>
          <w:sz w:val="24"/>
        </w:rPr>
      </w:pPr>
    </w:p>
    <w:p w:rsidR="00EB56FD" w:rsidRDefault="00EB56F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Scope and Related Policies </w:t>
      </w:r>
    </w:p>
    <w:p w:rsidR="00EB56FD" w:rsidRDefault="00EB56FD">
      <w:pPr>
        <w:ind w:left="720"/>
        <w:rPr>
          <w:rFonts w:ascii="Arial" w:hAnsi="Arial"/>
          <w:sz w:val="24"/>
        </w:rPr>
      </w:pPr>
    </w:p>
    <w:p w:rsidR="00EB56FD" w:rsidRDefault="00EB56FD">
      <w:pPr>
        <w:numPr>
          <w:ilvl w:val="1"/>
          <w:numId w:val="2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tests will be set up using warm separated (37</w:t>
      </w:r>
      <w:r w:rsidR="007F5E5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C) plasma.</w:t>
      </w:r>
    </w:p>
    <w:p w:rsidR="00EB56FD" w:rsidRDefault="00EB56FD">
      <w:pPr>
        <w:ind w:left="720"/>
        <w:rPr>
          <w:rFonts w:ascii="Arial" w:hAnsi="Arial"/>
          <w:sz w:val="24"/>
        </w:rPr>
      </w:pPr>
    </w:p>
    <w:p w:rsidR="00EB56FD" w:rsidRDefault="00EB56FD">
      <w:pPr>
        <w:numPr>
          <w:ilvl w:val="1"/>
          <w:numId w:val="2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antibody test – cold autoagglutinins procedure must be positive to proceed with this procedure.</w:t>
      </w:r>
    </w:p>
    <w:p w:rsidR="00EB56FD" w:rsidRDefault="00EB56FD">
      <w:pPr>
        <w:rPr>
          <w:rFonts w:ascii="Arial" w:hAnsi="Arial"/>
          <w:b/>
          <w:sz w:val="24"/>
        </w:rPr>
      </w:pPr>
    </w:p>
    <w:p w:rsidR="00EB56FD" w:rsidRDefault="00EB56F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EB56FD" w:rsidRDefault="00EB56FD">
      <w:pPr>
        <w:rPr>
          <w:rFonts w:ascii="Arial" w:hAnsi="Arial"/>
          <w:sz w:val="24"/>
        </w:rPr>
      </w:pP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EDTA anticoagulated </w:t>
      </w:r>
      <w:r w:rsidR="00152A1F">
        <w:rPr>
          <w:rFonts w:ascii="Arial" w:hAnsi="Arial"/>
          <w:sz w:val="24"/>
        </w:rPr>
        <w:t>whole blood</w:t>
      </w:r>
      <w:r>
        <w:rPr>
          <w:rFonts w:ascii="Arial" w:hAnsi="Arial"/>
          <w:sz w:val="24"/>
        </w:rPr>
        <w:t xml:space="preserve"> preferably less than 72 hours old.</w:t>
      </w:r>
    </w:p>
    <w:p w:rsidR="00EB56FD" w:rsidRDefault="00EB56FD">
      <w:pPr>
        <w:ind w:left="720"/>
        <w:rPr>
          <w:rFonts w:ascii="Arial" w:hAnsi="Arial"/>
          <w:sz w:val="24"/>
        </w:rPr>
      </w:pPr>
    </w:p>
    <w:p w:rsidR="00EB56FD" w:rsidRDefault="00EB56F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EB56FD" w:rsidRDefault="00EB56FD">
      <w:pPr>
        <w:rPr>
          <w:rFonts w:ascii="Arial" w:hAnsi="Arial"/>
          <w:sz w:val="24"/>
        </w:rPr>
      </w:pP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EB56FD" w:rsidRDefault="00EB56FD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Microscope</w:t>
      </w:r>
    </w:p>
    <w:p w:rsidR="00EB56FD" w:rsidRDefault="00EB56FD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7F5E5A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 refrigerator</w:t>
      </w:r>
    </w:p>
    <w:p w:rsidR="00152A1F" w:rsidRDefault="00152A1F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37</w:t>
      </w:r>
      <w:r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 water</w:t>
      </w:r>
      <w:r w:rsidR="007709D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bath/heating block</w:t>
      </w: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7F5E5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Test tubes - 12 x 75 mm</w:t>
      </w: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B56FD" w:rsidRDefault="00EB56FD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F5E5A">
        <w:rPr>
          <w:rFonts w:ascii="Arial" w:hAnsi="Arial"/>
          <w:sz w:val="24"/>
        </w:rPr>
        <w:t>Normal s</w:t>
      </w:r>
      <w:r>
        <w:rPr>
          <w:rFonts w:ascii="Arial" w:hAnsi="Arial"/>
          <w:sz w:val="24"/>
        </w:rPr>
        <w:t>aline</w:t>
      </w:r>
    </w:p>
    <w:p w:rsidR="00EB56FD" w:rsidRDefault="00EB56FD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3% cell suspension of </w:t>
      </w:r>
      <w:r w:rsidR="00152A1F">
        <w:rPr>
          <w:rFonts w:ascii="Arial" w:hAnsi="Arial"/>
          <w:sz w:val="24"/>
        </w:rPr>
        <w:t xml:space="preserve">group </w:t>
      </w:r>
      <w:r>
        <w:rPr>
          <w:rFonts w:ascii="Arial" w:hAnsi="Arial"/>
          <w:sz w:val="24"/>
        </w:rPr>
        <w:t>O</w:t>
      </w:r>
      <w:r w:rsidR="00152A1F">
        <w:rPr>
          <w:rFonts w:ascii="Arial" w:hAnsi="Arial"/>
          <w:sz w:val="24"/>
        </w:rPr>
        <w:t xml:space="preserve"> Adult (</w:t>
      </w:r>
      <w:r>
        <w:rPr>
          <w:rFonts w:ascii="Arial" w:hAnsi="Arial"/>
          <w:sz w:val="24"/>
        </w:rPr>
        <w:t>I</w:t>
      </w:r>
      <w:r w:rsidR="00152A1F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Cells (P1 neg screening cell)</w:t>
      </w:r>
      <w:r w:rsidR="000A61E3">
        <w:rPr>
          <w:rFonts w:ascii="Arial" w:hAnsi="Arial"/>
          <w:sz w:val="24"/>
        </w:rPr>
        <w:t>. See Procedural Notes 8.5.</w:t>
      </w:r>
    </w:p>
    <w:p w:rsidR="00EB56FD" w:rsidRDefault="00EB56FD">
      <w:pPr>
        <w:ind w:left="2880"/>
        <w:rPr>
          <w:rFonts w:ascii="Arial" w:hAnsi="Arial"/>
          <w:color w:val="808080"/>
          <w:sz w:val="24"/>
        </w:rPr>
      </w:pPr>
    </w:p>
    <w:p w:rsidR="00EB56FD" w:rsidRDefault="00EB56F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Quality Control – N/A </w:t>
      </w:r>
    </w:p>
    <w:p w:rsidR="00EB56FD" w:rsidRDefault="00EB56FD">
      <w:pPr>
        <w:rPr>
          <w:rFonts w:ascii="Arial" w:hAnsi="Arial"/>
          <w:b/>
          <w:sz w:val="28"/>
        </w:rPr>
      </w:pPr>
    </w:p>
    <w:p w:rsidR="00EB56FD" w:rsidRDefault="00EB56F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EB56FD" w:rsidRDefault="00EB56FD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numPr>
                <w:ilvl w:val="1"/>
                <w:numId w:val="37"/>
              </w:numPr>
              <w:rPr>
                <w:rFonts w:ascii="Arial" w:hAnsi="Arial" w:cs="Arial"/>
                <w:sz w:val="24"/>
              </w:rPr>
            </w:pPr>
            <w:r w:rsidRPr="00D92D2E">
              <w:rPr>
                <w:rFonts w:ascii="Arial" w:hAnsi="Arial" w:cs="Arial"/>
                <w:sz w:val="24"/>
                <w:szCs w:val="24"/>
              </w:rPr>
              <w:t>Check the suitability of the specimen to ensure that the specimen label information matches the request form. See PA.002 - Determining Specimen Suitability.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numPr>
                <w:ilvl w:val="1"/>
                <w:numId w:val="37"/>
              </w:numPr>
              <w:rPr>
                <w:rFonts w:ascii="Arial" w:hAnsi="Arial" w:cs="Arial"/>
                <w:sz w:val="24"/>
              </w:rPr>
            </w:pPr>
            <w:r w:rsidRPr="00D92D2E">
              <w:rPr>
                <w:rFonts w:ascii="Arial" w:hAnsi="Arial"/>
                <w:sz w:val="24"/>
              </w:rPr>
              <w:t>Warm separate patient specimen by setting in 37</w:t>
            </w:r>
            <w:r w:rsidRPr="00D92D2E">
              <w:rPr>
                <w:rFonts w:ascii="Arial" w:hAnsi="Arial" w:cs="Arial"/>
                <w:sz w:val="24"/>
              </w:rPr>
              <w:t>°</w:t>
            </w:r>
            <w:r w:rsidRPr="00D92D2E">
              <w:rPr>
                <w:rFonts w:ascii="Arial" w:hAnsi="Arial"/>
                <w:sz w:val="24"/>
              </w:rPr>
              <w:t>C water bath/ heating block for a minimum of 15 minutes (with periodic mixing). Spin specimen approximately 2-5 minutes at 3000 rpm and place in 37</w:t>
            </w:r>
            <w:r w:rsidRPr="00D92D2E">
              <w:rPr>
                <w:rFonts w:ascii="Arial" w:hAnsi="Arial" w:cs="Arial"/>
                <w:sz w:val="24"/>
              </w:rPr>
              <w:t>°</w:t>
            </w:r>
            <w:r w:rsidRPr="00D92D2E">
              <w:rPr>
                <w:rFonts w:ascii="Arial" w:hAnsi="Arial"/>
                <w:sz w:val="24"/>
              </w:rPr>
              <w:t>C water bath immed</w:t>
            </w:r>
            <w:r w:rsidR="007709DD">
              <w:rPr>
                <w:rFonts w:ascii="Arial" w:hAnsi="Arial"/>
                <w:sz w:val="24"/>
              </w:rPr>
              <w:t>iately after spinning.</w:t>
            </w:r>
            <w:r w:rsidRPr="00D92D2E">
              <w:rPr>
                <w:rFonts w:ascii="Arial" w:hAnsi="Arial"/>
                <w:sz w:val="24"/>
              </w:rPr>
              <w:t xml:space="preserve"> With a pipette warmed to 37</w:t>
            </w:r>
            <w:r w:rsidRPr="00D92D2E">
              <w:rPr>
                <w:rFonts w:ascii="Arial" w:hAnsi="Arial" w:cs="Arial"/>
                <w:sz w:val="24"/>
              </w:rPr>
              <w:t>°</w:t>
            </w:r>
            <w:r w:rsidRPr="00D92D2E">
              <w:rPr>
                <w:rFonts w:ascii="Arial" w:hAnsi="Arial"/>
                <w:sz w:val="24"/>
              </w:rPr>
              <w:t>C remove plasma into a clean, labeled tube avoiding any cells. Re-spin plasma sample to clear.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numPr>
                <w:ilvl w:val="1"/>
                <w:numId w:val="37"/>
              </w:numPr>
              <w:rPr>
                <w:rFonts w:ascii="Arial" w:hAnsi="Arial" w:cs="Arial"/>
                <w:sz w:val="24"/>
              </w:rPr>
            </w:pP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>Prepare a ma</w:t>
            </w:r>
            <w:r w:rsidR="008262D8" w:rsidRPr="00D92D2E">
              <w:rPr>
                <w:rFonts w:ascii="Arial" w:hAnsi="Arial"/>
                <w:spacing w:val="-2"/>
                <w:sz w:val="24"/>
                <w:lang w:val="en-GB"/>
              </w:rPr>
              <w:t xml:space="preserve">ster titre of the test plasma. </w:t>
            </w: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>Label required number of 12 x 75 mm tubes numerically and with the first 3 letters of the patient's family name. See Procedural Notes 8.1.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pStyle w:val="BodyText2"/>
              <w:numPr>
                <w:ilvl w:val="1"/>
                <w:numId w:val="37"/>
              </w:numPr>
              <w:rPr>
                <w:rFonts w:cs="Arial"/>
              </w:rPr>
            </w:pPr>
            <w:r>
              <w:t>Dispense 0.5 mL of normal saline into each tube except # 1. See Procedural Notes 8.2.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numPr>
                <w:ilvl w:val="1"/>
                <w:numId w:val="37"/>
              </w:numPr>
              <w:rPr>
                <w:rFonts w:ascii="Arial" w:hAnsi="Arial" w:cs="Arial"/>
                <w:sz w:val="24"/>
              </w:rPr>
            </w:pP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>Dispense 0.5 mL of patient’s plasma into tubes #'s 1 and 2.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pStyle w:val="BodyText2"/>
              <w:numPr>
                <w:ilvl w:val="1"/>
                <w:numId w:val="37"/>
              </w:numPr>
              <w:rPr>
                <w:rFonts w:cs="Arial"/>
              </w:rPr>
            </w:pPr>
            <w:r>
              <w:t>Mix the contents of tube # 2 ten times avoiding air bubbles. Using a clean pipette tip transfer 0.5 mL to tube #3 See Procedural Notes 8.3.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numPr>
                <w:ilvl w:val="1"/>
                <w:numId w:val="37"/>
              </w:numPr>
              <w:rPr>
                <w:rFonts w:ascii="Arial" w:hAnsi="Arial" w:cs="Arial"/>
                <w:sz w:val="24"/>
              </w:rPr>
            </w:pP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>Repeat step 6.6 mixing the contents of tube #3 and transferring to tube #4 and continue until the last tube is reached.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pStyle w:val="BodyText2"/>
              <w:numPr>
                <w:ilvl w:val="1"/>
                <w:numId w:val="37"/>
              </w:numPr>
              <w:rPr>
                <w:rFonts w:cs="Arial"/>
              </w:rPr>
            </w:pPr>
            <w:r>
              <w:t>Label the required number of 10 x 75 mm tubes numerically and with the first three letters of the patient’s family name.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numPr>
                <w:ilvl w:val="1"/>
                <w:numId w:val="37"/>
              </w:numPr>
              <w:rPr>
                <w:rFonts w:ascii="Arial" w:hAnsi="Arial" w:cs="Arial"/>
                <w:sz w:val="24"/>
              </w:rPr>
            </w:pP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>Transfer 2 drops of each diluted plasma</w:t>
            </w:r>
            <w:r w:rsidR="008262D8" w:rsidRPr="00D92D2E">
              <w:rPr>
                <w:rFonts w:ascii="Arial" w:hAnsi="Arial"/>
                <w:spacing w:val="-2"/>
                <w:sz w:val="24"/>
                <w:lang w:val="en-GB"/>
              </w:rPr>
              <w:t xml:space="preserve"> into the</w:t>
            </w: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 xml:space="preserve"> appropriately </w:t>
            </w:r>
            <w:r w:rsidR="008262D8" w:rsidRPr="00D92D2E">
              <w:rPr>
                <w:rFonts w:ascii="Arial" w:hAnsi="Arial"/>
                <w:spacing w:val="-2"/>
                <w:sz w:val="24"/>
                <w:lang w:val="en-GB"/>
              </w:rPr>
              <w:t>labelled tubes</w:t>
            </w: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>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numPr>
                <w:ilvl w:val="1"/>
                <w:numId w:val="37"/>
              </w:numPr>
              <w:rPr>
                <w:rFonts w:ascii="Arial" w:hAnsi="Arial" w:cs="Arial"/>
                <w:sz w:val="24"/>
              </w:rPr>
            </w:pP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>Dispense one vertical drop of OI P1 negative cells to each tube.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numPr>
                <w:ilvl w:val="1"/>
                <w:numId w:val="37"/>
              </w:numPr>
              <w:rPr>
                <w:rFonts w:ascii="Arial" w:hAnsi="Arial" w:cs="Arial"/>
                <w:sz w:val="24"/>
              </w:rPr>
            </w:pP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 xml:space="preserve">Mix and incubate at </w:t>
            </w:r>
            <w:r w:rsidRPr="00D92D2E">
              <w:rPr>
                <w:rFonts w:ascii="Arial" w:hAnsi="Arial"/>
                <w:color w:val="000000"/>
                <w:sz w:val="24"/>
              </w:rPr>
              <w:t>4</w:t>
            </w:r>
            <w:r w:rsidRPr="00D92D2E">
              <w:rPr>
                <w:rFonts w:ascii="Arial" w:hAnsi="Arial" w:cs="Arial"/>
                <w:sz w:val="24"/>
              </w:rPr>
              <w:t>°</w:t>
            </w:r>
            <w:r w:rsidRPr="00D92D2E">
              <w:rPr>
                <w:rFonts w:ascii="Arial" w:hAnsi="Arial"/>
                <w:color w:val="000000"/>
                <w:sz w:val="24"/>
              </w:rPr>
              <w:t>C for 1-2 hours.</w:t>
            </w:r>
            <w:r w:rsidRPr="00D92D2E">
              <w:rPr>
                <w:rFonts w:ascii="Arial" w:hAnsi="Arial"/>
                <w:spacing w:val="-2"/>
                <w:sz w:val="24"/>
                <w:lang w:val="en-GB"/>
              </w:rPr>
              <w:t xml:space="preserve"> Centrifuge at 3400 rpm for 10-15 seconds.</w:t>
            </w:r>
          </w:p>
        </w:tc>
      </w:tr>
      <w:tr w:rsidR="00B67559" w:rsidRPr="00D92D2E" w:rsidTr="00D92D2E">
        <w:tc>
          <w:tcPr>
            <w:tcW w:w="8856" w:type="dxa"/>
            <w:shd w:val="clear" w:color="auto" w:fill="auto"/>
          </w:tcPr>
          <w:p w:rsidR="00B67559" w:rsidRPr="00D92D2E" w:rsidRDefault="00B67559" w:rsidP="00D92D2E">
            <w:pPr>
              <w:pStyle w:val="BodyText2"/>
              <w:numPr>
                <w:ilvl w:val="1"/>
                <w:numId w:val="37"/>
              </w:numPr>
              <w:rPr>
                <w:rFonts w:cs="Arial"/>
              </w:rPr>
            </w:pPr>
            <w:r>
              <w:t>Examine each tube for agglutination macroscopically and record results.</w:t>
            </w:r>
          </w:p>
        </w:tc>
      </w:tr>
    </w:tbl>
    <w:p w:rsidR="00B67559" w:rsidRDefault="00B67559">
      <w:pPr>
        <w:rPr>
          <w:rFonts w:ascii="Arial" w:hAnsi="Arial" w:cs="Arial"/>
          <w:sz w:val="24"/>
        </w:rPr>
      </w:pPr>
    </w:p>
    <w:p w:rsidR="00EB56FD" w:rsidRDefault="00EB56F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Reporting  </w:t>
      </w:r>
    </w:p>
    <w:p w:rsidR="00EB56FD" w:rsidRDefault="00EB56FD">
      <w:pPr>
        <w:rPr>
          <w:rFonts w:ascii="Arial" w:hAnsi="Arial"/>
          <w:b/>
          <w:sz w:val="24"/>
        </w:rPr>
      </w:pPr>
    </w:p>
    <w:p w:rsidR="008262D8" w:rsidRDefault="00EB56FD" w:rsidP="008262D8">
      <w:pPr>
        <w:numPr>
          <w:ilvl w:val="1"/>
          <w:numId w:val="8"/>
        </w:numPr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 xml:space="preserve">Report the temperature and the reciprocal of the highest </w:t>
      </w:r>
      <w:r w:rsidR="008262D8">
        <w:rPr>
          <w:rFonts w:ascii="Arial" w:hAnsi="Arial"/>
          <w:spacing w:val="-2"/>
          <w:sz w:val="24"/>
          <w:lang w:val="en-GB"/>
        </w:rPr>
        <w:t xml:space="preserve">dilution giving a </w:t>
      </w:r>
      <w:r w:rsidRPr="008262D8">
        <w:rPr>
          <w:rFonts w:ascii="Arial" w:hAnsi="Arial"/>
          <w:spacing w:val="-2"/>
          <w:sz w:val="24"/>
          <w:lang w:val="en-GB"/>
        </w:rPr>
        <w:t>grade 1 reaction</w:t>
      </w:r>
      <w:r w:rsidR="008262D8">
        <w:rPr>
          <w:rFonts w:ascii="Arial" w:hAnsi="Arial"/>
          <w:spacing w:val="-2"/>
          <w:sz w:val="24"/>
          <w:lang w:val="en-GB"/>
        </w:rPr>
        <w:t xml:space="preserve"> (</w:t>
      </w:r>
      <w:r w:rsidRPr="008262D8">
        <w:rPr>
          <w:rFonts w:ascii="Arial" w:hAnsi="Arial"/>
          <w:spacing w:val="-2"/>
          <w:sz w:val="24"/>
          <w:lang w:val="en-GB"/>
        </w:rPr>
        <w:t>e.g.</w:t>
      </w:r>
      <w:r w:rsidR="008262D8">
        <w:rPr>
          <w:rFonts w:ascii="Arial" w:hAnsi="Arial"/>
          <w:spacing w:val="-2"/>
          <w:sz w:val="24"/>
          <w:lang w:val="en-GB"/>
        </w:rPr>
        <w:t xml:space="preserve"> t</w:t>
      </w:r>
      <w:r w:rsidRPr="008262D8">
        <w:rPr>
          <w:rFonts w:ascii="Arial" w:hAnsi="Arial"/>
          <w:spacing w:val="-2"/>
          <w:sz w:val="24"/>
          <w:lang w:val="en-GB"/>
        </w:rPr>
        <w:t>itre 16 OI cells at 4</w:t>
      </w:r>
      <w:r w:rsidR="007F5E5A" w:rsidRPr="008262D8">
        <w:rPr>
          <w:rFonts w:ascii="Arial" w:hAnsi="Arial" w:cs="Arial"/>
          <w:sz w:val="24"/>
        </w:rPr>
        <w:t>°</w:t>
      </w:r>
      <w:r w:rsidRPr="008262D8">
        <w:rPr>
          <w:rFonts w:ascii="Arial" w:hAnsi="Arial"/>
          <w:spacing w:val="-2"/>
          <w:sz w:val="24"/>
          <w:lang w:val="en-GB"/>
        </w:rPr>
        <w:t>C</w:t>
      </w:r>
      <w:r w:rsidR="008262D8">
        <w:rPr>
          <w:rFonts w:ascii="Arial" w:hAnsi="Arial"/>
          <w:spacing w:val="-2"/>
          <w:sz w:val="24"/>
          <w:lang w:val="en-GB"/>
        </w:rPr>
        <w:t>).</w:t>
      </w:r>
    </w:p>
    <w:p w:rsidR="008262D8" w:rsidRDefault="008262D8" w:rsidP="008262D8">
      <w:pPr>
        <w:ind w:left="720"/>
        <w:rPr>
          <w:rFonts w:ascii="Arial" w:hAnsi="Arial"/>
          <w:spacing w:val="-2"/>
          <w:sz w:val="24"/>
          <w:lang w:val="en-GB"/>
        </w:rPr>
      </w:pPr>
    </w:p>
    <w:p w:rsidR="000A61E3" w:rsidRPr="008262D8" w:rsidRDefault="000A61E3" w:rsidP="008262D8">
      <w:pPr>
        <w:numPr>
          <w:ilvl w:val="1"/>
          <w:numId w:val="8"/>
        </w:numPr>
        <w:rPr>
          <w:rFonts w:ascii="Arial" w:hAnsi="Arial"/>
          <w:spacing w:val="-2"/>
          <w:sz w:val="24"/>
          <w:lang w:val="en-GB"/>
        </w:rPr>
      </w:pPr>
      <w:r w:rsidRPr="008262D8">
        <w:rPr>
          <w:rFonts w:ascii="Arial" w:hAnsi="Arial"/>
          <w:spacing w:val="-2"/>
          <w:sz w:val="24"/>
          <w:lang w:val="en-GB"/>
        </w:rPr>
        <w:t>See Procedural Notes 8.4 for clinical significance.</w:t>
      </w:r>
    </w:p>
    <w:p w:rsidR="00EB56FD" w:rsidRDefault="00EB56FD">
      <w:pPr>
        <w:ind w:left="1440"/>
        <w:rPr>
          <w:sz w:val="24"/>
        </w:rPr>
      </w:pPr>
      <w:r>
        <w:rPr>
          <w:rFonts w:ascii="Arial" w:hAnsi="Arial"/>
          <w:spacing w:val="-2"/>
          <w:sz w:val="24"/>
          <w:lang w:val="en-GB"/>
        </w:rPr>
        <w:t xml:space="preserve">        </w:t>
      </w:r>
    </w:p>
    <w:p w:rsidR="00EB56FD" w:rsidRDefault="00EB56F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EB56FD" w:rsidRDefault="00EB56FD">
      <w:pPr>
        <w:rPr>
          <w:rFonts w:ascii="Arial" w:hAnsi="Arial"/>
          <w:sz w:val="24"/>
        </w:rPr>
      </w:pPr>
    </w:p>
    <w:p w:rsidR="00152A1F" w:rsidRDefault="00152A1F">
      <w:pPr>
        <w:numPr>
          <w:ilvl w:val="1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Titres are often set up to a final titre of 4096. This would require 13 tubes (1:1, 1:2, 1:4, 1:8, 1:16, 1:32, 1:64, 1:128, 1:256, 1:512, 1:1024, 1:2048, 1:4096).</w:t>
      </w:r>
      <w:r w:rsidR="000A61E3">
        <w:rPr>
          <w:rFonts w:ascii="Arial" w:hAnsi="Arial"/>
          <w:sz w:val="24"/>
          <w:vertAlign w:val="superscript"/>
        </w:rPr>
        <w:t>9.1</w:t>
      </w:r>
    </w:p>
    <w:p w:rsidR="00152A1F" w:rsidRDefault="00152A1F" w:rsidP="00466341">
      <w:pPr>
        <w:ind w:left="1440"/>
        <w:rPr>
          <w:rFonts w:ascii="Arial" w:hAnsi="Arial"/>
          <w:sz w:val="24"/>
        </w:rPr>
      </w:pPr>
    </w:p>
    <w:p w:rsidR="00152A1F" w:rsidRDefault="00152A1F" w:rsidP="00152A1F">
      <w:pPr>
        <w:numPr>
          <w:ilvl w:val="1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use less than 0.5 mL volumes for diluting, inaccuracies can occur with smaller volume.</w:t>
      </w:r>
      <w:r w:rsidR="000A61E3">
        <w:rPr>
          <w:rFonts w:ascii="Arial" w:hAnsi="Arial"/>
          <w:sz w:val="24"/>
          <w:vertAlign w:val="superscript"/>
        </w:rPr>
        <w:t>9.1</w:t>
      </w:r>
    </w:p>
    <w:p w:rsidR="00152A1F" w:rsidRDefault="00152A1F" w:rsidP="00466341">
      <w:pPr>
        <w:ind w:left="1440"/>
        <w:rPr>
          <w:rFonts w:ascii="Arial" w:hAnsi="Arial"/>
          <w:sz w:val="24"/>
        </w:rPr>
      </w:pPr>
    </w:p>
    <w:p w:rsidR="00EB56FD" w:rsidRDefault="00EB56FD">
      <w:pPr>
        <w:numPr>
          <w:ilvl w:val="1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critical that separate pipette tips are used when tran</w:t>
      </w:r>
      <w:r w:rsidR="008262D8">
        <w:rPr>
          <w:rFonts w:ascii="Arial" w:hAnsi="Arial"/>
          <w:sz w:val="24"/>
        </w:rPr>
        <w:t>sferring the diluted plasma.</w:t>
      </w:r>
      <w:r>
        <w:rPr>
          <w:rFonts w:ascii="Arial" w:hAnsi="Arial"/>
          <w:sz w:val="24"/>
        </w:rPr>
        <w:t xml:space="preserve"> This will minimize carryover of antibody.</w:t>
      </w:r>
    </w:p>
    <w:p w:rsidR="000A61E3" w:rsidRDefault="000A61E3" w:rsidP="00466341">
      <w:pPr>
        <w:pStyle w:val="ListParagraph"/>
        <w:rPr>
          <w:rFonts w:ascii="Arial" w:hAnsi="Arial"/>
          <w:sz w:val="24"/>
        </w:rPr>
      </w:pPr>
    </w:p>
    <w:p w:rsidR="000A61E3" w:rsidRDefault="000A61E3">
      <w:pPr>
        <w:numPr>
          <w:ilvl w:val="1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If titre is &gt; 64, it is con</w:t>
      </w:r>
      <w:r w:rsidR="008262D8">
        <w:rPr>
          <w:rFonts w:ascii="Arial" w:hAnsi="Arial"/>
          <w:sz w:val="24"/>
        </w:rPr>
        <w:t>sidered clinically significant,</w:t>
      </w:r>
      <w:r>
        <w:rPr>
          <w:rFonts w:ascii="Arial" w:hAnsi="Arial"/>
          <w:sz w:val="24"/>
        </w:rPr>
        <w:t xml:space="preserve"> &gt; 1000 it is likely to cause hemolysis, &lt; 64 likely not clinically significant. </w:t>
      </w:r>
      <w:r>
        <w:rPr>
          <w:rFonts w:ascii="Arial" w:hAnsi="Arial"/>
          <w:sz w:val="24"/>
          <w:vertAlign w:val="superscript"/>
        </w:rPr>
        <w:t>9.1, 9.2</w:t>
      </w:r>
    </w:p>
    <w:p w:rsidR="000A61E3" w:rsidRDefault="000A61E3" w:rsidP="00466341">
      <w:pPr>
        <w:pStyle w:val="ListParagraph"/>
        <w:rPr>
          <w:rFonts w:ascii="Arial" w:hAnsi="Arial"/>
          <w:sz w:val="24"/>
        </w:rPr>
      </w:pPr>
    </w:p>
    <w:p w:rsidR="000A61E3" w:rsidRDefault="000A61E3">
      <w:pPr>
        <w:numPr>
          <w:ilvl w:val="1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autoantibody specificity is not anti-I, cells that have the relevant antigen should be selected (instead of or in addition to the OI cell) to perform the titration e.g. ant</w:t>
      </w:r>
      <w:r w:rsidR="00EF0F9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-i.</w:t>
      </w:r>
      <w:r>
        <w:rPr>
          <w:rFonts w:ascii="Arial" w:hAnsi="Arial"/>
          <w:sz w:val="24"/>
          <w:vertAlign w:val="superscript"/>
        </w:rPr>
        <w:t>9.2</w:t>
      </w:r>
    </w:p>
    <w:p w:rsidR="00EB56FD" w:rsidRDefault="00EB56FD">
      <w:pPr>
        <w:rPr>
          <w:rFonts w:ascii="Arial" w:hAnsi="Arial"/>
          <w:sz w:val="24"/>
        </w:rPr>
      </w:pPr>
    </w:p>
    <w:p w:rsidR="008262D8" w:rsidRDefault="00EB56FD" w:rsidP="008262D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8262D8" w:rsidRDefault="008262D8" w:rsidP="008262D8">
      <w:pPr>
        <w:ind w:left="720"/>
        <w:rPr>
          <w:rFonts w:ascii="Arial" w:hAnsi="Arial"/>
          <w:b/>
          <w:sz w:val="28"/>
        </w:rPr>
      </w:pPr>
    </w:p>
    <w:p w:rsidR="008262D8" w:rsidRDefault="008262D8" w:rsidP="008262D8">
      <w:pPr>
        <w:numPr>
          <w:ilvl w:val="1"/>
          <w:numId w:val="38"/>
        </w:numPr>
        <w:rPr>
          <w:rFonts w:ascii="Arial" w:hAnsi="Arial"/>
          <w:b/>
          <w:sz w:val="28"/>
        </w:rPr>
      </w:pPr>
      <w:r w:rsidRPr="008262D8">
        <w:rPr>
          <w:rFonts w:ascii="Arial" w:hAnsi="Arial"/>
          <w:sz w:val="24"/>
        </w:rPr>
        <w:t>Roback, JD. ed. AABB Technical Manual, 17th ed.  Bethesda, MD: American Association of Blood Banks, 2011: pg 923-924.</w:t>
      </w:r>
    </w:p>
    <w:p w:rsidR="008262D8" w:rsidRDefault="008262D8" w:rsidP="008262D8">
      <w:pPr>
        <w:ind w:left="720"/>
        <w:rPr>
          <w:rFonts w:ascii="Arial" w:hAnsi="Arial"/>
          <w:b/>
          <w:sz w:val="28"/>
        </w:rPr>
      </w:pPr>
    </w:p>
    <w:p w:rsidR="008262D8" w:rsidRPr="008262D8" w:rsidRDefault="008262D8" w:rsidP="008262D8">
      <w:pPr>
        <w:numPr>
          <w:ilvl w:val="1"/>
          <w:numId w:val="38"/>
        </w:numPr>
        <w:rPr>
          <w:rFonts w:ascii="Arial" w:hAnsi="Arial"/>
          <w:b/>
          <w:sz w:val="28"/>
        </w:rPr>
      </w:pPr>
      <w:r w:rsidRPr="008262D8">
        <w:rPr>
          <w:rFonts w:ascii="Arial" w:hAnsi="Arial"/>
          <w:sz w:val="24"/>
        </w:rPr>
        <w:t>Judd WJ ed. Judd’s Methods in Immunohematology 3</w:t>
      </w:r>
      <w:r w:rsidRPr="008262D8">
        <w:rPr>
          <w:rFonts w:ascii="Arial" w:hAnsi="Arial"/>
          <w:sz w:val="24"/>
          <w:vertAlign w:val="superscript"/>
        </w:rPr>
        <w:t>rd</w:t>
      </w:r>
      <w:r w:rsidRPr="008262D8">
        <w:rPr>
          <w:rFonts w:ascii="Arial" w:hAnsi="Arial"/>
          <w:sz w:val="24"/>
        </w:rPr>
        <w:t xml:space="preserve"> ed. Bethesda, MD; 2008:439.</w:t>
      </w:r>
    </w:p>
    <w:p w:rsidR="008262D8" w:rsidRDefault="008262D8" w:rsidP="008262D8">
      <w:pPr>
        <w:ind w:left="720"/>
        <w:rPr>
          <w:rFonts w:ascii="Arial" w:hAnsi="Arial"/>
          <w:b/>
          <w:sz w:val="28"/>
        </w:rPr>
      </w:pPr>
    </w:p>
    <w:p w:rsidR="008262D8" w:rsidRDefault="008262D8" w:rsidP="008262D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Revision History </w:t>
      </w:r>
    </w:p>
    <w:p w:rsidR="008262D8" w:rsidRDefault="008262D8" w:rsidP="008262D8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8262D8" w:rsidRPr="00D92D2E" w:rsidTr="00E30F98">
        <w:tc>
          <w:tcPr>
            <w:tcW w:w="3085" w:type="dxa"/>
            <w:shd w:val="clear" w:color="auto" w:fill="F2F2F2"/>
          </w:tcPr>
          <w:p w:rsidR="008262D8" w:rsidRPr="00D92D2E" w:rsidRDefault="008262D8" w:rsidP="00D92D2E">
            <w:pPr>
              <w:jc w:val="center"/>
              <w:rPr>
                <w:rFonts w:ascii="Arial" w:hAnsi="Arial"/>
                <w:b/>
                <w:sz w:val="24"/>
              </w:rPr>
            </w:pPr>
            <w:r w:rsidRPr="00D92D2E">
              <w:rPr>
                <w:rFonts w:ascii="Arial" w:hAnsi="Arial"/>
                <w:b/>
                <w:sz w:val="24"/>
              </w:rPr>
              <w:t>Revision Date</w:t>
            </w:r>
          </w:p>
        </w:tc>
        <w:tc>
          <w:tcPr>
            <w:tcW w:w="5771" w:type="dxa"/>
            <w:shd w:val="clear" w:color="auto" w:fill="F2F2F2"/>
          </w:tcPr>
          <w:p w:rsidR="008262D8" w:rsidRPr="00D92D2E" w:rsidRDefault="008262D8" w:rsidP="00D92D2E">
            <w:pPr>
              <w:jc w:val="center"/>
              <w:rPr>
                <w:rFonts w:ascii="Arial" w:hAnsi="Arial"/>
                <w:b/>
                <w:sz w:val="24"/>
              </w:rPr>
            </w:pPr>
            <w:r w:rsidRPr="00D92D2E">
              <w:rPr>
                <w:rFonts w:ascii="Arial" w:hAnsi="Arial"/>
                <w:b/>
                <w:sz w:val="24"/>
              </w:rPr>
              <w:t>Summary of Revision</w:t>
            </w:r>
          </w:p>
        </w:tc>
      </w:tr>
      <w:tr w:rsidR="008262D8" w:rsidRPr="00D92D2E" w:rsidTr="007709DD">
        <w:tc>
          <w:tcPr>
            <w:tcW w:w="3085" w:type="dxa"/>
            <w:shd w:val="clear" w:color="auto" w:fill="auto"/>
          </w:tcPr>
          <w:p w:rsidR="008262D8" w:rsidRPr="00D92D2E" w:rsidRDefault="008262D8" w:rsidP="008262D8">
            <w:pPr>
              <w:rPr>
                <w:rFonts w:ascii="Arial" w:hAnsi="Arial"/>
                <w:sz w:val="22"/>
              </w:rPr>
            </w:pPr>
            <w:r w:rsidRPr="00D92D2E">
              <w:rPr>
                <w:rFonts w:ascii="Arial" w:hAnsi="Arial"/>
                <w:sz w:val="22"/>
              </w:rPr>
              <w:t>September 1, 2014</w:t>
            </w:r>
          </w:p>
        </w:tc>
        <w:tc>
          <w:tcPr>
            <w:tcW w:w="5771" w:type="dxa"/>
            <w:shd w:val="clear" w:color="auto" w:fill="auto"/>
          </w:tcPr>
          <w:p w:rsidR="008262D8" w:rsidRPr="00D92D2E" w:rsidRDefault="008262D8" w:rsidP="007D7C59">
            <w:pPr>
              <w:numPr>
                <w:ilvl w:val="0"/>
                <w:numId w:val="39"/>
              </w:numPr>
              <w:ind w:left="335" w:hanging="335"/>
              <w:rPr>
                <w:rFonts w:ascii="Arial" w:hAnsi="Arial"/>
                <w:b/>
                <w:sz w:val="28"/>
              </w:rPr>
            </w:pPr>
            <w:r w:rsidRPr="00D92D2E">
              <w:rPr>
                <w:rFonts w:ascii="Arial" w:hAnsi="Arial"/>
                <w:sz w:val="22"/>
              </w:rPr>
              <w:t>Revised name of manual</w:t>
            </w:r>
          </w:p>
          <w:p w:rsidR="008262D8" w:rsidRPr="00D92D2E" w:rsidRDefault="008262D8" w:rsidP="007D7C59">
            <w:pPr>
              <w:numPr>
                <w:ilvl w:val="0"/>
                <w:numId w:val="39"/>
              </w:numPr>
              <w:ind w:left="335" w:hanging="335"/>
              <w:rPr>
                <w:rFonts w:ascii="Arial" w:hAnsi="Arial"/>
                <w:b/>
                <w:sz w:val="28"/>
              </w:rPr>
            </w:pPr>
            <w:r w:rsidRPr="00D92D2E">
              <w:rPr>
                <w:rFonts w:ascii="Arial" w:hAnsi="Arial"/>
                <w:sz w:val="22"/>
              </w:rPr>
              <w:t>Revised wording</w:t>
            </w:r>
            <w:r w:rsidR="00903DD6" w:rsidRPr="00D92D2E">
              <w:rPr>
                <w:rFonts w:ascii="Arial" w:hAnsi="Arial"/>
                <w:sz w:val="22"/>
              </w:rPr>
              <w:t xml:space="preserve"> in section 3.0 from “red cells” to “whole blood.”</w:t>
            </w:r>
          </w:p>
          <w:p w:rsidR="00903DD6" w:rsidRPr="00D92D2E" w:rsidRDefault="00903DD6" w:rsidP="007D7C59">
            <w:pPr>
              <w:numPr>
                <w:ilvl w:val="0"/>
                <w:numId w:val="39"/>
              </w:numPr>
              <w:ind w:left="335" w:hanging="335"/>
              <w:rPr>
                <w:rFonts w:ascii="Arial" w:hAnsi="Arial"/>
                <w:b/>
                <w:sz w:val="28"/>
              </w:rPr>
            </w:pPr>
            <w:r w:rsidRPr="00D92D2E">
              <w:rPr>
                <w:rFonts w:ascii="Arial" w:hAnsi="Arial"/>
                <w:sz w:val="22"/>
              </w:rPr>
              <w:t>Added “37</w:t>
            </w:r>
            <w:r w:rsidRPr="00D92D2E">
              <w:rPr>
                <w:rFonts w:ascii="Arial" w:hAnsi="Arial" w:cs="Arial"/>
                <w:sz w:val="22"/>
              </w:rPr>
              <w:t>º</w:t>
            </w:r>
            <w:r w:rsidRPr="00D92D2E">
              <w:rPr>
                <w:rFonts w:ascii="Arial" w:hAnsi="Arial"/>
                <w:sz w:val="22"/>
              </w:rPr>
              <w:t xml:space="preserve">C waterbath/heating block” to section 4.0 – </w:t>
            </w:r>
            <w:r w:rsidRPr="00D92D2E">
              <w:rPr>
                <w:rFonts w:ascii="Arial" w:hAnsi="Arial"/>
                <w:i/>
                <w:sz w:val="22"/>
              </w:rPr>
              <w:t>Equipment</w:t>
            </w:r>
          </w:p>
          <w:p w:rsidR="00903DD6" w:rsidRPr="00D92D2E" w:rsidRDefault="00903DD6" w:rsidP="007D7C59">
            <w:pPr>
              <w:numPr>
                <w:ilvl w:val="0"/>
                <w:numId w:val="39"/>
              </w:numPr>
              <w:ind w:left="335" w:hanging="335"/>
              <w:rPr>
                <w:rFonts w:ascii="Arial" w:hAnsi="Arial"/>
                <w:b/>
                <w:sz w:val="28"/>
              </w:rPr>
            </w:pPr>
            <w:r w:rsidRPr="00D92D2E">
              <w:rPr>
                <w:rFonts w:ascii="Arial" w:hAnsi="Arial"/>
                <w:sz w:val="22"/>
              </w:rPr>
              <w:t xml:space="preserve">Revised wording of section 6.0 </w:t>
            </w:r>
          </w:p>
          <w:p w:rsidR="00903DD6" w:rsidRPr="00D92D2E" w:rsidRDefault="00903DD6" w:rsidP="007D7C59">
            <w:pPr>
              <w:numPr>
                <w:ilvl w:val="0"/>
                <w:numId w:val="39"/>
              </w:numPr>
              <w:ind w:left="335" w:hanging="335"/>
              <w:rPr>
                <w:rFonts w:ascii="Arial" w:hAnsi="Arial"/>
                <w:b/>
                <w:sz w:val="28"/>
              </w:rPr>
            </w:pPr>
            <w:r w:rsidRPr="00D92D2E">
              <w:rPr>
                <w:rFonts w:ascii="Arial" w:hAnsi="Arial"/>
                <w:sz w:val="22"/>
              </w:rPr>
              <w:t>Added section 7.2</w:t>
            </w:r>
          </w:p>
          <w:p w:rsidR="00903DD6" w:rsidRPr="00D92D2E" w:rsidRDefault="00903DD6" w:rsidP="007D7C59">
            <w:pPr>
              <w:numPr>
                <w:ilvl w:val="0"/>
                <w:numId w:val="39"/>
              </w:numPr>
              <w:ind w:left="335" w:hanging="335"/>
              <w:rPr>
                <w:rFonts w:ascii="Arial" w:hAnsi="Arial"/>
                <w:b/>
                <w:sz w:val="28"/>
              </w:rPr>
            </w:pPr>
            <w:r w:rsidRPr="00D92D2E">
              <w:rPr>
                <w:rFonts w:ascii="Arial" w:hAnsi="Arial"/>
                <w:sz w:val="22"/>
              </w:rPr>
              <w:t>Revised and renumbered section 8.0</w:t>
            </w:r>
          </w:p>
          <w:p w:rsidR="00903DD6" w:rsidRPr="00D92D2E" w:rsidRDefault="004457A4" w:rsidP="007D7C59">
            <w:pPr>
              <w:numPr>
                <w:ilvl w:val="0"/>
                <w:numId w:val="39"/>
              </w:numPr>
              <w:ind w:left="335" w:hanging="33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>Updated</w:t>
            </w:r>
            <w:r w:rsidR="00903DD6" w:rsidRPr="00D92D2E">
              <w:rPr>
                <w:rFonts w:ascii="Arial" w:hAnsi="Arial"/>
                <w:sz w:val="22"/>
              </w:rPr>
              <w:t xml:space="preserve"> list of references to include most </w:t>
            </w:r>
            <w:r>
              <w:rPr>
                <w:rFonts w:ascii="Arial" w:hAnsi="Arial"/>
                <w:sz w:val="22"/>
              </w:rPr>
              <w:t xml:space="preserve">recent </w:t>
            </w:r>
            <w:r w:rsidR="00903DD6" w:rsidRPr="00D92D2E">
              <w:rPr>
                <w:rFonts w:ascii="Arial" w:hAnsi="Arial"/>
                <w:sz w:val="22"/>
              </w:rPr>
              <w:t xml:space="preserve">editions. </w:t>
            </w:r>
          </w:p>
        </w:tc>
      </w:tr>
    </w:tbl>
    <w:p w:rsidR="008262D8" w:rsidRDefault="008262D8" w:rsidP="008262D8">
      <w:pPr>
        <w:rPr>
          <w:rFonts w:ascii="Arial" w:hAnsi="Arial"/>
          <w:b/>
          <w:sz w:val="28"/>
        </w:rPr>
      </w:pPr>
    </w:p>
    <w:p w:rsidR="008262D8" w:rsidRPr="008262D8" w:rsidRDefault="008262D8" w:rsidP="008262D8">
      <w:pPr>
        <w:ind w:left="720"/>
        <w:rPr>
          <w:rFonts w:ascii="Arial" w:hAnsi="Arial"/>
          <w:b/>
          <w:sz w:val="28"/>
        </w:rPr>
      </w:pPr>
    </w:p>
    <w:p w:rsidR="00EB56FD" w:rsidRDefault="00EB56FD"/>
    <w:sectPr w:rsidR="00EB5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20" w:rsidRDefault="00650320">
      <w:r>
        <w:separator/>
      </w:r>
    </w:p>
  </w:endnote>
  <w:endnote w:type="continuationSeparator" w:id="0">
    <w:p w:rsidR="00650320" w:rsidRDefault="006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6E" w:rsidRDefault="00514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B56FD">
      <w:trPr>
        <w:trHeight w:val="720"/>
      </w:trPr>
      <w:tc>
        <w:tcPr>
          <w:tcW w:w="1368" w:type="dxa"/>
        </w:tcPr>
        <w:p w:rsidR="00EB56FD" w:rsidRDefault="00EB56FD">
          <w:pPr>
            <w:pStyle w:val="Footer"/>
            <w:jc w:val="center"/>
            <w:rPr>
              <w:sz w:val="8"/>
            </w:rPr>
          </w:pPr>
        </w:p>
        <w:p w:rsidR="00EB56FD" w:rsidRDefault="00632A23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B56FD" w:rsidRDefault="00EB56F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F5E5A" w:rsidRDefault="007F5E5A" w:rsidP="007F5E5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EB56FD" w:rsidRDefault="0051456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EB56FD" w:rsidRDefault="00EB56F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B56FD" w:rsidRDefault="00EB56FD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B56FD" w:rsidRDefault="00EB56F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B56FD" w:rsidRDefault="00EB56F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SP.004 </w:t>
          </w:r>
          <w:r>
            <w:rPr>
              <w:rFonts w:ascii="Arial" w:hAnsi="Arial"/>
              <w:sz w:val="18"/>
            </w:rPr>
            <w:br/>
          </w:r>
        </w:p>
        <w:p w:rsidR="00EB56FD" w:rsidRDefault="00EB56F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27787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27787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B56FD" w:rsidRDefault="00EB5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B56FD">
      <w:trPr>
        <w:trHeight w:val="720"/>
      </w:trPr>
      <w:tc>
        <w:tcPr>
          <w:tcW w:w="1368" w:type="dxa"/>
        </w:tcPr>
        <w:p w:rsidR="00EB56FD" w:rsidRDefault="00EB56F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B56FD" w:rsidRDefault="00632A23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B56FD" w:rsidRDefault="00EB56F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F5E5A" w:rsidRDefault="007F5E5A" w:rsidP="007F5E5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EB56FD" w:rsidRDefault="0051456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EB56FD" w:rsidRDefault="00EB56F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B56FD" w:rsidRDefault="00EB56FD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B56FD" w:rsidRDefault="00EB56F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B56FD" w:rsidRDefault="00EB56F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SP.004 </w:t>
          </w:r>
          <w:r>
            <w:rPr>
              <w:rFonts w:ascii="Arial" w:hAnsi="Arial"/>
              <w:sz w:val="18"/>
            </w:rPr>
            <w:br/>
          </w:r>
        </w:p>
        <w:p w:rsidR="00EB56FD" w:rsidRDefault="00EB56F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2778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2778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B56FD" w:rsidRDefault="00EB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20" w:rsidRDefault="00650320">
      <w:r>
        <w:separator/>
      </w:r>
    </w:p>
  </w:footnote>
  <w:footnote w:type="continuationSeparator" w:id="0">
    <w:p w:rsidR="00650320" w:rsidRDefault="0065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6E" w:rsidRDefault="00514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FD" w:rsidRDefault="00EB56F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Titrations – Cold Autoantibodies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FD" w:rsidRDefault="00632A23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56E" w:rsidRDefault="0051456E" w:rsidP="0051456E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51456E" w:rsidRDefault="0051456E" w:rsidP="0051456E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EB56FD" w:rsidRDefault="00EB56FD">
    <w:pPr>
      <w:pStyle w:val="Header"/>
      <w:jc w:val="center"/>
      <w:rPr>
        <w:rFonts w:ascii="Arial" w:hAnsi="Arial" w:cs="Arial"/>
        <w:b/>
        <w:bCs/>
        <w:sz w:val="22"/>
      </w:rPr>
    </w:pPr>
  </w:p>
  <w:p w:rsidR="00EB56FD" w:rsidRDefault="00EB56F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Titrations – Cold Autoantibodies</w:t>
    </w:r>
  </w:p>
  <w:p w:rsidR="00EB56FD" w:rsidRDefault="00EB56F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 </w:t>
    </w:r>
  </w:p>
  <w:p w:rsidR="00EB56FD" w:rsidRDefault="00EB56FD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632A2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E19F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EB56FD">
      <w:tc>
        <w:tcPr>
          <w:tcW w:w="4428" w:type="dxa"/>
        </w:tcPr>
        <w:p w:rsidR="00EB56FD" w:rsidRDefault="00EB56F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EB56FD" w:rsidRDefault="00EB56F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SP.004</w:t>
          </w:r>
        </w:p>
      </w:tc>
    </w:tr>
    <w:tr w:rsidR="00EB56FD">
      <w:tc>
        <w:tcPr>
          <w:tcW w:w="4428" w:type="dxa"/>
        </w:tcPr>
        <w:p w:rsidR="00EB56FD" w:rsidRDefault="00EB56F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EB56FD" w:rsidRDefault="00EB56F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EB56FD">
      <w:tc>
        <w:tcPr>
          <w:tcW w:w="4428" w:type="dxa"/>
        </w:tcPr>
        <w:p w:rsidR="00EB56FD" w:rsidRDefault="00EB56F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7F5E5A">
            <w:rPr>
              <w:rFonts w:ascii="Arial" w:hAnsi="Arial" w:cs="Arial"/>
            </w:rPr>
            <w:t xml:space="preserve">  2009/</w:t>
          </w:r>
          <w:r w:rsidR="00C33E8E">
            <w:rPr>
              <w:rFonts w:ascii="Arial" w:hAnsi="Arial" w:cs="Arial"/>
            </w:rPr>
            <w:t>12/31</w:t>
          </w:r>
          <w:r w:rsidR="00152A1F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EB56FD" w:rsidRDefault="00EB56F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F27787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F27787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EB56FD" w:rsidRDefault="00632A23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C7A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EB56FD">
      <w:rPr>
        <w:rFonts w:ascii="Arial" w:hAnsi="Arial" w:cs="Arial"/>
      </w:rPr>
      <w:tab/>
    </w:r>
    <w:r w:rsidR="00EB56FD">
      <w:rPr>
        <w:rFonts w:ascii="Arial" w:hAnsi="Arial" w:cs="Arial"/>
      </w:rPr>
      <w:tab/>
    </w:r>
  </w:p>
  <w:p w:rsidR="00EB56FD" w:rsidRDefault="00EB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5FD"/>
    <w:multiLevelType w:val="multilevel"/>
    <w:tmpl w:val="19401064"/>
    <w:lvl w:ilvl="0">
      <w:start w:val="6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9E229E8"/>
    <w:multiLevelType w:val="multilevel"/>
    <w:tmpl w:val="BE60F1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EB82A6D"/>
    <w:multiLevelType w:val="multilevel"/>
    <w:tmpl w:val="B0148E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4ED421F"/>
    <w:multiLevelType w:val="multilevel"/>
    <w:tmpl w:val="A4782FC6"/>
    <w:lvl w:ilvl="0">
      <w:start w:val="9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5A60394"/>
    <w:multiLevelType w:val="multilevel"/>
    <w:tmpl w:val="C9568F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AC0C1C"/>
    <w:multiLevelType w:val="multilevel"/>
    <w:tmpl w:val="7334088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BE940AA"/>
    <w:multiLevelType w:val="multilevel"/>
    <w:tmpl w:val="D40EC8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D846767"/>
    <w:multiLevelType w:val="singleLevel"/>
    <w:tmpl w:val="986273F8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3428299A"/>
    <w:multiLevelType w:val="multilevel"/>
    <w:tmpl w:val="80D4EE0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34567BF1"/>
    <w:multiLevelType w:val="multilevel"/>
    <w:tmpl w:val="1E5C22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6355FAF"/>
    <w:multiLevelType w:val="multilevel"/>
    <w:tmpl w:val="0FC4227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9C16E22"/>
    <w:multiLevelType w:val="multilevel"/>
    <w:tmpl w:val="F312A006"/>
    <w:lvl w:ilvl="0">
      <w:start w:val="6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9CF73DA"/>
    <w:multiLevelType w:val="hybridMultilevel"/>
    <w:tmpl w:val="F258DF84"/>
    <w:lvl w:ilvl="0" w:tplc="9ABA3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21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D50A85"/>
    <w:multiLevelType w:val="multilevel"/>
    <w:tmpl w:val="A2AACE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C2F6C71"/>
    <w:multiLevelType w:val="multilevel"/>
    <w:tmpl w:val="0FC4227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EF06ED"/>
    <w:multiLevelType w:val="multilevel"/>
    <w:tmpl w:val="7CC29CBE"/>
    <w:lvl w:ilvl="0">
      <w:start w:val="6"/>
      <w:numFmt w:val="decimal"/>
      <w:lvlText w:val="%1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4835B43"/>
    <w:multiLevelType w:val="multilevel"/>
    <w:tmpl w:val="A558BE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4993E35"/>
    <w:multiLevelType w:val="multilevel"/>
    <w:tmpl w:val="D40EC8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7D85424"/>
    <w:multiLevelType w:val="multilevel"/>
    <w:tmpl w:val="3BE07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132072"/>
    <w:multiLevelType w:val="multilevel"/>
    <w:tmpl w:val="E9E0CE3E"/>
    <w:lvl w:ilvl="0">
      <w:start w:val="6"/>
      <w:numFmt w:val="decimal"/>
      <w:lvlText w:val="%1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C277BB3"/>
    <w:multiLevelType w:val="multilevel"/>
    <w:tmpl w:val="F312A006"/>
    <w:lvl w:ilvl="0">
      <w:start w:val="6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E680C92"/>
    <w:multiLevelType w:val="multilevel"/>
    <w:tmpl w:val="D9B0E2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63A44584"/>
    <w:multiLevelType w:val="multilevel"/>
    <w:tmpl w:val="122207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3CA0C09"/>
    <w:multiLevelType w:val="multilevel"/>
    <w:tmpl w:val="D40EC8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C401E08"/>
    <w:multiLevelType w:val="multilevel"/>
    <w:tmpl w:val="F312A006"/>
    <w:lvl w:ilvl="0">
      <w:start w:val="6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E964C7C"/>
    <w:multiLevelType w:val="multilevel"/>
    <w:tmpl w:val="F312A006"/>
    <w:lvl w:ilvl="0">
      <w:start w:val="6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EB97866"/>
    <w:multiLevelType w:val="multilevel"/>
    <w:tmpl w:val="0FC4227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0890563"/>
    <w:multiLevelType w:val="hybridMultilevel"/>
    <w:tmpl w:val="C4F22C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1C69DC"/>
    <w:multiLevelType w:val="multilevel"/>
    <w:tmpl w:val="D40EC8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514496"/>
    <w:multiLevelType w:val="multilevel"/>
    <w:tmpl w:val="F04C59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7DF6A98"/>
    <w:multiLevelType w:val="multilevel"/>
    <w:tmpl w:val="571652E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87B54DC"/>
    <w:multiLevelType w:val="multilevel"/>
    <w:tmpl w:val="615A20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8"/>
  </w:num>
  <w:num w:numId="5">
    <w:abstractNumId w:val="35"/>
  </w:num>
  <w:num w:numId="6">
    <w:abstractNumId w:val="34"/>
  </w:num>
  <w:num w:numId="7">
    <w:abstractNumId w:val="32"/>
  </w:num>
  <w:num w:numId="8">
    <w:abstractNumId w:val="1"/>
  </w:num>
  <w:num w:numId="9">
    <w:abstractNumId w:val="15"/>
  </w:num>
  <w:num w:numId="10">
    <w:abstractNumId w:val="7"/>
  </w:num>
  <w:num w:numId="11">
    <w:abstractNumId w:val="33"/>
  </w:num>
  <w:num w:numId="12">
    <w:abstractNumId w:val="27"/>
  </w:num>
  <w:num w:numId="13">
    <w:abstractNumId w:val="20"/>
  </w:num>
  <w:num w:numId="14">
    <w:abstractNumId w:val="6"/>
  </w:num>
  <w:num w:numId="15">
    <w:abstractNumId w:val="0"/>
  </w:num>
  <w:num w:numId="16">
    <w:abstractNumId w:val="22"/>
  </w:num>
  <w:num w:numId="17">
    <w:abstractNumId w:val="13"/>
  </w:num>
  <w:num w:numId="18">
    <w:abstractNumId w:val="29"/>
  </w:num>
  <w:num w:numId="19">
    <w:abstractNumId w:val="28"/>
  </w:num>
  <w:num w:numId="20">
    <w:abstractNumId w:val="23"/>
  </w:num>
  <w:num w:numId="21">
    <w:abstractNumId w:val="26"/>
  </w:num>
  <w:num w:numId="22">
    <w:abstractNumId w:val="18"/>
  </w:num>
  <w:num w:numId="23">
    <w:abstractNumId w:val="3"/>
  </w:num>
  <w:num w:numId="24">
    <w:abstractNumId w:val="19"/>
  </w:num>
  <w:num w:numId="25">
    <w:abstractNumId w:val="9"/>
  </w:num>
  <w:num w:numId="26">
    <w:abstractNumId w:val="16"/>
  </w:num>
  <w:num w:numId="27">
    <w:abstractNumId w:val="2"/>
  </w:num>
  <w:num w:numId="28">
    <w:abstractNumId w:val="38"/>
  </w:num>
  <w:num w:numId="29">
    <w:abstractNumId w:val="36"/>
  </w:num>
  <w:num w:numId="30">
    <w:abstractNumId w:val="4"/>
  </w:num>
  <w:num w:numId="31">
    <w:abstractNumId w:val="12"/>
  </w:num>
  <w:num w:numId="32">
    <w:abstractNumId w:val="17"/>
  </w:num>
  <w:num w:numId="33">
    <w:abstractNumId w:val="30"/>
  </w:num>
  <w:num w:numId="34">
    <w:abstractNumId w:val="5"/>
  </w:num>
  <w:num w:numId="35">
    <w:abstractNumId w:val="31"/>
  </w:num>
  <w:num w:numId="36">
    <w:abstractNumId w:val="24"/>
  </w:num>
  <w:num w:numId="37">
    <w:abstractNumId w:val="21"/>
  </w:num>
  <w:num w:numId="38">
    <w:abstractNumId w:val="3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82"/>
    <w:rsid w:val="00030436"/>
    <w:rsid w:val="000460EF"/>
    <w:rsid w:val="000A61E3"/>
    <w:rsid w:val="00152A1F"/>
    <w:rsid w:val="00185B1A"/>
    <w:rsid w:val="002305FA"/>
    <w:rsid w:val="003C08BA"/>
    <w:rsid w:val="003F297A"/>
    <w:rsid w:val="00426BBE"/>
    <w:rsid w:val="004457A4"/>
    <w:rsid w:val="00466341"/>
    <w:rsid w:val="0051456E"/>
    <w:rsid w:val="00632A23"/>
    <w:rsid w:val="00650320"/>
    <w:rsid w:val="006606A1"/>
    <w:rsid w:val="006F2AAC"/>
    <w:rsid w:val="00725CE8"/>
    <w:rsid w:val="007709DD"/>
    <w:rsid w:val="007B6B26"/>
    <w:rsid w:val="007C6AA4"/>
    <w:rsid w:val="007D7C59"/>
    <w:rsid w:val="007F5E5A"/>
    <w:rsid w:val="008262D8"/>
    <w:rsid w:val="00892E82"/>
    <w:rsid w:val="00903DD6"/>
    <w:rsid w:val="00A2435B"/>
    <w:rsid w:val="00AF5124"/>
    <w:rsid w:val="00B10B7E"/>
    <w:rsid w:val="00B11318"/>
    <w:rsid w:val="00B67559"/>
    <w:rsid w:val="00BE28EA"/>
    <w:rsid w:val="00C33E8E"/>
    <w:rsid w:val="00C72E15"/>
    <w:rsid w:val="00CA3FED"/>
    <w:rsid w:val="00D53C3E"/>
    <w:rsid w:val="00D64C76"/>
    <w:rsid w:val="00D92D2E"/>
    <w:rsid w:val="00E30F98"/>
    <w:rsid w:val="00E625FF"/>
    <w:rsid w:val="00EB56FD"/>
    <w:rsid w:val="00ED71C7"/>
    <w:rsid w:val="00EF0F94"/>
    <w:rsid w:val="00EF1C7B"/>
    <w:rsid w:val="00F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30E43-0B49-4892-879F-BBE5760E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center" w:pos="689"/>
      </w:tabs>
      <w:suppressAutoHyphens/>
      <w:spacing w:before="90" w:after="54"/>
      <w:outlineLvl w:val="8"/>
    </w:pPr>
    <w:rPr>
      <w:rFonts w:ascii="Arial" w:hAnsi="Arial"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pacing w:val="-2"/>
      <w:sz w:val="24"/>
      <w:lang w:val="en-GB"/>
    </w:rPr>
  </w:style>
  <w:style w:type="paragraph" w:styleId="BodyTextIndent">
    <w:name w:val="Body Text Indent"/>
    <w:basedOn w:val="Normal"/>
    <w:pPr>
      <w:numPr>
        <w:ilvl w:val="1"/>
      </w:numPr>
      <w:tabs>
        <w:tab w:val="num" w:pos="1080"/>
      </w:tabs>
      <w:ind w:left="1440" w:hanging="36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6F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1E3"/>
    <w:pPr>
      <w:ind w:left="720"/>
    </w:pPr>
  </w:style>
  <w:style w:type="table" w:styleId="TableGrid">
    <w:name w:val="Table Grid"/>
    <w:basedOn w:val="TableNormal"/>
    <w:rsid w:val="00B6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2618-A026-40F2-B8BA-797A9F25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SP.004 - Titrations - Cold Autoantibodies</vt:lpstr>
    </vt:vector>
  </TitlesOfParts>
  <Company>The Ottawa Hospital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SP.004 - Titrations - Cold Autoantibodies</dc:title>
  <dc:subject/>
  <dc:creator>Transfusion Ontario Program Office</dc:creator>
  <cp:keywords/>
  <cp:lastModifiedBy>Nesrallah, Heather</cp:lastModifiedBy>
  <cp:revision>2</cp:revision>
  <cp:lastPrinted>2015-01-06T18:49:00Z</cp:lastPrinted>
  <dcterms:created xsi:type="dcterms:W3CDTF">2020-08-11T15:08:00Z</dcterms:created>
  <dcterms:modified xsi:type="dcterms:W3CDTF">2020-08-11T15:08:00Z</dcterms:modified>
</cp:coreProperties>
</file>