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C4" w:rsidRDefault="00B225C4">
      <w:pPr>
        <w:numPr>
          <w:ilvl w:val="0"/>
          <w:numId w:val="1"/>
        </w:numPr>
        <w:rPr>
          <w:rFonts w:ascii="Arial" w:hAnsi="Arial"/>
          <w:b/>
          <w:sz w:val="28"/>
        </w:rPr>
      </w:pPr>
      <w:bookmarkStart w:id="0" w:name="_GoBack"/>
      <w:bookmarkEnd w:id="0"/>
      <w:r>
        <w:rPr>
          <w:rFonts w:ascii="Arial" w:hAnsi="Arial"/>
          <w:b/>
          <w:sz w:val="28"/>
        </w:rPr>
        <w:t>Principle</w:t>
      </w:r>
    </w:p>
    <w:p w:rsidR="00B225C4" w:rsidRDefault="00B225C4">
      <w:pPr>
        <w:rPr>
          <w:rFonts w:ascii="Arial" w:hAnsi="Arial"/>
          <w:sz w:val="24"/>
        </w:rPr>
      </w:pPr>
    </w:p>
    <w:p w:rsidR="00B225C4" w:rsidRDefault="00B225C4">
      <w:pPr>
        <w:ind w:left="720"/>
        <w:rPr>
          <w:rFonts w:ascii="Arial" w:hAnsi="Arial"/>
          <w:sz w:val="24"/>
        </w:rPr>
      </w:pPr>
      <w:r>
        <w:rPr>
          <w:rFonts w:ascii="Arial" w:hAnsi="Arial"/>
          <w:sz w:val="24"/>
        </w:rPr>
        <w:t xml:space="preserve">To confirm </w:t>
      </w:r>
      <w:r w:rsidR="007417B5">
        <w:rPr>
          <w:rFonts w:ascii="Arial" w:hAnsi="Arial"/>
          <w:sz w:val="24"/>
        </w:rPr>
        <w:t>the</w:t>
      </w:r>
      <w:r w:rsidR="00D37944">
        <w:rPr>
          <w:rFonts w:ascii="Arial" w:hAnsi="Arial"/>
          <w:sz w:val="24"/>
        </w:rPr>
        <w:t xml:space="preserve"> presence of passively acquired</w:t>
      </w:r>
      <w:r>
        <w:rPr>
          <w:rFonts w:ascii="Arial" w:hAnsi="Arial"/>
          <w:sz w:val="24"/>
        </w:rPr>
        <w:t xml:space="preserve"> clinically significant immune anti -A and/or -B antibodies.</w:t>
      </w:r>
    </w:p>
    <w:p w:rsidR="00B225C4" w:rsidRDefault="00B225C4">
      <w:pPr>
        <w:ind w:left="720"/>
        <w:rPr>
          <w:rFonts w:ascii="Arial" w:hAnsi="Arial"/>
          <w:sz w:val="24"/>
        </w:rPr>
      </w:pPr>
    </w:p>
    <w:p w:rsidR="00B225C4" w:rsidRDefault="00B225C4">
      <w:pPr>
        <w:ind w:left="720"/>
        <w:rPr>
          <w:rFonts w:ascii="Arial" w:hAnsi="Arial"/>
          <w:sz w:val="24"/>
        </w:rPr>
      </w:pPr>
      <w:r>
        <w:rPr>
          <w:rFonts w:ascii="Arial" w:hAnsi="Arial"/>
          <w:sz w:val="24"/>
        </w:rPr>
        <w:t>The antibody scree</w:t>
      </w:r>
      <w:smartTag w:uri="urn:schemas-microsoft-com:office:smarttags" w:element="PersonName">
        <w:r>
          <w:rPr>
            <w:rFonts w:ascii="Arial" w:hAnsi="Arial"/>
            <w:sz w:val="24"/>
          </w:rPr>
          <w:t>n c</w:t>
        </w:r>
      </w:smartTag>
      <w:r>
        <w:rPr>
          <w:rFonts w:ascii="Arial" w:hAnsi="Arial"/>
          <w:sz w:val="24"/>
        </w:rPr>
        <w:t>onsists of testing the patient plasma against group A and B red cells.</w:t>
      </w:r>
    </w:p>
    <w:p w:rsidR="00B225C4" w:rsidRDefault="00B225C4">
      <w:pPr>
        <w:ind w:left="720"/>
        <w:rPr>
          <w:rFonts w:ascii="Arial" w:hAnsi="Arial"/>
          <w:sz w:val="24"/>
        </w:rPr>
      </w:pPr>
    </w:p>
    <w:p w:rsidR="00B225C4" w:rsidRDefault="00B225C4">
      <w:pPr>
        <w:ind w:left="720"/>
        <w:rPr>
          <w:rFonts w:ascii="Arial" w:hAnsi="Arial"/>
          <w:sz w:val="24"/>
        </w:rPr>
      </w:pPr>
      <w:r>
        <w:rPr>
          <w:rFonts w:ascii="Arial" w:hAnsi="Arial"/>
          <w:sz w:val="24"/>
        </w:rPr>
        <w:t>The immune antibodies may cause direct agglutination of red cells, hemolysis at 37</w:t>
      </w:r>
      <w:r w:rsidR="00A2056C">
        <w:rPr>
          <w:rFonts w:ascii="Arial" w:hAnsi="Arial" w:cs="Arial"/>
          <w:sz w:val="24"/>
        </w:rPr>
        <w:t>°</w:t>
      </w:r>
      <w:r w:rsidR="00A2056C">
        <w:rPr>
          <w:rFonts w:ascii="Arial" w:hAnsi="Arial"/>
          <w:sz w:val="24"/>
        </w:rPr>
        <w:t xml:space="preserve"> </w:t>
      </w:r>
      <w:r>
        <w:rPr>
          <w:rFonts w:ascii="Arial" w:hAnsi="Arial"/>
          <w:sz w:val="24"/>
        </w:rPr>
        <w:t>C or coat the red cells with globulin (i.e., IgG).  The selected cells are incubated with patient plasma at 37</w:t>
      </w:r>
      <w:r w:rsidR="00A2056C">
        <w:rPr>
          <w:rFonts w:ascii="Arial" w:hAnsi="Arial" w:cs="Arial"/>
          <w:sz w:val="24"/>
        </w:rPr>
        <w:t>°</w:t>
      </w:r>
      <w:r w:rsidR="00A2056C">
        <w:rPr>
          <w:rFonts w:ascii="Arial" w:hAnsi="Arial"/>
          <w:sz w:val="24"/>
        </w:rPr>
        <w:t xml:space="preserve"> </w:t>
      </w:r>
      <w:r>
        <w:rPr>
          <w:rFonts w:ascii="Arial" w:hAnsi="Arial"/>
          <w:sz w:val="24"/>
        </w:rPr>
        <w:t>C.  After incubation</w:t>
      </w:r>
      <w:r w:rsidRPr="0091178D">
        <w:rPr>
          <w:rFonts w:ascii="Arial" w:hAnsi="Arial"/>
          <w:sz w:val="24"/>
        </w:rPr>
        <w:t>, the cells are observed for direct agglutination and/or hemolysis,</w:t>
      </w:r>
      <w:r>
        <w:rPr>
          <w:rFonts w:ascii="Arial" w:hAnsi="Arial"/>
          <w:sz w:val="24"/>
        </w:rPr>
        <w:t xml:space="preserve"> washed to remove unbound globulin and tested with antihuman globulin (AHG).</w:t>
      </w:r>
    </w:p>
    <w:p w:rsidR="00B225C4" w:rsidRDefault="00B225C4">
      <w:pPr>
        <w:ind w:left="720"/>
        <w:rPr>
          <w:rFonts w:ascii="Arial" w:hAnsi="Arial"/>
          <w:sz w:val="24"/>
        </w:rPr>
      </w:pPr>
    </w:p>
    <w:p w:rsidR="00B225C4" w:rsidRDefault="00B225C4">
      <w:pPr>
        <w:ind w:left="720"/>
        <w:rPr>
          <w:rFonts w:ascii="Arial" w:hAnsi="Arial"/>
          <w:sz w:val="24"/>
        </w:rPr>
      </w:pPr>
      <w:r>
        <w:rPr>
          <w:rFonts w:ascii="Arial" w:hAnsi="Arial"/>
          <w:sz w:val="24"/>
        </w:rPr>
        <w:t>Direct agglutination, hemolysis or agglutination with AHG (indicating that the screening cells have bee</w:t>
      </w:r>
      <w:smartTag w:uri="urn:schemas-microsoft-com:office:smarttags" w:element="PersonName">
        <w:r>
          <w:rPr>
            <w:rFonts w:ascii="Arial" w:hAnsi="Arial"/>
            <w:sz w:val="24"/>
          </w:rPr>
          <w:t>n c</w:t>
        </w:r>
      </w:smartTag>
      <w:r>
        <w:rPr>
          <w:rFonts w:ascii="Arial" w:hAnsi="Arial"/>
          <w:sz w:val="24"/>
        </w:rPr>
        <w:t>oated with globulin) confirms the presence of Immune anti-A and/or -B.</w:t>
      </w:r>
    </w:p>
    <w:p w:rsidR="00B225C4" w:rsidRDefault="00B225C4">
      <w:pPr>
        <w:ind w:left="720"/>
        <w:rPr>
          <w:rFonts w:ascii="Arial" w:hAnsi="Arial"/>
          <w:sz w:val="24"/>
        </w:rPr>
      </w:pPr>
    </w:p>
    <w:p w:rsidR="00B225C4" w:rsidRDefault="00B225C4">
      <w:pPr>
        <w:numPr>
          <w:ilvl w:val="0"/>
          <w:numId w:val="1"/>
        </w:numPr>
        <w:rPr>
          <w:rFonts w:ascii="Arial" w:hAnsi="Arial"/>
          <w:b/>
          <w:sz w:val="28"/>
        </w:rPr>
      </w:pPr>
      <w:r>
        <w:rPr>
          <w:rFonts w:ascii="Arial" w:hAnsi="Arial"/>
          <w:b/>
          <w:sz w:val="28"/>
        </w:rPr>
        <w:t>Scope and Related Policies</w:t>
      </w:r>
    </w:p>
    <w:p w:rsidR="00B225C4" w:rsidRDefault="00B225C4">
      <w:pPr>
        <w:rPr>
          <w:rFonts w:ascii="Arial" w:hAnsi="Arial"/>
          <w:sz w:val="24"/>
        </w:rPr>
      </w:pPr>
    </w:p>
    <w:p w:rsidR="00B225C4" w:rsidRDefault="00B225C4">
      <w:pPr>
        <w:numPr>
          <w:ilvl w:val="1"/>
          <w:numId w:val="1"/>
        </w:numPr>
        <w:rPr>
          <w:rFonts w:ascii="Arial" w:hAnsi="Arial"/>
          <w:sz w:val="24"/>
        </w:rPr>
      </w:pPr>
      <w:r>
        <w:rPr>
          <w:rFonts w:ascii="Arial" w:hAnsi="Arial"/>
          <w:sz w:val="24"/>
        </w:rPr>
        <w:t>Antibody screen shall be done at 37</w:t>
      </w:r>
      <w:r w:rsidR="00A2056C">
        <w:rPr>
          <w:rFonts w:ascii="Arial" w:hAnsi="Arial" w:cs="Arial"/>
          <w:sz w:val="24"/>
        </w:rPr>
        <w:t>°</w:t>
      </w:r>
      <w:r w:rsidR="00A2056C">
        <w:rPr>
          <w:rFonts w:ascii="Arial" w:hAnsi="Arial"/>
          <w:sz w:val="24"/>
        </w:rPr>
        <w:t xml:space="preserve"> </w:t>
      </w:r>
      <w:r>
        <w:rPr>
          <w:rFonts w:ascii="Arial" w:hAnsi="Arial"/>
          <w:sz w:val="24"/>
        </w:rPr>
        <w:t xml:space="preserve">C and include an indirect </w:t>
      </w:r>
      <w:proofErr w:type="spellStart"/>
      <w:r>
        <w:rPr>
          <w:rFonts w:ascii="Arial" w:hAnsi="Arial"/>
          <w:sz w:val="24"/>
        </w:rPr>
        <w:t>antiglobulin</w:t>
      </w:r>
      <w:proofErr w:type="spellEnd"/>
      <w:r>
        <w:rPr>
          <w:rFonts w:ascii="Arial" w:hAnsi="Arial"/>
          <w:sz w:val="24"/>
        </w:rPr>
        <w:t xml:space="preserve"> procedure which has been shown to have good sensitivity.  Alternative test methods may be used provided there is appropriate documentation of sensitivity and the supplier’s instructions are followed.  The use of an </w:t>
      </w:r>
      <w:proofErr w:type="spellStart"/>
      <w:r>
        <w:rPr>
          <w:rFonts w:ascii="Arial" w:hAnsi="Arial"/>
          <w:sz w:val="24"/>
        </w:rPr>
        <w:t>antiglobulin</w:t>
      </w:r>
      <w:proofErr w:type="spellEnd"/>
      <w:r>
        <w:rPr>
          <w:rFonts w:ascii="Arial" w:hAnsi="Arial"/>
          <w:sz w:val="24"/>
        </w:rPr>
        <w:t xml:space="preserve"> reagent that contains only anti-IgG is acceptable when performing an antibody screen.</w:t>
      </w:r>
      <w:r>
        <w:rPr>
          <w:rFonts w:ascii="Arial" w:hAnsi="Arial"/>
          <w:sz w:val="24"/>
          <w:vertAlign w:val="superscript"/>
        </w:rPr>
        <w:t>9.1</w:t>
      </w:r>
      <w:r>
        <w:rPr>
          <w:rFonts w:ascii="Arial" w:hAnsi="Arial"/>
          <w:sz w:val="24"/>
        </w:rPr>
        <w:t xml:space="preserve"> </w:t>
      </w:r>
    </w:p>
    <w:p w:rsidR="00B225C4" w:rsidRDefault="00B225C4">
      <w:pPr>
        <w:ind w:left="720"/>
        <w:rPr>
          <w:rFonts w:ascii="Arial" w:hAnsi="Arial"/>
          <w:sz w:val="24"/>
        </w:rPr>
      </w:pPr>
    </w:p>
    <w:p w:rsidR="00B225C4" w:rsidRDefault="00B225C4">
      <w:pPr>
        <w:numPr>
          <w:ilvl w:val="2"/>
          <w:numId w:val="1"/>
        </w:numPr>
        <w:rPr>
          <w:rFonts w:ascii="Arial" w:hAnsi="Arial"/>
          <w:sz w:val="24"/>
        </w:rPr>
      </w:pPr>
      <w:r>
        <w:rPr>
          <w:rFonts w:ascii="Arial" w:hAnsi="Arial"/>
          <w:sz w:val="24"/>
        </w:rPr>
        <w:t xml:space="preserve">A control system using red cells sensitized with IgG shall be applied to each </w:t>
      </w:r>
      <w:proofErr w:type="spellStart"/>
      <w:r>
        <w:rPr>
          <w:rFonts w:ascii="Arial" w:hAnsi="Arial"/>
          <w:sz w:val="24"/>
        </w:rPr>
        <w:t>antiglobulin</w:t>
      </w:r>
      <w:proofErr w:type="spellEnd"/>
      <w:r>
        <w:rPr>
          <w:rFonts w:ascii="Arial" w:hAnsi="Arial"/>
          <w:sz w:val="24"/>
        </w:rPr>
        <w:t xml:space="preserve"> test interpreted as negative.</w:t>
      </w:r>
      <w:r w:rsidR="00A2056C">
        <w:rPr>
          <w:rFonts w:ascii="Arial" w:hAnsi="Arial"/>
          <w:sz w:val="24"/>
          <w:vertAlign w:val="superscript"/>
        </w:rPr>
        <w:t>9.1</w:t>
      </w:r>
    </w:p>
    <w:p w:rsidR="00B225C4" w:rsidRDefault="00B225C4">
      <w:pPr>
        <w:ind w:left="1440"/>
        <w:rPr>
          <w:rFonts w:ascii="Arial" w:hAnsi="Arial"/>
          <w:sz w:val="24"/>
        </w:rPr>
      </w:pPr>
    </w:p>
    <w:p w:rsidR="00B225C4" w:rsidRDefault="00B225C4">
      <w:pPr>
        <w:numPr>
          <w:ilvl w:val="1"/>
          <w:numId w:val="1"/>
        </w:numPr>
        <w:rPr>
          <w:rFonts w:ascii="Arial" w:hAnsi="Arial"/>
          <w:sz w:val="24"/>
        </w:rPr>
      </w:pPr>
      <w:r>
        <w:rPr>
          <w:rFonts w:ascii="Arial" w:hAnsi="Arial"/>
          <w:sz w:val="24"/>
        </w:rPr>
        <w:t>Reverse grouping (A and B) cells may be used, or known donor cells. Group O cells are included as a control.</w:t>
      </w:r>
    </w:p>
    <w:p w:rsidR="00B225C4" w:rsidRDefault="00B225C4">
      <w:pPr>
        <w:ind w:left="720"/>
        <w:rPr>
          <w:rFonts w:ascii="Arial" w:hAnsi="Arial"/>
          <w:sz w:val="24"/>
        </w:rPr>
      </w:pPr>
    </w:p>
    <w:p w:rsidR="00B225C4" w:rsidRDefault="00B225C4">
      <w:pPr>
        <w:numPr>
          <w:ilvl w:val="1"/>
          <w:numId w:val="1"/>
        </w:numPr>
        <w:rPr>
          <w:rFonts w:ascii="Arial" w:hAnsi="Arial"/>
          <w:sz w:val="24"/>
        </w:rPr>
      </w:pPr>
      <w:r>
        <w:rPr>
          <w:rFonts w:ascii="Arial" w:hAnsi="Arial"/>
          <w:sz w:val="24"/>
        </w:rPr>
        <w:lastRenderedPageBreak/>
        <w:t>Antibody screen for Immune anti-A and/or -B:</w:t>
      </w:r>
    </w:p>
    <w:p w:rsidR="00B225C4" w:rsidRDefault="00B225C4">
      <w:pPr>
        <w:rPr>
          <w:rFonts w:ascii="Arial" w:hAnsi="Arial"/>
          <w:sz w:val="24"/>
        </w:rPr>
      </w:pPr>
    </w:p>
    <w:p w:rsidR="00B225C4" w:rsidRDefault="00B225C4">
      <w:pPr>
        <w:numPr>
          <w:ilvl w:val="2"/>
          <w:numId w:val="1"/>
        </w:numPr>
        <w:rPr>
          <w:rFonts w:ascii="Arial" w:hAnsi="Arial"/>
          <w:sz w:val="24"/>
        </w:rPr>
      </w:pPr>
      <w:r>
        <w:rPr>
          <w:rFonts w:ascii="Arial" w:hAnsi="Arial"/>
          <w:sz w:val="24"/>
        </w:rPr>
        <w:t xml:space="preserve">A venous, capillary or cord blood specimen may be used for testing. </w:t>
      </w:r>
    </w:p>
    <w:p w:rsidR="00A2056C" w:rsidRDefault="00A2056C" w:rsidP="00A2056C">
      <w:pPr>
        <w:ind w:left="1440"/>
        <w:rPr>
          <w:rFonts w:ascii="Arial" w:hAnsi="Arial"/>
          <w:sz w:val="24"/>
        </w:rPr>
      </w:pPr>
    </w:p>
    <w:p w:rsidR="00A2056C" w:rsidRDefault="00A2056C">
      <w:pPr>
        <w:numPr>
          <w:ilvl w:val="2"/>
          <w:numId w:val="1"/>
        </w:numPr>
        <w:rPr>
          <w:rFonts w:ascii="Arial" w:hAnsi="Arial"/>
          <w:sz w:val="24"/>
        </w:rPr>
      </w:pPr>
      <w:r>
        <w:rPr>
          <w:rFonts w:ascii="Arial" w:hAnsi="Arial"/>
          <w:sz w:val="24"/>
        </w:rPr>
        <w:t>Test</w:t>
      </w:r>
      <w:r w:rsidR="007417B5">
        <w:rPr>
          <w:rFonts w:ascii="Arial" w:hAnsi="Arial"/>
          <w:sz w:val="24"/>
        </w:rPr>
        <w:t>s</w:t>
      </w:r>
      <w:r>
        <w:rPr>
          <w:rFonts w:ascii="Arial" w:hAnsi="Arial"/>
          <w:sz w:val="24"/>
        </w:rPr>
        <w:t xml:space="preserve"> for antibody </w:t>
      </w:r>
      <w:r w:rsidR="007417B5">
        <w:rPr>
          <w:rFonts w:ascii="Arial" w:hAnsi="Arial"/>
          <w:sz w:val="24"/>
        </w:rPr>
        <w:t xml:space="preserve">resulting from </w:t>
      </w:r>
      <w:r w:rsidR="00BC0CAF">
        <w:rPr>
          <w:rFonts w:ascii="Arial" w:hAnsi="Arial"/>
          <w:sz w:val="24"/>
        </w:rPr>
        <w:t>an ABO</w:t>
      </w:r>
      <w:r>
        <w:rPr>
          <w:rFonts w:ascii="Arial" w:hAnsi="Arial"/>
          <w:sz w:val="24"/>
        </w:rPr>
        <w:t xml:space="preserve"> discrepancy between mother and neonate.</w:t>
      </w:r>
    </w:p>
    <w:p w:rsidR="00A2056C" w:rsidRDefault="00A2056C" w:rsidP="00A2056C">
      <w:pPr>
        <w:ind w:left="1440"/>
        <w:rPr>
          <w:rFonts w:ascii="Arial" w:hAnsi="Arial"/>
          <w:sz w:val="24"/>
        </w:rPr>
      </w:pPr>
    </w:p>
    <w:p w:rsidR="00A2056C" w:rsidRDefault="00A2056C">
      <w:pPr>
        <w:numPr>
          <w:ilvl w:val="2"/>
          <w:numId w:val="1"/>
        </w:numPr>
        <w:rPr>
          <w:rFonts w:ascii="Arial" w:hAnsi="Arial"/>
          <w:sz w:val="24"/>
        </w:rPr>
      </w:pPr>
      <w:r>
        <w:rPr>
          <w:rFonts w:ascii="Arial" w:hAnsi="Arial"/>
          <w:sz w:val="24"/>
        </w:rPr>
        <w:t xml:space="preserve">If the neonate is receiving non-group O red cells, test for </w:t>
      </w:r>
      <w:r w:rsidR="007417B5">
        <w:rPr>
          <w:rFonts w:ascii="Arial" w:hAnsi="Arial"/>
          <w:sz w:val="24"/>
        </w:rPr>
        <w:t>passively acquired maternal a</w:t>
      </w:r>
      <w:r>
        <w:rPr>
          <w:rFonts w:ascii="Arial" w:hAnsi="Arial"/>
          <w:sz w:val="24"/>
        </w:rPr>
        <w:t xml:space="preserve">nti-A and/or anti-B must be performed by indirect </w:t>
      </w:r>
      <w:proofErr w:type="spellStart"/>
      <w:r>
        <w:rPr>
          <w:rFonts w:ascii="Arial" w:hAnsi="Arial"/>
          <w:sz w:val="24"/>
        </w:rPr>
        <w:t>antiglobulin</w:t>
      </w:r>
      <w:proofErr w:type="spellEnd"/>
      <w:r>
        <w:rPr>
          <w:rFonts w:ascii="Arial" w:hAnsi="Arial"/>
          <w:sz w:val="24"/>
        </w:rPr>
        <w:t xml:space="preserve"> test. </w:t>
      </w:r>
      <w:r w:rsidR="007417B5">
        <w:rPr>
          <w:rFonts w:ascii="Arial" w:hAnsi="Arial"/>
          <w:sz w:val="24"/>
        </w:rPr>
        <w:t>Red cells selected for transfusion shall lack the corresponding antigen.</w:t>
      </w:r>
      <w:r>
        <w:rPr>
          <w:rFonts w:ascii="Arial" w:hAnsi="Arial"/>
          <w:sz w:val="24"/>
        </w:rPr>
        <w:t xml:space="preserve"> </w:t>
      </w:r>
      <w:r w:rsidRPr="00A2056C">
        <w:rPr>
          <w:rFonts w:ascii="Arial" w:hAnsi="Arial"/>
          <w:sz w:val="24"/>
          <w:szCs w:val="24"/>
          <w:vertAlign w:val="superscript"/>
        </w:rPr>
        <w:t>9.1</w:t>
      </w:r>
    </w:p>
    <w:p w:rsidR="00B225C4" w:rsidRDefault="007417B5">
      <w:pPr>
        <w:ind w:left="1440"/>
        <w:rPr>
          <w:rFonts w:ascii="Arial" w:hAnsi="Arial"/>
          <w:sz w:val="24"/>
        </w:rPr>
      </w:pPr>
      <w:r>
        <w:rPr>
          <w:rFonts w:ascii="Arial" w:hAnsi="Arial"/>
          <w:sz w:val="24"/>
        </w:rPr>
        <w:t xml:space="preserve">2.3.4   Tests for the presence of passive anti-A and/or B acquired </w:t>
      </w:r>
      <w:r w:rsidR="00D37944">
        <w:rPr>
          <w:rFonts w:ascii="Arial" w:hAnsi="Arial"/>
          <w:sz w:val="24"/>
        </w:rPr>
        <w:br/>
        <w:t xml:space="preserve">           </w:t>
      </w:r>
      <w:r>
        <w:rPr>
          <w:rFonts w:ascii="Arial" w:hAnsi="Arial"/>
          <w:sz w:val="24"/>
        </w:rPr>
        <w:t xml:space="preserve">through recent transfusion of non-ABO identical red cells, </w:t>
      </w:r>
      <w:r w:rsidR="00D37944">
        <w:rPr>
          <w:rFonts w:ascii="Arial" w:hAnsi="Arial"/>
          <w:sz w:val="24"/>
        </w:rPr>
        <w:br/>
        <w:t xml:space="preserve">           </w:t>
      </w:r>
      <w:r>
        <w:rPr>
          <w:rFonts w:ascii="Arial" w:hAnsi="Arial"/>
          <w:sz w:val="24"/>
        </w:rPr>
        <w:t>platelets, plasma or Intravenous Immune Globulin (IVIG).</w:t>
      </w:r>
    </w:p>
    <w:p w:rsidR="00B225C4" w:rsidRDefault="00B225C4">
      <w:pPr>
        <w:numPr>
          <w:ilvl w:val="0"/>
          <w:numId w:val="1"/>
        </w:numPr>
        <w:rPr>
          <w:rFonts w:ascii="Arial" w:hAnsi="Arial"/>
          <w:b/>
          <w:sz w:val="28"/>
        </w:rPr>
      </w:pPr>
      <w:r>
        <w:rPr>
          <w:rFonts w:ascii="Arial" w:hAnsi="Arial"/>
          <w:b/>
          <w:sz w:val="28"/>
        </w:rPr>
        <w:t>Specimens</w:t>
      </w:r>
    </w:p>
    <w:p w:rsidR="00B225C4" w:rsidRDefault="00B225C4">
      <w:pPr>
        <w:ind w:left="720"/>
        <w:rPr>
          <w:rFonts w:ascii="Arial" w:hAnsi="Arial"/>
          <w:sz w:val="24"/>
        </w:rPr>
      </w:pPr>
    </w:p>
    <w:p w:rsidR="00B225C4" w:rsidRDefault="00B225C4">
      <w:pPr>
        <w:ind w:left="720"/>
        <w:rPr>
          <w:rFonts w:ascii="Arial" w:hAnsi="Arial"/>
          <w:sz w:val="24"/>
        </w:rPr>
      </w:pPr>
      <w:r>
        <w:rPr>
          <w:rFonts w:ascii="Arial" w:hAnsi="Arial"/>
          <w:sz w:val="24"/>
        </w:rPr>
        <w:t>EDTA anticoagulated whole blood</w:t>
      </w:r>
    </w:p>
    <w:p w:rsidR="00B225C4" w:rsidRDefault="00B225C4">
      <w:pPr>
        <w:ind w:left="720"/>
        <w:rPr>
          <w:rFonts w:ascii="Arial" w:hAnsi="Arial"/>
          <w:sz w:val="24"/>
        </w:rPr>
      </w:pPr>
      <w:r>
        <w:rPr>
          <w:rFonts w:ascii="Arial" w:hAnsi="Arial"/>
          <w:sz w:val="24"/>
        </w:rPr>
        <w:t>Cord Blood</w:t>
      </w:r>
    </w:p>
    <w:p w:rsidR="00B225C4" w:rsidRDefault="00B225C4">
      <w:pPr>
        <w:ind w:left="720"/>
        <w:rPr>
          <w:rFonts w:ascii="Arial" w:hAnsi="Arial"/>
          <w:sz w:val="24"/>
        </w:rPr>
      </w:pPr>
    </w:p>
    <w:p w:rsidR="00B225C4" w:rsidRDefault="00B225C4">
      <w:pPr>
        <w:numPr>
          <w:ilvl w:val="0"/>
          <w:numId w:val="1"/>
        </w:numPr>
        <w:rPr>
          <w:rFonts w:ascii="Arial" w:hAnsi="Arial"/>
          <w:b/>
          <w:sz w:val="28"/>
        </w:rPr>
      </w:pPr>
      <w:r>
        <w:rPr>
          <w:rFonts w:ascii="Arial" w:hAnsi="Arial"/>
          <w:b/>
          <w:sz w:val="28"/>
        </w:rPr>
        <w:t>Materials</w:t>
      </w:r>
    </w:p>
    <w:p w:rsidR="00B225C4" w:rsidRDefault="00B225C4">
      <w:pPr>
        <w:rPr>
          <w:rFonts w:ascii="Arial" w:hAnsi="Arial"/>
          <w:sz w:val="24"/>
        </w:rPr>
      </w:pPr>
    </w:p>
    <w:p w:rsidR="00B225C4" w:rsidRDefault="00B225C4">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Serological centrifuge</w:t>
      </w:r>
    </w:p>
    <w:p w:rsidR="00B225C4" w:rsidRDefault="00B225C4">
      <w:pPr>
        <w:ind w:left="720"/>
        <w:rPr>
          <w:rFonts w:ascii="Arial" w:hAnsi="Arial"/>
          <w:sz w:val="24"/>
        </w:rPr>
      </w:pPr>
      <w:r>
        <w:rPr>
          <w:rFonts w:ascii="Arial" w:hAnsi="Arial"/>
          <w:sz w:val="24"/>
        </w:rPr>
        <w:tab/>
      </w:r>
      <w:r>
        <w:rPr>
          <w:rFonts w:ascii="Arial" w:hAnsi="Arial"/>
          <w:sz w:val="24"/>
        </w:rPr>
        <w:tab/>
      </w:r>
      <w:r>
        <w:rPr>
          <w:rFonts w:ascii="Arial" w:hAnsi="Arial"/>
          <w:sz w:val="24"/>
        </w:rPr>
        <w:tab/>
        <w:t>Cell washer</w:t>
      </w:r>
    </w:p>
    <w:p w:rsidR="00B225C4" w:rsidRDefault="00B225C4">
      <w:pPr>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B225C4" w:rsidRDefault="00B225C4">
      <w:pPr>
        <w:ind w:left="720"/>
        <w:rPr>
          <w:rFonts w:ascii="Arial" w:hAnsi="Arial"/>
          <w:sz w:val="24"/>
        </w:rPr>
      </w:pPr>
      <w:r>
        <w:rPr>
          <w:rFonts w:ascii="Arial" w:hAnsi="Arial"/>
          <w:sz w:val="24"/>
        </w:rPr>
        <w:tab/>
      </w:r>
      <w:r>
        <w:rPr>
          <w:rFonts w:ascii="Arial" w:hAnsi="Arial"/>
          <w:sz w:val="24"/>
        </w:rPr>
        <w:tab/>
      </w:r>
      <w:r>
        <w:rPr>
          <w:rFonts w:ascii="Arial" w:hAnsi="Arial"/>
          <w:sz w:val="24"/>
        </w:rPr>
        <w:tab/>
        <w:t>Water bath/Heating block at 37</w:t>
      </w:r>
      <w:r w:rsidR="00A2056C">
        <w:rPr>
          <w:rFonts w:ascii="Arial" w:hAnsi="Arial" w:cs="Arial"/>
          <w:sz w:val="24"/>
        </w:rPr>
        <w:t>°</w:t>
      </w:r>
      <w:r w:rsidR="00A2056C">
        <w:rPr>
          <w:rFonts w:ascii="Arial" w:hAnsi="Arial"/>
          <w:sz w:val="24"/>
        </w:rPr>
        <w:t xml:space="preserve"> </w:t>
      </w:r>
      <w:r>
        <w:rPr>
          <w:rFonts w:ascii="Arial" w:hAnsi="Arial"/>
          <w:sz w:val="24"/>
        </w:rPr>
        <w:t>C</w:t>
      </w:r>
    </w:p>
    <w:p w:rsidR="00B225C4" w:rsidRDefault="00B225C4">
      <w:pPr>
        <w:ind w:left="720"/>
        <w:rPr>
          <w:rFonts w:ascii="Arial" w:hAnsi="Arial"/>
          <w:sz w:val="24"/>
        </w:rPr>
      </w:pPr>
      <w:r>
        <w:rPr>
          <w:rFonts w:ascii="Arial" w:hAnsi="Arial"/>
          <w:sz w:val="24"/>
        </w:rPr>
        <w:tab/>
      </w:r>
      <w:r>
        <w:rPr>
          <w:rFonts w:ascii="Arial" w:hAnsi="Arial"/>
          <w:sz w:val="24"/>
        </w:rPr>
        <w:tab/>
      </w:r>
      <w:r>
        <w:rPr>
          <w:rFonts w:ascii="Arial" w:hAnsi="Arial"/>
          <w:sz w:val="24"/>
        </w:rPr>
        <w:tab/>
        <w:t>Microscope</w:t>
      </w:r>
    </w:p>
    <w:p w:rsidR="00B225C4" w:rsidRDefault="00B225C4">
      <w:pPr>
        <w:ind w:left="720"/>
        <w:rPr>
          <w:rFonts w:ascii="Arial" w:hAnsi="Arial"/>
          <w:sz w:val="24"/>
        </w:rPr>
      </w:pPr>
    </w:p>
    <w:p w:rsidR="00B225C4" w:rsidRDefault="00B225C4">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w:t>
      </w:r>
      <w:r w:rsidR="00A2056C">
        <w:rPr>
          <w:rFonts w:ascii="Arial" w:hAnsi="Arial"/>
          <w:sz w:val="24"/>
        </w:rPr>
        <w:t xml:space="preserve"> </w:t>
      </w:r>
      <w:r>
        <w:rPr>
          <w:rFonts w:ascii="Arial" w:hAnsi="Arial"/>
          <w:sz w:val="24"/>
        </w:rPr>
        <w:t>mm</w:t>
      </w:r>
    </w:p>
    <w:p w:rsidR="00B225C4" w:rsidRDefault="00B225C4">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B225C4" w:rsidRDefault="00B225C4">
      <w:pPr>
        <w:ind w:left="720"/>
        <w:rPr>
          <w:rFonts w:ascii="Arial" w:hAnsi="Arial"/>
          <w:sz w:val="24"/>
        </w:rPr>
      </w:pPr>
    </w:p>
    <w:p w:rsidR="00B225C4" w:rsidRDefault="00B225C4">
      <w:pPr>
        <w:ind w:left="2880" w:hanging="2160"/>
        <w:rPr>
          <w:rFonts w:ascii="Arial" w:hAnsi="Arial"/>
          <w:sz w:val="24"/>
        </w:rPr>
      </w:pPr>
      <w:r>
        <w:rPr>
          <w:rFonts w:ascii="Arial" w:hAnsi="Arial"/>
          <w:b/>
          <w:sz w:val="24"/>
        </w:rPr>
        <w:t>Reagents:</w:t>
      </w:r>
      <w:r>
        <w:rPr>
          <w:rFonts w:ascii="Arial" w:hAnsi="Arial"/>
          <w:sz w:val="24"/>
        </w:rPr>
        <w:tab/>
        <w:t>Set of Reverse grouping cells or 3% saline suspensions from known group A and B donors</w:t>
      </w:r>
    </w:p>
    <w:p w:rsidR="00B225C4" w:rsidRDefault="00B225C4">
      <w:pPr>
        <w:ind w:left="5040" w:hanging="2160"/>
        <w:rPr>
          <w:rFonts w:ascii="Arial" w:hAnsi="Arial"/>
          <w:sz w:val="24"/>
        </w:rPr>
      </w:pPr>
      <w:r>
        <w:rPr>
          <w:rFonts w:ascii="Arial" w:hAnsi="Arial"/>
          <w:sz w:val="24"/>
        </w:rPr>
        <w:t>3% saline suspension known group O cells</w:t>
      </w:r>
    </w:p>
    <w:p w:rsidR="00B225C4" w:rsidRDefault="00B225C4">
      <w:pPr>
        <w:ind w:left="720"/>
        <w:rPr>
          <w:rFonts w:ascii="Arial" w:hAnsi="Arial"/>
          <w:sz w:val="24"/>
        </w:rPr>
      </w:pPr>
      <w:r>
        <w:rPr>
          <w:rFonts w:ascii="Arial" w:hAnsi="Arial"/>
          <w:sz w:val="24"/>
        </w:rPr>
        <w:tab/>
      </w:r>
      <w:r>
        <w:rPr>
          <w:rFonts w:ascii="Arial" w:hAnsi="Arial"/>
          <w:sz w:val="24"/>
        </w:rPr>
        <w:tab/>
      </w:r>
      <w:r>
        <w:rPr>
          <w:rFonts w:ascii="Arial" w:hAnsi="Arial"/>
          <w:sz w:val="24"/>
        </w:rPr>
        <w:tab/>
        <w:t>Anti-IgG</w:t>
      </w:r>
    </w:p>
    <w:p w:rsidR="00B225C4" w:rsidRDefault="00B225C4">
      <w:pPr>
        <w:ind w:left="720"/>
        <w:rPr>
          <w:rFonts w:ascii="Arial" w:hAnsi="Arial"/>
          <w:sz w:val="24"/>
        </w:rPr>
      </w:pPr>
      <w:r>
        <w:rPr>
          <w:rFonts w:ascii="Arial" w:hAnsi="Arial"/>
          <w:sz w:val="24"/>
        </w:rPr>
        <w:tab/>
      </w:r>
      <w:r>
        <w:rPr>
          <w:rFonts w:ascii="Arial" w:hAnsi="Arial"/>
          <w:sz w:val="24"/>
        </w:rPr>
        <w:tab/>
      </w:r>
      <w:r>
        <w:rPr>
          <w:rFonts w:ascii="Arial" w:hAnsi="Arial"/>
          <w:sz w:val="24"/>
        </w:rPr>
        <w:tab/>
        <w:t>IgG-coated control cells</w:t>
      </w:r>
    </w:p>
    <w:p w:rsidR="00B225C4" w:rsidRDefault="00B225C4">
      <w:pPr>
        <w:ind w:left="720"/>
        <w:rPr>
          <w:rFonts w:ascii="Arial" w:hAnsi="Arial"/>
          <w:sz w:val="24"/>
        </w:rPr>
      </w:pPr>
      <w:r>
        <w:rPr>
          <w:rFonts w:ascii="Arial" w:hAnsi="Arial"/>
          <w:sz w:val="24"/>
        </w:rPr>
        <w:tab/>
      </w:r>
      <w:r>
        <w:rPr>
          <w:rFonts w:ascii="Arial" w:hAnsi="Arial"/>
          <w:sz w:val="24"/>
        </w:rPr>
        <w:tab/>
      </w:r>
      <w:r>
        <w:rPr>
          <w:rFonts w:ascii="Arial" w:hAnsi="Arial"/>
          <w:sz w:val="24"/>
        </w:rPr>
        <w:tab/>
      </w:r>
      <w:r w:rsidR="001833C1">
        <w:rPr>
          <w:rFonts w:ascii="Arial" w:hAnsi="Arial"/>
          <w:sz w:val="24"/>
        </w:rPr>
        <w:t xml:space="preserve">Normal </w:t>
      </w:r>
      <w:r>
        <w:rPr>
          <w:rFonts w:ascii="Arial" w:hAnsi="Arial"/>
          <w:sz w:val="24"/>
        </w:rPr>
        <w:t>Saline</w:t>
      </w:r>
    </w:p>
    <w:p w:rsidR="00B225C4" w:rsidRDefault="00B225C4">
      <w:pPr>
        <w:ind w:left="720"/>
        <w:rPr>
          <w:rFonts w:ascii="Arial" w:hAnsi="Arial"/>
          <w:sz w:val="24"/>
        </w:rPr>
      </w:pPr>
    </w:p>
    <w:p w:rsidR="00B225C4" w:rsidRDefault="00B225C4">
      <w:pPr>
        <w:numPr>
          <w:ilvl w:val="0"/>
          <w:numId w:val="1"/>
        </w:numPr>
        <w:rPr>
          <w:rFonts w:ascii="Arial" w:hAnsi="Arial"/>
          <w:b/>
          <w:sz w:val="28"/>
        </w:rPr>
      </w:pPr>
      <w:r>
        <w:rPr>
          <w:rFonts w:ascii="Arial" w:hAnsi="Arial"/>
          <w:b/>
          <w:sz w:val="28"/>
        </w:rPr>
        <w:t>Quality Control</w:t>
      </w:r>
    </w:p>
    <w:p w:rsidR="00B225C4" w:rsidRDefault="00B225C4">
      <w:pPr>
        <w:rPr>
          <w:rFonts w:ascii="Arial" w:hAnsi="Arial"/>
          <w:sz w:val="24"/>
        </w:rPr>
      </w:pPr>
    </w:p>
    <w:p w:rsidR="00B225C4" w:rsidRDefault="00B225C4">
      <w:pPr>
        <w:ind w:left="720"/>
        <w:rPr>
          <w:rFonts w:ascii="Arial" w:hAnsi="Arial"/>
          <w:sz w:val="24"/>
        </w:rPr>
      </w:pPr>
      <w:r>
        <w:rPr>
          <w:rFonts w:ascii="Arial" w:hAnsi="Arial"/>
          <w:sz w:val="24"/>
        </w:rPr>
        <w:t>See QCA.001 – Quality Control of Reagent Red Cells and Antisera</w:t>
      </w:r>
    </w:p>
    <w:p w:rsidR="00B225C4" w:rsidRDefault="0091178D">
      <w:pPr>
        <w:numPr>
          <w:ilvl w:val="0"/>
          <w:numId w:val="1"/>
        </w:numPr>
        <w:rPr>
          <w:rFonts w:ascii="Arial" w:hAnsi="Arial"/>
          <w:b/>
          <w:sz w:val="28"/>
        </w:rPr>
      </w:pPr>
      <w:r>
        <w:rPr>
          <w:rFonts w:ascii="Arial" w:hAnsi="Arial"/>
          <w:b/>
          <w:sz w:val="28"/>
        </w:rPr>
        <w:br w:type="page"/>
      </w:r>
      <w:r w:rsidR="00B225C4">
        <w:rPr>
          <w:rFonts w:ascii="Arial" w:hAnsi="Arial"/>
          <w:b/>
          <w:sz w:val="28"/>
        </w:rPr>
        <w:lastRenderedPageBreak/>
        <w:t>Procedure</w:t>
      </w:r>
    </w:p>
    <w:p w:rsidR="00EC7782" w:rsidRDefault="00EC7782" w:rsidP="00EC7782">
      <w:pPr>
        <w:ind w:left="720"/>
        <w:rPr>
          <w:rFonts w:ascii="Arial" w:hAnsi="Arial"/>
          <w:b/>
          <w:sz w:val="28"/>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863"/>
      </w:tblGrid>
      <w:tr w:rsidR="00BC0CAF" w:rsidRPr="003B1DCD" w:rsidTr="003B1DCD">
        <w:tc>
          <w:tcPr>
            <w:tcW w:w="4068" w:type="dxa"/>
            <w:shd w:val="clear" w:color="auto" w:fill="D9D9D9"/>
          </w:tcPr>
          <w:p w:rsidR="00BC0CAF" w:rsidRPr="003B1DCD" w:rsidRDefault="00BC0CAF" w:rsidP="003B1DCD">
            <w:pPr>
              <w:jc w:val="center"/>
              <w:rPr>
                <w:rFonts w:ascii="Arial" w:hAnsi="Arial"/>
                <w:b/>
                <w:sz w:val="28"/>
              </w:rPr>
            </w:pPr>
            <w:r w:rsidRPr="003B1DCD">
              <w:rPr>
                <w:rFonts w:ascii="Arial" w:hAnsi="Arial"/>
                <w:b/>
                <w:sz w:val="28"/>
              </w:rPr>
              <w:t>STEP</w:t>
            </w:r>
          </w:p>
        </w:tc>
        <w:tc>
          <w:tcPr>
            <w:tcW w:w="4863" w:type="dxa"/>
            <w:shd w:val="clear" w:color="auto" w:fill="D9D9D9"/>
          </w:tcPr>
          <w:p w:rsidR="00BC0CAF" w:rsidRPr="003B1DCD" w:rsidRDefault="00BC0CAF" w:rsidP="003B1DCD">
            <w:pPr>
              <w:jc w:val="center"/>
              <w:rPr>
                <w:rFonts w:ascii="Arial" w:hAnsi="Arial"/>
                <w:b/>
                <w:sz w:val="28"/>
              </w:rPr>
            </w:pPr>
            <w:r w:rsidRPr="003B1DCD">
              <w:rPr>
                <w:rFonts w:ascii="Arial" w:hAnsi="Arial"/>
                <w:b/>
                <w:sz w:val="28"/>
              </w:rPr>
              <w:t>ACTION</w:t>
            </w:r>
          </w:p>
        </w:tc>
      </w:tr>
      <w:tr w:rsidR="00BC0CAF" w:rsidRPr="003B1DCD" w:rsidTr="003B1DCD">
        <w:tc>
          <w:tcPr>
            <w:tcW w:w="4068" w:type="dxa"/>
          </w:tcPr>
          <w:p w:rsidR="00BC0CAF" w:rsidRPr="003B1DCD" w:rsidRDefault="00BC0CAF" w:rsidP="003B1DCD">
            <w:pPr>
              <w:numPr>
                <w:ilvl w:val="0"/>
                <w:numId w:val="9"/>
              </w:numPr>
              <w:ind w:left="601" w:hanging="567"/>
              <w:rPr>
                <w:rFonts w:ascii="Arial" w:hAnsi="Arial"/>
                <w:sz w:val="28"/>
              </w:rPr>
            </w:pPr>
            <w:r w:rsidRPr="003B1DCD">
              <w:rPr>
                <w:rFonts w:ascii="Arial" w:eastAsia="Calibri" w:hAnsi="Arial"/>
                <w:sz w:val="24"/>
                <w:szCs w:val="22"/>
              </w:rPr>
              <w:t>Check the suitability of the specimen(s)</w:t>
            </w:r>
          </w:p>
        </w:tc>
        <w:tc>
          <w:tcPr>
            <w:tcW w:w="4863" w:type="dxa"/>
          </w:tcPr>
          <w:p w:rsidR="00BC0CAF" w:rsidRPr="003B1DCD" w:rsidRDefault="00BC0CAF" w:rsidP="003B1DCD">
            <w:pPr>
              <w:numPr>
                <w:ilvl w:val="0"/>
                <w:numId w:val="11"/>
              </w:numPr>
              <w:ind w:hanging="753"/>
              <w:rPr>
                <w:rFonts w:ascii="Arial" w:eastAsia="Calibri" w:hAnsi="Arial"/>
                <w:sz w:val="24"/>
                <w:szCs w:val="22"/>
                <w:lang w:val="en-CA"/>
              </w:rPr>
            </w:pPr>
            <w:r w:rsidRPr="003B1DCD">
              <w:rPr>
                <w:rFonts w:ascii="Arial" w:eastAsia="Calibri" w:hAnsi="Arial"/>
                <w:sz w:val="24"/>
                <w:szCs w:val="22"/>
              </w:rPr>
              <w:t>Ensure that the specimen information matches the request form. See PA.002 – Determining Specimen Suitability steps 6.1 – 6.4.</w:t>
            </w:r>
          </w:p>
          <w:p w:rsidR="00BC0CAF" w:rsidRPr="003B1DCD" w:rsidRDefault="00BC0CAF" w:rsidP="003B1DCD">
            <w:pPr>
              <w:numPr>
                <w:ilvl w:val="0"/>
                <w:numId w:val="11"/>
              </w:numPr>
              <w:ind w:hanging="753"/>
              <w:rPr>
                <w:rFonts w:ascii="Arial" w:eastAsia="Calibri" w:hAnsi="Arial"/>
                <w:sz w:val="24"/>
                <w:szCs w:val="22"/>
                <w:lang w:val="en-CA"/>
              </w:rPr>
            </w:pPr>
            <w:r w:rsidRPr="003B1DCD">
              <w:rPr>
                <w:rFonts w:ascii="Arial" w:eastAsia="Calibri" w:hAnsi="Arial"/>
                <w:sz w:val="24"/>
                <w:szCs w:val="22"/>
              </w:rPr>
              <w:t>Centrifuge specimen for 5 minutes at 3500 rpm or equivalent, if required.</w:t>
            </w:r>
          </w:p>
          <w:p w:rsidR="00BC0CAF" w:rsidRPr="003B1DCD" w:rsidRDefault="00BC0CAF" w:rsidP="003B1DCD">
            <w:pPr>
              <w:numPr>
                <w:ilvl w:val="0"/>
                <w:numId w:val="11"/>
              </w:numPr>
              <w:ind w:hanging="753"/>
              <w:rPr>
                <w:rFonts w:ascii="Arial" w:eastAsia="Calibri" w:hAnsi="Arial"/>
                <w:sz w:val="24"/>
                <w:szCs w:val="22"/>
                <w:lang w:val="en-CA"/>
              </w:rPr>
            </w:pPr>
            <w:r w:rsidRPr="003B1DCD">
              <w:rPr>
                <w:rFonts w:ascii="Arial" w:eastAsia="Calibri" w:hAnsi="Arial"/>
                <w:sz w:val="24"/>
                <w:szCs w:val="22"/>
              </w:rPr>
              <w:t>After centrifugation, check the patient’s specimen(s) for abnormal appearance.  See PA.002 – Determining Specimen Suitability step 6.5.</w:t>
            </w:r>
          </w:p>
        </w:tc>
      </w:tr>
      <w:tr w:rsidR="00BC0CAF" w:rsidRPr="003B1DCD" w:rsidTr="003B1DCD">
        <w:tc>
          <w:tcPr>
            <w:tcW w:w="4068" w:type="dxa"/>
          </w:tcPr>
          <w:p w:rsidR="00BC0CAF" w:rsidRPr="003B1DCD" w:rsidRDefault="00BC0CAF" w:rsidP="003B1DCD">
            <w:pPr>
              <w:numPr>
                <w:ilvl w:val="0"/>
                <w:numId w:val="9"/>
              </w:numPr>
              <w:ind w:left="601" w:hanging="567"/>
              <w:rPr>
                <w:rFonts w:ascii="Arial" w:eastAsia="Calibri" w:hAnsi="Arial"/>
                <w:sz w:val="24"/>
                <w:szCs w:val="22"/>
              </w:rPr>
            </w:pPr>
            <w:r w:rsidRPr="003B1DCD">
              <w:rPr>
                <w:rFonts w:ascii="Arial" w:eastAsia="Calibri" w:hAnsi="Arial"/>
                <w:sz w:val="24"/>
                <w:szCs w:val="22"/>
                <w:lang w:val="en-CA"/>
              </w:rPr>
              <w:t xml:space="preserve">Perform a patient history check.  </w:t>
            </w:r>
          </w:p>
        </w:tc>
        <w:tc>
          <w:tcPr>
            <w:tcW w:w="4863" w:type="dxa"/>
          </w:tcPr>
          <w:p w:rsidR="00BC0CAF" w:rsidRPr="003B1DCD" w:rsidRDefault="00BC0CAF" w:rsidP="003B1DCD">
            <w:pPr>
              <w:numPr>
                <w:ilvl w:val="0"/>
                <w:numId w:val="12"/>
              </w:numPr>
              <w:ind w:hanging="720"/>
              <w:rPr>
                <w:rFonts w:ascii="Arial" w:eastAsia="Calibri" w:hAnsi="Arial"/>
                <w:sz w:val="24"/>
                <w:szCs w:val="22"/>
              </w:rPr>
            </w:pPr>
            <w:r w:rsidRPr="003B1DCD">
              <w:rPr>
                <w:rFonts w:ascii="Arial" w:eastAsia="Calibri" w:hAnsi="Arial"/>
                <w:sz w:val="24"/>
                <w:szCs w:val="22"/>
                <w:lang w:val="en-CA"/>
              </w:rPr>
              <w:t>See PA.003 – Patient History Check</w:t>
            </w:r>
          </w:p>
        </w:tc>
      </w:tr>
      <w:tr w:rsidR="00BC0CAF" w:rsidRPr="003B1DCD" w:rsidTr="003B1DCD">
        <w:tc>
          <w:tcPr>
            <w:tcW w:w="4068" w:type="dxa"/>
          </w:tcPr>
          <w:p w:rsidR="00BC0CAF" w:rsidRPr="003B1DCD" w:rsidRDefault="00F60985" w:rsidP="003B1DCD">
            <w:pPr>
              <w:numPr>
                <w:ilvl w:val="0"/>
                <w:numId w:val="9"/>
              </w:numPr>
              <w:ind w:left="601" w:hanging="567"/>
              <w:rPr>
                <w:rFonts w:ascii="Arial" w:eastAsia="Calibri" w:hAnsi="Arial"/>
                <w:sz w:val="24"/>
                <w:szCs w:val="22"/>
                <w:lang w:val="en-CA"/>
              </w:rPr>
            </w:pPr>
            <w:r w:rsidRPr="003B1DCD">
              <w:rPr>
                <w:rFonts w:ascii="Arial" w:eastAsia="Calibri" w:hAnsi="Arial"/>
                <w:sz w:val="24"/>
                <w:szCs w:val="22"/>
              </w:rPr>
              <w:t>Label tubes</w:t>
            </w:r>
          </w:p>
        </w:tc>
        <w:tc>
          <w:tcPr>
            <w:tcW w:w="4863" w:type="dxa"/>
          </w:tcPr>
          <w:p w:rsidR="00BC0CAF" w:rsidRPr="003B1DCD" w:rsidRDefault="00F60985" w:rsidP="003B1DCD">
            <w:pPr>
              <w:numPr>
                <w:ilvl w:val="0"/>
                <w:numId w:val="13"/>
              </w:numPr>
              <w:ind w:hanging="720"/>
              <w:rPr>
                <w:rFonts w:ascii="Arial" w:eastAsia="Calibri" w:hAnsi="Arial"/>
                <w:sz w:val="24"/>
                <w:szCs w:val="22"/>
                <w:lang w:val="en-CA"/>
              </w:rPr>
            </w:pPr>
            <w:r w:rsidRPr="003B1DCD">
              <w:rPr>
                <w:rFonts w:ascii="Arial" w:eastAsia="Calibri" w:hAnsi="Arial"/>
                <w:sz w:val="24"/>
                <w:szCs w:val="22"/>
                <w:lang w:val="en-CA"/>
              </w:rPr>
              <w:t>Compare the patient name and identification number on all specimens with the information on the request form or computer screen</w:t>
            </w:r>
          </w:p>
          <w:p w:rsidR="00F60985" w:rsidRPr="003B1DCD" w:rsidRDefault="00F60985" w:rsidP="003B1DCD">
            <w:pPr>
              <w:numPr>
                <w:ilvl w:val="0"/>
                <w:numId w:val="13"/>
              </w:numPr>
              <w:ind w:hanging="720"/>
              <w:rPr>
                <w:rFonts w:ascii="Arial" w:eastAsia="Calibri" w:hAnsi="Arial"/>
                <w:sz w:val="24"/>
                <w:szCs w:val="22"/>
                <w:lang w:val="en-CA"/>
              </w:rPr>
            </w:pPr>
            <w:r w:rsidRPr="003B1DCD">
              <w:rPr>
                <w:rFonts w:ascii="Arial" w:eastAsia="Calibri" w:hAnsi="Arial"/>
                <w:sz w:val="24"/>
                <w:szCs w:val="22"/>
                <w:lang w:val="en-CA"/>
              </w:rPr>
              <w:t xml:space="preserve">Label appropriate tubes: one with the patient's name, one with </w:t>
            </w:r>
            <w:proofErr w:type="spellStart"/>
            <w:r w:rsidRPr="003B1DCD">
              <w:rPr>
                <w:rFonts w:ascii="Arial" w:eastAsia="Calibri" w:hAnsi="Arial"/>
                <w:sz w:val="24"/>
                <w:szCs w:val="22"/>
                <w:lang w:val="en-CA"/>
              </w:rPr>
              <w:t>Imm</w:t>
            </w:r>
            <w:proofErr w:type="spellEnd"/>
            <w:r w:rsidRPr="003B1DCD">
              <w:rPr>
                <w:rFonts w:ascii="Arial" w:eastAsia="Calibri" w:hAnsi="Arial"/>
                <w:sz w:val="24"/>
                <w:szCs w:val="22"/>
                <w:lang w:val="en-CA"/>
              </w:rPr>
              <w:t xml:space="preserve"> A, and/or </w:t>
            </w:r>
            <w:proofErr w:type="spellStart"/>
            <w:r w:rsidRPr="003B1DCD">
              <w:rPr>
                <w:rFonts w:ascii="Arial" w:eastAsia="Calibri" w:hAnsi="Arial"/>
                <w:sz w:val="24"/>
                <w:szCs w:val="22"/>
                <w:lang w:val="en-CA"/>
              </w:rPr>
              <w:t>Imm</w:t>
            </w:r>
            <w:proofErr w:type="spellEnd"/>
            <w:r w:rsidRPr="003B1DCD">
              <w:rPr>
                <w:rFonts w:ascii="Arial" w:eastAsia="Calibri" w:hAnsi="Arial"/>
                <w:sz w:val="24"/>
                <w:szCs w:val="22"/>
                <w:lang w:val="en-CA"/>
              </w:rPr>
              <w:t xml:space="preserve"> B and one with O control. See Procedural Notes 8.1</w:t>
            </w:r>
          </w:p>
        </w:tc>
      </w:tr>
      <w:tr w:rsidR="00F60985" w:rsidRPr="003B1DCD" w:rsidTr="003B1DCD">
        <w:tc>
          <w:tcPr>
            <w:tcW w:w="4068" w:type="dxa"/>
          </w:tcPr>
          <w:p w:rsidR="00F60985" w:rsidRPr="003B1DCD" w:rsidRDefault="00F60985" w:rsidP="003B1DCD">
            <w:pPr>
              <w:numPr>
                <w:ilvl w:val="0"/>
                <w:numId w:val="9"/>
              </w:numPr>
              <w:ind w:left="601" w:hanging="567"/>
              <w:rPr>
                <w:rFonts w:ascii="Arial" w:eastAsia="Calibri" w:hAnsi="Arial"/>
                <w:sz w:val="24"/>
                <w:szCs w:val="22"/>
              </w:rPr>
            </w:pPr>
            <w:r w:rsidRPr="003B1DCD">
              <w:rPr>
                <w:rFonts w:ascii="Arial" w:eastAsia="Calibri" w:hAnsi="Arial"/>
                <w:sz w:val="24"/>
                <w:szCs w:val="22"/>
              </w:rPr>
              <w:t>Add Patient Plasma/Serum</w:t>
            </w:r>
          </w:p>
        </w:tc>
        <w:tc>
          <w:tcPr>
            <w:tcW w:w="4863" w:type="dxa"/>
          </w:tcPr>
          <w:p w:rsidR="00F60985" w:rsidRPr="003B1DCD" w:rsidRDefault="00F60985" w:rsidP="003B1DCD">
            <w:pPr>
              <w:numPr>
                <w:ilvl w:val="0"/>
                <w:numId w:val="14"/>
              </w:numPr>
              <w:ind w:hanging="720"/>
              <w:rPr>
                <w:rFonts w:ascii="Arial" w:eastAsia="Calibri" w:hAnsi="Arial"/>
                <w:sz w:val="24"/>
                <w:szCs w:val="22"/>
                <w:lang w:val="en-CA"/>
              </w:rPr>
            </w:pPr>
            <w:r w:rsidRPr="003B1DCD">
              <w:rPr>
                <w:rFonts w:ascii="Arial" w:eastAsia="Calibri" w:hAnsi="Arial"/>
                <w:sz w:val="24"/>
                <w:szCs w:val="22"/>
                <w:lang w:val="en-CA"/>
              </w:rPr>
              <w:t>Dispense 2 drops of patient plasma/serum to the tubes. See procedural note 8.4</w:t>
            </w:r>
          </w:p>
        </w:tc>
      </w:tr>
      <w:tr w:rsidR="00F60985" w:rsidRPr="003B1DCD" w:rsidTr="003B1DCD">
        <w:tc>
          <w:tcPr>
            <w:tcW w:w="4068" w:type="dxa"/>
          </w:tcPr>
          <w:p w:rsidR="00F60985" w:rsidRPr="003B1DCD" w:rsidRDefault="00F60985" w:rsidP="003B1DCD">
            <w:pPr>
              <w:numPr>
                <w:ilvl w:val="0"/>
                <w:numId w:val="9"/>
              </w:numPr>
              <w:ind w:left="601" w:hanging="567"/>
              <w:rPr>
                <w:rFonts w:ascii="Arial" w:eastAsia="Calibri" w:hAnsi="Arial"/>
                <w:sz w:val="24"/>
                <w:szCs w:val="22"/>
              </w:rPr>
            </w:pPr>
            <w:r w:rsidRPr="003B1DCD">
              <w:rPr>
                <w:rFonts w:ascii="Arial" w:eastAsia="Calibri" w:hAnsi="Arial"/>
                <w:sz w:val="24"/>
                <w:szCs w:val="22"/>
                <w:lang w:val="en-CA"/>
              </w:rPr>
              <w:t>Add the appropriate 3% red cell</w:t>
            </w:r>
          </w:p>
        </w:tc>
        <w:tc>
          <w:tcPr>
            <w:tcW w:w="4863" w:type="dxa"/>
          </w:tcPr>
          <w:p w:rsidR="00F60985" w:rsidRPr="003B1DCD" w:rsidRDefault="00F60985" w:rsidP="003B1DCD">
            <w:pPr>
              <w:numPr>
                <w:ilvl w:val="0"/>
                <w:numId w:val="15"/>
              </w:numPr>
              <w:ind w:hanging="720"/>
              <w:rPr>
                <w:rFonts w:ascii="Arial" w:eastAsia="Calibri" w:hAnsi="Arial"/>
                <w:sz w:val="24"/>
                <w:szCs w:val="22"/>
                <w:lang w:val="en-CA"/>
              </w:rPr>
            </w:pPr>
            <w:r w:rsidRPr="003B1DCD">
              <w:rPr>
                <w:rFonts w:ascii="Arial" w:eastAsia="Calibri" w:hAnsi="Arial" w:cs="Arial"/>
                <w:sz w:val="24"/>
                <w:szCs w:val="24"/>
                <w:lang w:val="en-CA"/>
              </w:rPr>
              <w:t>1 drop of A cell to the appropriate tube and/or 1 drop of B cell to the appropriate tube</w:t>
            </w:r>
          </w:p>
          <w:p w:rsidR="00F60985" w:rsidRPr="003B1DCD" w:rsidRDefault="00F60985" w:rsidP="003B1DCD">
            <w:pPr>
              <w:numPr>
                <w:ilvl w:val="0"/>
                <w:numId w:val="15"/>
              </w:numPr>
              <w:ind w:hanging="720"/>
              <w:rPr>
                <w:rFonts w:ascii="Arial" w:eastAsia="Calibri" w:hAnsi="Arial"/>
                <w:sz w:val="24"/>
                <w:szCs w:val="22"/>
                <w:lang w:val="en-CA"/>
              </w:rPr>
            </w:pPr>
            <w:r w:rsidRPr="003B1DCD">
              <w:rPr>
                <w:rFonts w:ascii="Arial" w:eastAsia="Calibri" w:hAnsi="Arial" w:cs="Arial"/>
                <w:sz w:val="24"/>
                <w:szCs w:val="24"/>
                <w:lang w:val="en-CA"/>
              </w:rPr>
              <w:t>1 drop of O cell to the appropriate tube</w:t>
            </w:r>
          </w:p>
          <w:p w:rsidR="0084397A" w:rsidRPr="003B1DCD" w:rsidRDefault="0084397A" w:rsidP="003B1DCD">
            <w:pPr>
              <w:jc w:val="center"/>
              <w:rPr>
                <w:rFonts w:ascii="Arial" w:eastAsia="Calibri" w:hAnsi="Arial"/>
                <w:b/>
                <w:i/>
                <w:lang w:val="en-CA"/>
              </w:rPr>
            </w:pPr>
            <w:r w:rsidRPr="003B1DCD">
              <w:rPr>
                <w:rFonts w:ascii="Arial" w:eastAsia="Calibri" w:hAnsi="Arial"/>
                <w:b/>
                <w:i/>
                <w:shd w:val="clear" w:color="auto" w:fill="D9D9D9"/>
                <w:lang w:val="en-CA"/>
              </w:rPr>
              <w:t>Note: Hold the pipette or dropper vertically when dispensing the cells</w:t>
            </w:r>
          </w:p>
          <w:p w:rsidR="00F60985" w:rsidRPr="003B1DCD" w:rsidRDefault="00F60985" w:rsidP="003B1DCD">
            <w:pPr>
              <w:numPr>
                <w:ilvl w:val="0"/>
                <w:numId w:val="15"/>
              </w:numPr>
              <w:ind w:hanging="720"/>
              <w:rPr>
                <w:rFonts w:ascii="Arial" w:eastAsia="Calibri" w:hAnsi="Arial"/>
                <w:sz w:val="24"/>
                <w:szCs w:val="22"/>
                <w:lang w:val="en-CA"/>
              </w:rPr>
            </w:pPr>
            <w:r w:rsidRPr="003B1DCD">
              <w:rPr>
                <w:rFonts w:ascii="Arial" w:eastAsia="Calibri" w:hAnsi="Arial" w:cs="Arial"/>
                <w:sz w:val="24"/>
                <w:szCs w:val="24"/>
                <w:lang w:val="en-CA"/>
              </w:rPr>
              <w:t>Mix all tubes.  Examine all tubes for appearance and volume. If the volume or appearance is not consistent, test tubes should be discarded and all of the tests repeated.</w:t>
            </w:r>
          </w:p>
        </w:tc>
      </w:tr>
      <w:tr w:rsidR="0084397A" w:rsidRPr="003B1DCD" w:rsidTr="003B1DCD">
        <w:tc>
          <w:tcPr>
            <w:tcW w:w="4068" w:type="dxa"/>
          </w:tcPr>
          <w:p w:rsidR="0084397A" w:rsidRPr="003B1DCD" w:rsidRDefault="0084397A" w:rsidP="003B1DCD">
            <w:pPr>
              <w:numPr>
                <w:ilvl w:val="0"/>
                <w:numId w:val="9"/>
              </w:numPr>
              <w:ind w:left="601" w:hanging="567"/>
              <w:rPr>
                <w:rFonts w:ascii="Arial" w:eastAsia="Calibri" w:hAnsi="Arial"/>
                <w:sz w:val="24"/>
                <w:szCs w:val="22"/>
                <w:lang w:val="en-CA"/>
              </w:rPr>
            </w:pPr>
            <w:r w:rsidRPr="003B1DCD">
              <w:rPr>
                <w:rFonts w:ascii="Arial" w:eastAsia="Calibri" w:hAnsi="Arial"/>
                <w:sz w:val="24"/>
                <w:szCs w:val="22"/>
                <w:lang w:val="en-CA"/>
              </w:rPr>
              <w:t xml:space="preserve">Incubate at </w:t>
            </w:r>
            <w:r w:rsidRPr="003B1DCD">
              <w:rPr>
                <w:rFonts w:ascii="Arial" w:eastAsia="Calibri" w:hAnsi="Arial" w:cs="Arial"/>
                <w:sz w:val="24"/>
                <w:szCs w:val="24"/>
                <w:lang w:val="en-CA"/>
              </w:rPr>
              <w:t>37° C.</w:t>
            </w:r>
          </w:p>
        </w:tc>
        <w:tc>
          <w:tcPr>
            <w:tcW w:w="4863" w:type="dxa"/>
          </w:tcPr>
          <w:p w:rsidR="0084397A" w:rsidRPr="003B1DCD" w:rsidRDefault="0084397A" w:rsidP="003B1DCD">
            <w:pPr>
              <w:numPr>
                <w:ilvl w:val="0"/>
                <w:numId w:val="16"/>
              </w:numPr>
              <w:ind w:hanging="720"/>
              <w:rPr>
                <w:rFonts w:ascii="Arial" w:eastAsia="Calibri" w:hAnsi="Arial" w:cs="Arial"/>
                <w:sz w:val="24"/>
                <w:szCs w:val="24"/>
                <w:lang w:val="en-CA"/>
              </w:rPr>
            </w:pPr>
            <w:r w:rsidRPr="003B1DCD">
              <w:rPr>
                <w:rFonts w:ascii="Arial" w:eastAsia="Calibri" w:hAnsi="Arial" w:cs="Arial"/>
                <w:sz w:val="24"/>
                <w:szCs w:val="24"/>
                <w:lang w:val="en-CA"/>
              </w:rPr>
              <w:t>Incubate the tubes for 30 minutes at 37° C</w:t>
            </w:r>
          </w:p>
          <w:p w:rsidR="0084397A" w:rsidRPr="003B1DCD" w:rsidRDefault="0084397A" w:rsidP="003B1DCD">
            <w:pPr>
              <w:numPr>
                <w:ilvl w:val="0"/>
                <w:numId w:val="16"/>
              </w:numPr>
              <w:ind w:hanging="720"/>
              <w:rPr>
                <w:rFonts w:ascii="Arial" w:eastAsia="Calibri" w:hAnsi="Arial" w:cs="Arial"/>
                <w:sz w:val="24"/>
                <w:szCs w:val="24"/>
                <w:lang w:val="en-CA"/>
              </w:rPr>
            </w:pPr>
            <w:r w:rsidRPr="003B1DCD">
              <w:rPr>
                <w:rFonts w:ascii="Arial" w:eastAsia="Calibri" w:hAnsi="Arial" w:cs="Arial"/>
                <w:sz w:val="24"/>
                <w:szCs w:val="24"/>
                <w:lang w:val="en-CA"/>
              </w:rPr>
              <w:t>Check and record the temperature of the water bath or heating block on QCA.006F</w:t>
            </w:r>
          </w:p>
          <w:p w:rsidR="0084397A" w:rsidRPr="003B1DCD" w:rsidRDefault="0084397A" w:rsidP="003B1DCD">
            <w:pPr>
              <w:numPr>
                <w:ilvl w:val="0"/>
                <w:numId w:val="16"/>
              </w:numPr>
              <w:ind w:hanging="720"/>
              <w:rPr>
                <w:rFonts w:ascii="Arial" w:eastAsia="Calibri" w:hAnsi="Arial" w:cs="Arial"/>
                <w:sz w:val="24"/>
                <w:szCs w:val="24"/>
                <w:lang w:val="en-CA"/>
              </w:rPr>
            </w:pPr>
            <w:r w:rsidRPr="003B1DCD">
              <w:rPr>
                <w:rFonts w:ascii="Arial" w:eastAsia="Calibri" w:hAnsi="Arial" w:cs="Arial"/>
                <w:sz w:val="24"/>
                <w:szCs w:val="24"/>
                <w:lang w:val="en-CA"/>
              </w:rPr>
              <w:t xml:space="preserve">Remove the tubes from the water </w:t>
            </w:r>
            <w:r w:rsidRPr="003B1DCD">
              <w:rPr>
                <w:rFonts w:ascii="Arial" w:eastAsia="Calibri" w:hAnsi="Arial" w:cs="Arial"/>
                <w:sz w:val="24"/>
                <w:szCs w:val="24"/>
                <w:lang w:val="en-CA"/>
              </w:rPr>
              <w:lastRenderedPageBreak/>
              <w:t>bath</w:t>
            </w:r>
            <w:r w:rsidRPr="003B1DCD">
              <w:rPr>
                <w:rFonts w:ascii="Arial" w:eastAsia="Calibri" w:hAnsi="Arial"/>
                <w:sz w:val="24"/>
                <w:szCs w:val="22"/>
                <w:lang w:val="en-CA"/>
              </w:rPr>
              <w:t xml:space="preserve"> after incubation</w:t>
            </w:r>
          </w:p>
          <w:p w:rsidR="0084397A" w:rsidRPr="003B1DCD" w:rsidRDefault="0084397A" w:rsidP="003B1DCD">
            <w:pPr>
              <w:numPr>
                <w:ilvl w:val="0"/>
                <w:numId w:val="16"/>
              </w:numPr>
              <w:ind w:hanging="720"/>
              <w:rPr>
                <w:rFonts w:ascii="Arial" w:eastAsia="Calibri" w:hAnsi="Arial" w:cs="Arial"/>
                <w:sz w:val="24"/>
                <w:szCs w:val="24"/>
                <w:lang w:val="en-CA"/>
              </w:rPr>
            </w:pPr>
            <w:r w:rsidRPr="003B1DCD">
              <w:rPr>
                <w:rFonts w:ascii="Arial" w:eastAsia="Calibri" w:hAnsi="Arial" w:cs="Arial"/>
                <w:sz w:val="24"/>
                <w:szCs w:val="24"/>
                <w:lang w:val="en-CA"/>
              </w:rPr>
              <w:t>Centrifuge tubes at 3400 rpm for 10-15 seconds</w:t>
            </w:r>
          </w:p>
          <w:p w:rsidR="0084397A" w:rsidRPr="003B1DCD" w:rsidRDefault="0084397A" w:rsidP="003B1DCD">
            <w:pPr>
              <w:numPr>
                <w:ilvl w:val="0"/>
                <w:numId w:val="16"/>
              </w:numPr>
              <w:ind w:hanging="720"/>
              <w:rPr>
                <w:rFonts w:ascii="Arial" w:eastAsia="Calibri" w:hAnsi="Arial" w:cs="Arial"/>
                <w:sz w:val="24"/>
                <w:szCs w:val="24"/>
                <w:lang w:val="en-CA"/>
              </w:rPr>
            </w:pPr>
            <w:r w:rsidRPr="003B1DCD">
              <w:rPr>
                <w:rFonts w:ascii="Arial" w:eastAsia="Calibri" w:hAnsi="Arial" w:cs="Arial"/>
                <w:sz w:val="24"/>
                <w:szCs w:val="24"/>
                <w:lang w:val="en-CA"/>
              </w:rPr>
              <w:t xml:space="preserve">Observe for hemolysis.  Record hemolysis, if present. See RT.001– Reading and Recording </w:t>
            </w:r>
            <w:proofErr w:type="spellStart"/>
            <w:r w:rsidRPr="003B1DCD">
              <w:rPr>
                <w:rFonts w:ascii="Arial" w:eastAsia="Calibri" w:hAnsi="Arial" w:cs="Arial"/>
                <w:sz w:val="24"/>
                <w:szCs w:val="24"/>
                <w:lang w:val="en-CA"/>
              </w:rPr>
              <w:t>Hemagglutination</w:t>
            </w:r>
            <w:proofErr w:type="spellEnd"/>
            <w:r w:rsidRPr="003B1DCD">
              <w:rPr>
                <w:rFonts w:ascii="Arial" w:eastAsia="Calibri" w:hAnsi="Arial" w:cs="Arial"/>
                <w:sz w:val="24"/>
                <w:szCs w:val="24"/>
                <w:lang w:val="en-CA"/>
              </w:rPr>
              <w:t xml:space="preserve"> Reactions</w:t>
            </w:r>
          </w:p>
          <w:p w:rsidR="0084397A" w:rsidRPr="003B1DCD" w:rsidRDefault="0084397A" w:rsidP="003B1DCD">
            <w:pPr>
              <w:numPr>
                <w:ilvl w:val="0"/>
                <w:numId w:val="16"/>
              </w:numPr>
              <w:ind w:hanging="720"/>
              <w:rPr>
                <w:rFonts w:ascii="Arial" w:eastAsia="Calibri" w:hAnsi="Arial" w:cs="Arial"/>
                <w:sz w:val="24"/>
                <w:szCs w:val="24"/>
                <w:lang w:val="en-CA"/>
              </w:rPr>
            </w:pPr>
            <w:proofErr w:type="spellStart"/>
            <w:r w:rsidRPr="003B1DCD">
              <w:rPr>
                <w:rFonts w:ascii="Arial" w:eastAsia="Calibri" w:hAnsi="Arial" w:cs="Arial"/>
                <w:sz w:val="24"/>
                <w:szCs w:val="24"/>
                <w:lang w:val="en-CA"/>
              </w:rPr>
              <w:t>Resuspend</w:t>
            </w:r>
            <w:proofErr w:type="spellEnd"/>
            <w:r w:rsidRPr="003B1DCD">
              <w:rPr>
                <w:rFonts w:ascii="Arial" w:eastAsia="Calibri" w:hAnsi="Arial" w:cs="Arial"/>
                <w:sz w:val="24"/>
                <w:szCs w:val="24"/>
                <w:lang w:val="en-CA"/>
              </w:rPr>
              <w:t xml:space="preserve"> and read macroscopically</w:t>
            </w:r>
          </w:p>
          <w:p w:rsidR="0084397A" w:rsidRPr="003B1DCD" w:rsidRDefault="0084397A" w:rsidP="003B1DCD">
            <w:pPr>
              <w:numPr>
                <w:ilvl w:val="0"/>
                <w:numId w:val="16"/>
              </w:numPr>
              <w:ind w:hanging="720"/>
              <w:rPr>
                <w:rFonts w:ascii="Arial" w:eastAsia="Calibri" w:hAnsi="Arial" w:cs="Arial"/>
                <w:sz w:val="24"/>
                <w:szCs w:val="24"/>
                <w:lang w:val="en-CA"/>
              </w:rPr>
            </w:pPr>
            <w:r w:rsidRPr="003B1DCD">
              <w:rPr>
                <w:rFonts w:ascii="Arial" w:eastAsia="Calibri" w:hAnsi="Arial" w:cs="Arial"/>
                <w:sz w:val="24"/>
                <w:szCs w:val="24"/>
                <w:lang w:val="en-CA"/>
              </w:rPr>
              <w:t xml:space="preserve">Grade and record the 37° C results as per established procedure. See RT.001– Reading and Recording </w:t>
            </w:r>
            <w:proofErr w:type="spellStart"/>
            <w:r w:rsidRPr="003B1DCD">
              <w:rPr>
                <w:rFonts w:ascii="Arial" w:eastAsia="Calibri" w:hAnsi="Arial" w:cs="Arial"/>
                <w:sz w:val="24"/>
                <w:szCs w:val="24"/>
                <w:lang w:val="en-CA"/>
              </w:rPr>
              <w:t>Hemagglutination</w:t>
            </w:r>
            <w:proofErr w:type="spellEnd"/>
            <w:r w:rsidRPr="003B1DCD">
              <w:rPr>
                <w:rFonts w:ascii="Arial" w:eastAsia="Calibri" w:hAnsi="Arial" w:cs="Arial"/>
                <w:sz w:val="24"/>
                <w:szCs w:val="24"/>
                <w:lang w:val="en-CA"/>
              </w:rPr>
              <w:t xml:space="preserve"> Reactions</w:t>
            </w:r>
          </w:p>
        </w:tc>
      </w:tr>
      <w:tr w:rsidR="0084397A" w:rsidRPr="003B1DCD" w:rsidTr="003B1DCD">
        <w:tc>
          <w:tcPr>
            <w:tcW w:w="4068" w:type="dxa"/>
          </w:tcPr>
          <w:p w:rsidR="0084397A" w:rsidRPr="003B1DCD" w:rsidRDefault="0084397A" w:rsidP="003B1DCD">
            <w:pPr>
              <w:numPr>
                <w:ilvl w:val="0"/>
                <w:numId w:val="9"/>
              </w:numPr>
              <w:ind w:left="601" w:hanging="567"/>
              <w:rPr>
                <w:rFonts w:ascii="Arial" w:eastAsia="Calibri" w:hAnsi="Arial"/>
                <w:sz w:val="24"/>
                <w:szCs w:val="22"/>
                <w:lang w:val="en-CA"/>
              </w:rPr>
            </w:pPr>
            <w:r w:rsidRPr="003B1DCD">
              <w:rPr>
                <w:rFonts w:ascii="Arial" w:eastAsia="Calibri" w:hAnsi="Arial"/>
                <w:sz w:val="24"/>
                <w:szCs w:val="22"/>
                <w:lang w:val="en-CA"/>
              </w:rPr>
              <w:lastRenderedPageBreak/>
              <w:t xml:space="preserve">Perform an </w:t>
            </w:r>
            <w:proofErr w:type="spellStart"/>
            <w:r w:rsidRPr="003B1DCD">
              <w:rPr>
                <w:rFonts w:ascii="Arial" w:eastAsia="Calibri" w:hAnsi="Arial"/>
                <w:sz w:val="24"/>
                <w:szCs w:val="22"/>
                <w:lang w:val="en-CA"/>
              </w:rPr>
              <w:t>antiglobulin</w:t>
            </w:r>
            <w:proofErr w:type="spellEnd"/>
            <w:r w:rsidRPr="003B1DCD">
              <w:rPr>
                <w:rFonts w:ascii="Arial" w:eastAsia="Calibri" w:hAnsi="Arial"/>
                <w:sz w:val="24"/>
                <w:szCs w:val="22"/>
                <w:lang w:val="en-CA"/>
              </w:rPr>
              <w:t xml:space="preserve"> test</w:t>
            </w:r>
          </w:p>
        </w:tc>
        <w:tc>
          <w:tcPr>
            <w:tcW w:w="4863" w:type="dxa"/>
          </w:tcPr>
          <w:p w:rsidR="0084397A" w:rsidRPr="003B1DCD" w:rsidRDefault="0084397A" w:rsidP="003B1DCD">
            <w:pPr>
              <w:numPr>
                <w:ilvl w:val="0"/>
                <w:numId w:val="19"/>
              </w:numPr>
              <w:ind w:hanging="720"/>
              <w:rPr>
                <w:rFonts w:ascii="Arial" w:eastAsia="Calibri" w:hAnsi="Arial"/>
                <w:sz w:val="24"/>
                <w:szCs w:val="22"/>
                <w:lang w:val="en-CA"/>
              </w:rPr>
            </w:pPr>
            <w:r w:rsidRPr="003B1DCD">
              <w:rPr>
                <w:rFonts w:ascii="Arial" w:eastAsia="Calibri" w:hAnsi="Arial"/>
                <w:sz w:val="24"/>
                <w:szCs w:val="22"/>
                <w:lang w:val="en-CA"/>
              </w:rPr>
              <w:t>Wash the tubes 4 times. See RT.002– Cell Washing  Automated and Manual</w:t>
            </w:r>
          </w:p>
          <w:p w:rsidR="0084397A" w:rsidRPr="003B1DCD" w:rsidRDefault="0084397A" w:rsidP="003B1DCD">
            <w:pPr>
              <w:numPr>
                <w:ilvl w:val="0"/>
                <w:numId w:val="19"/>
              </w:numPr>
              <w:ind w:hanging="720"/>
              <w:rPr>
                <w:rFonts w:ascii="Arial" w:eastAsia="Calibri" w:hAnsi="Arial"/>
                <w:sz w:val="24"/>
                <w:szCs w:val="22"/>
                <w:lang w:val="en-CA"/>
              </w:rPr>
            </w:pPr>
            <w:r w:rsidRPr="003B1DCD">
              <w:rPr>
                <w:rFonts w:ascii="Arial" w:eastAsia="Calibri" w:hAnsi="Arial"/>
                <w:sz w:val="24"/>
                <w:szCs w:val="22"/>
                <w:lang w:val="en-CA"/>
              </w:rPr>
              <w:t>Add 2 drops of anti-IgG</w:t>
            </w:r>
          </w:p>
          <w:p w:rsidR="0084397A" w:rsidRPr="003B1DCD" w:rsidRDefault="0084397A" w:rsidP="003B1DCD">
            <w:pPr>
              <w:numPr>
                <w:ilvl w:val="0"/>
                <w:numId w:val="19"/>
              </w:numPr>
              <w:ind w:hanging="720"/>
              <w:rPr>
                <w:rFonts w:ascii="Arial" w:eastAsia="Calibri" w:hAnsi="Arial"/>
                <w:sz w:val="24"/>
                <w:szCs w:val="22"/>
                <w:lang w:val="en-CA"/>
              </w:rPr>
            </w:pPr>
            <w:r w:rsidRPr="003B1DCD">
              <w:rPr>
                <w:rFonts w:ascii="Arial" w:eastAsia="Calibri" w:hAnsi="Arial"/>
                <w:sz w:val="24"/>
                <w:szCs w:val="22"/>
                <w:lang w:val="en-CA"/>
              </w:rPr>
              <w:t>Mix the tubes immediately and centrifuge tubes at 3400 rpm for 10-15 seconds</w:t>
            </w:r>
          </w:p>
          <w:p w:rsidR="0084397A" w:rsidRPr="003B1DCD" w:rsidRDefault="0084397A" w:rsidP="003B1DCD">
            <w:pPr>
              <w:numPr>
                <w:ilvl w:val="0"/>
                <w:numId w:val="19"/>
              </w:numPr>
              <w:ind w:hanging="720"/>
              <w:rPr>
                <w:rFonts w:ascii="Arial" w:eastAsia="Calibri" w:hAnsi="Arial"/>
                <w:sz w:val="24"/>
                <w:szCs w:val="22"/>
                <w:lang w:val="en-CA"/>
              </w:rPr>
            </w:pPr>
            <w:r w:rsidRPr="003B1DCD">
              <w:rPr>
                <w:rFonts w:ascii="Arial" w:eastAsia="Calibri" w:hAnsi="Arial"/>
                <w:sz w:val="24"/>
                <w:szCs w:val="22"/>
                <w:lang w:val="en-CA"/>
              </w:rPr>
              <w:t xml:space="preserve">Immediately after centrifugation </w:t>
            </w:r>
            <w:proofErr w:type="spellStart"/>
            <w:r w:rsidRPr="003B1DCD">
              <w:rPr>
                <w:rFonts w:ascii="Arial" w:eastAsia="Calibri" w:hAnsi="Arial"/>
                <w:sz w:val="24"/>
                <w:szCs w:val="22"/>
                <w:lang w:val="en-CA"/>
              </w:rPr>
              <w:t>resuspend</w:t>
            </w:r>
            <w:proofErr w:type="spellEnd"/>
            <w:r w:rsidRPr="003B1DCD">
              <w:rPr>
                <w:rFonts w:ascii="Arial" w:eastAsia="Calibri" w:hAnsi="Arial"/>
                <w:sz w:val="24"/>
                <w:szCs w:val="22"/>
                <w:lang w:val="en-CA"/>
              </w:rPr>
              <w:t xml:space="preserve"> the cells and read macroscopically.  If negative, read microscopi</w:t>
            </w:r>
            <w:r w:rsidR="00111B6F" w:rsidRPr="003B1DCD">
              <w:rPr>
                <w:rFonts w:ascii="Arial" w:eastAsia="Calibri" w:hAnsi="Arial"/>
                <w:sz w:val="24"/>
                <w:szCs w:val="22"/>
                <w:lang w:val="en-CA"/>
              </w:rPr>
              <w:t>cally.  See Procedural Notes 8.3</w:t>
            </w:r>
          </w:p>
          <w:p w:rsidR="0084397A" w:rsidRPr="003B1DCD" w:rsidRDefault="0084397A" w:rsidP="003B1DCD">
            <w:pPr>
              <w:numPr>
                <w:ilvl w:val="0"/>
                <w:numId w:val="19"/>
              </w:numPr>
              <w:ind w:hanging="720"/>
              <w:rPr>
                <w:rFonts w:ascii="Arial" w:eastAsia="Calibri" w:hAnsi="Arial"/>
                <w:sz w:val="24"/>
                <w:szCs w:val="22"/>
                <w:lang w:val="en-CA"/>
              </w:rPr>
            </w:pPr>
            <w:r w:rsidRPr="003B1DCD">
              <w:rPr>
                <w:rFonts w:ascii="Arial" w:eastAsia="Calibri" w:hAnsi="Arial"/>
                <w:sz w:val="24"/>
                <w:szCs w:val="22"/>
                <w:lang w:val="en-CA"/>
              </w:rPr>
              <w:t xml:space="preserve">Grade and record results.  See RT.001– Reading and Recording </w:t>
            </w:r>
            <w:proofErr w:type="spellStart"/>
            <w:r w:rsidRPr="003B1DCD">
              <w:rPr>
                <w:rFonts w:ascii="Arial" w:eastAsia="Calibri" w:hAnsi="Arial"/>
                <w:sz w:val="24"/>
                <w:szCs w:val="22"/>
                <w:lang w:val="en-CA"/>
              </w:rPr>
              <w:t>Hemagglutination</w:t>
            </w:r>
            <w:proofErr w:type="spellEnd"/>
            <w:r w:rsidRPr="003B1DCD">
              <w:rPr>
                <w:rFonts w:ascii="Arial" w:eastAsia="Calibri" w:hAnsi="Arial"/>
                <w:sz w:val="24"/>
                <w:szCs w:val="22"/>
                <w:lang w:val="en-CA"/>
              </w:rPr>
              <w:t xml:space="preserve"> Reaction</w:t>
            </w:r>
          </w:p>
          <w:p w:rsidR="0084397A" w:rsidRPr="003B1DCD" w:rsidRDefault="0084397A" w:rsidP="003B1DCD">
            <w:pPr>
              <w:numPr>
                <w:ilvl w:val="0"/>
                <w:numId w:val="19"/>
              </w:numPr>
              <w:ind w:hanging="720"/>
              <w:rPr>
                <w:rFonts w:ascii="Arial" w:eastAsia="Calibri" w:hAnsi="Arial"/>
                <w:sz w:val="24"/>
                <w:szCs w:val="22"/>
                <w:lang w:val="en-CA"/>
              </w:rPr>
            </w:pPr>
            <w:r w:rsidRPr="003B1DCD">
              <w:rPr>
                <w:rFonts w:ascii="Arial" w:eastAsia="Calibri" w:hAnsi="Arial"/>
                <w:sz w:val="24"/>
                <w:szCs w:val="22"/>
                <w:lang w:val="en-CA"/>
              </w:rPr>
              <w:t xml:space="preserve">Add 1 drop of IgG-coated control cells to the tube(s) with negative results.  Centrifuge tubes at 3400 rpm for 10-15 seconds, </w:t>
            </w:r>
            <w:proofErr w:type="spellStart"/>
            <w:r w:rsidRPr="003B1DCD">
              <w:rPr>
                <w:rFonts w:ascii="Arial" w:eastAsia="Calibri" w:hAnsi="Arial"/>
                <w:sz w:val="24"/>
                <w:szCs w:val="22"/>
                <w:lang w:val="en-CA"/>
              </w:rPr>
              <w:t>resuspend</w:t>
            </w:r>
            <w:proofErr w:type="spellEnd"/>
            <w:r w:rsidRPr="003B1DCD">
              <w:rPr>
                <w:rFonts w:ascii="Arial" w:eastAsia="Calibri" w:hAnsi="Arial"/>
                <w:sz w:val="24"/>
                <w:szCs w:val="22"/>
                <w:lang w:val="en-CA"/>
              </w:rPr>
              <w:t xml:space="preserve"> cells, read macroscopically and record results.  Agglutination of grade 2 must be present or the test(s) must be </w:t>
            </w:r>
            <w:r w:rsidRPr="003B1DCD">
              <w:rPr>
                <w:rFonts w:ascii="Arial" w:eastAsia="Calibri" w:hAnsi="Arial"/>
                <w:sz w:val="24"/>
                <w:szCs w:val="22"/>
                <w:lang w:val="en-CA"/>
              </w:rPr>
              <w:br/>
              <w:t>repeated</w:t>
            </w:r>
          </w:p>
        </w:tc>
      </w:tr>
      <w:tr w:rsidR="00111B6F" w:rsidRPr="003B1DCD" w:rsidTr="003B1DCD">
        <w:tc>
          <w:tcPr>
            <w:tcW w:w="4068" w:type="dxa"/>
          </w:tcPr>
          <w:p w:rsidR="00111B6F" w:rsidRPr="003B1DCD" w:rsidRDefault="00111B6F" w:rsidP="003B1DCD">
            <w:pPr>
              <w:numPr>
                <w:ilvl w:val="0"/>
                <w:numId w:val="9"/>
              </w:numPr>
              <w:ind w:left="601" w:hanging="567"/>
              <w:rPr>
                <w:rFonts w:ascii="Arial" w:eastAsia="Calibri" w:hAnsi="Arial"/>
                <w:sz w:val="24"/>
                <w:szCs w:val="22"/>
                <w:lang w:val="en-CA"/>
              </w:rPr>
            </w:pPr>
            <w:r w:rsidRPr="003B1DCD">
              <w:rPr>
                <w:rFonts w:ascii="Arial" w:eastAsia="Calibri" w:hAnsi="Arial"/>
                <w:sz w:val="24"/>
                <w:szCs w:val="22"/>
                <w:lang w:val="en-CA"/>
              </w:rPr>
              <w:t>Interpret Results</w:t>
            </w:r>
          </w:p>
        </w:tc>
        <w:tc>
          <w:tcPr>
            <w:tcW w:w="4863" w:type="dxa"/>
          </w:tcPr>
          <w:p w:rsidR="00111B6F" w:rsidRPr="003B1DCD" w:rsidRDefault="00111B6F" w:rsidP="003B1DCD">
            <w:pPr>
              <w:numPr>
                <w:ilvl w:val="0"/>
                <w:numId w:val="20"/>
              </w:numPr>
              <w:ind w:hanging="785"/>
              <w:rPr>
                <w:rFonts w:ascii="Arial" w:eastAsia="Calibri" w:hAnsi="Arial"/>
                <w:sz w:val="24"/>
                <w:szCs w:val="22"/>
                <w:lang w:val="en-CA"/>
              </w:rPr>
            </w:pPr>
            <w:r w:rsidRPr="003B1DCD">
              <w:rPr>
                <w:rFonts w:ascii="Arial" w:eastAsia="Calibri" w:hAnsi="Arial" w:cs="Arial"/>
                <w:sz w:val="24"/>
                <w:szCs w:val="24"/>
                <w:lang w:val="en-CA"/>
              </w:rPr>
              <w:t>Interpret antibody screen results. See 7.0 – Reporting</w:t>
            </w:r>
          </w:p>
        </w:tc>
      </w:tr>
      <w:tr w:rsidR="00111B6F" w:rsidRPr="003B1DCD" w:rsidTr="003B1DCD">
        <w:tc>
          <w:tcPr>
            <w:tcW w:w="4068" w:type="dxa"/>
          </w:tcPr>
          <w:p w:rsidR="00111B6F" w:rsidRPr="003B1DCD" w:rsidRDefault="00111B6F" w:rsidP="003B1DCD">
            <w:pPr>
              <w:numPr>
                <w:ilvl w:val="0"/>
                <w:numId w:val="9"/>
              </w:numPr>
              <w:ind w:left="601" w:hanging="567"/>
              <w:rPr>
                <w:rFonts w:ascii="Arial" w:eastAsia="Calibri" w:hAnsi="Arial"/>
                <w:sz w:val="24"/>
                <w:szCs w:val="22"/>
                <w:lang w:val="en-CA"/>
              </w:rPr>
            </w:pPr>
            <w:r w:rsidRPr="003B1DCD">
              <w:rPr>
                <w:rFonts w:ascii="Arial" w:eastAsia="Calibri" w:hAnsi="Arial" w:cs="Arial"/>
                <w:sz w:val="24"/>
                <w:szCs w:val="24"/>
                <w:lang w:val="en-CA"/>
              </w:rPr>
              <w:t>Perform a clerical check</w:t>
            </w:r>
          </w:p>
        </w:tc>
        <w:tc>
          <w:tcPr>
            <w:tcW w:w="4863" w:type="dxa"/>
          </w:tcPr>
          <w:p w:rsidR="00111B6F" w:rsidRPr="003B1DCD" w:rsidRDefault="00111B6F" w:rsidP="003B1DCD">
            <w:pPr>
              <w:numPr>
                <w:ilvl w:val="0"/>
                <w:numId w:val="22"/>
              </w:numPr>
              <w:ind w:left="913" w:hanging="987"/>
              <w:rPr>
                <w:rFonts w:ascii="Arial" w:eastAsia="Calibri" w:hAnsi="Arial"/>
                <w:sz w:val="24"/>
                <w:szCs w:val="22"/>
                <w:lang w:val="en-CA"/>
              </w:rPr>
            </w:pPr>
            <w:r w:rsidRPr="003B1DCD">
              <w:rPr>
                <w:rFonts w:ascii="Arial" w:eastAsia="Calibri" w:hAnsi="Arial"/>
                <w:sz w:val="24"/>
                <w:szCs w:val="22"/>
                <w:lang w:val="en-CA"/>
              </w:rPr>
              <w:t>For each patient, check that:</w:t>
            </w:r>
          </w:p>
          <w:p w:rsidR="00111B6F" w:rsidRPr="003B1DCD" w:rsidRDefault="00111B6F" w:rsidP="003B1DCD">
            <w:pPr>
              <w:numPr>
                <w:ilvl w:val="0"/>
                <w:numId w:val="23"/>
              </w:numPr>
              <w:tabs>
                <w:tab w:val="clear" w:pos="360"/>
                <w:tab w:val="num" w:pos="1800"/>
              </w:tabs>
              <w:ind w:left="1800"/>
              <w:rPr>
                <w:rFonts w:ascii="Arial" w:eastAsia="Calibri" w:hAnsi="Arial"/>
                <w:sz w:val="24"/>
                <w:szCs w:val="22"/>
                <w:lang w:val="en-CA"/>
              </w:rPr>
            </w:pPr>
            <w:r w:rsidRPr="003B1DCD">
              <w:rPr>
                <w:rFonts w:ascii="Arial" w:eastAsia="Calibri" w:hAnsi="Arial"/>
                <w:sz w:val="24"/>
                <w:szCs w:val="22"/>
                <w:lang w:val="en-CA"/>
              </w:rPr>
              <w:t>The name and identification number(s) are identical on all specimens and on the request form</w:t>
            </w:r>
          </w:p>
          <w:p w:rsidR="00111B6F" w:rsidRPr="003B1DCD" w:rsidRDefault="00111B6F" w:rsidP="003B1DCD">
            <w:pPr>
              <w:numPr>
                <w:ilvl w:val="0"/>
                <w:numId w:val="23"/>
              </w:numPr>
              <w:tabs>
                <w:tab w:val="clear" w:pos="360"/>
                <w:tab w:val="num" w:pos="1800"/>
              </w:tabs>
              <w:ind w:left="1800"/>
              <w:rPr>
                <w:rFonts w:ascii="Arial" w:eastAsia="Calibri" w:hAnsi="Arial"/>
                <w:sz w:val="24"/>
                <w:szCs w:val="22"/>
                <w:lang w:val="en-CA"/>
              </w:rPr>
            </w:pPr>
            <w:r w:rsidRPr="003B1DCD">
              <w:rPr>
                <w:rFonts w:ascii="Arial" w:eastAsia="Calibri" w:hAnsi="Arial"/>
                <w:sz w:val="24"/>
                <w:szCs w:val="22"/>
                <w:lang w:val="en-CA"/>
              </w:rPr>
              <w:t xml:space="preserve">The donor unit numbers </w:t>
            </w:r>
            <w:r w:rsidRPr="003B1DCD">
              <w:rPr>
                <w:rFonts w:ascii="Arial" w:eastAsia="Calibri" w:hAnsi="Arial"/>
                <w:sz w:val="24"/>
                <w:szCs w:val="22"/>
                <w:lang w:val="en-CA"/>
              </w:rPr>
              <w:lastRenderedPageBreak/>
              <w:t>are identical on the test tubes and on the request form</w:t>
            </w:r>
          </w:p>
          <w:p w:rsidR="00111B6F" w:rsidRPr="003B1DCD" w:rsidRDefault="00111B6F" w:rsidP="003B1DCD">
            <w:pPr>
              <w:numPr>
                <w:ilvl w:val="0"/>
                <w:numId w:val="23"/>
              </w:numPr>
              <w:tabs>
                <w:tab w:val="clear" w:pos="360"/>
                <w:tab w:val="num" w:pos="1800"/>
              </w:tabs>
              <w:ind w:left="1800"/>
              <w:rPr>
                <w:rFonts w:ascii="Arial" w:eastAsia="Calibri" w:hAnsi="Arial"/>
                <w:sz w:val="24"/>
                <w:szCs w:val="22"/>
                <w:lang w:val="en-CA"/>
              </w:rPr>
            </w:pPr>
            <w:r w:rsidRPr="003B1DCD">
              <w:rPr>
                <w:rFonts w:ascii="Arial" w:eastAsia="Calibri" w:hAnsi="Arial"/>
                <w:sz w:val="24"/>
                <w:szCs w:val="22"/>
                <w:lang w:val="en-CA"/>
              </w:rPr>
              <w:t>All test results have been recorded</w:t>
            </w:r>
          </w:p>
          <w:p w:rsidR="00111B6F" w:rsidRPr="003B1DCD" w:rsidRDefault="00111B6F" w:rsidP="003B1DCD">
            <w:pPr>
              <w:numPr>
                <w:ilvl w:val="0"/>
                <w:numId w:val="22"/>
              </w:numPr>
              <w:ind w:hanging="785"/>
              <w:rPr>
                <w:rFonts w:ascii="Arial" w:eastAsia="Calibri" w:hAnsi="Arial" w:cs="Arial"/>
                <w:sz w:val="24"/>
                <w:szCs w:val="24"/>
                <w:lang w:val="en-CA"/>
              </w:rPr>
            </w:pPr>
            <w:r w:rsidRPr="003B1DCD">
              <w:rPr>
                <w:rFonts w:ascii="Arial" w:eastAsia="Calibri" w:hAnsi="Arial"/>
                <w:sz w:val="24"/>
                <w:szCs w:val="22"/>
                <w:lang w:val="en-CA"/>
              </w:rPr>
              <w:t>The test results have been reported and interpreted correctly</w:t>
            </w:r>
          </w:p>
        </w:tc>
      </w:tr>
      <w:tr w:rsidR="00111B6F" w:rsidRPr="003B1DCD" w:rsidTr="003B1DCD">
        <w:tc>
          <w:tcPr>
            <w:tcW w:w="4068" w:type="dxa"/>
          </w:tcPr>
          <w:p w:rsidR="00111B6F" w:rsidRPr="003B1DCD" w:rsidRDefault="00537934" w:rsidP="003B1DCD">
            <w:pPr>
              <w:numPr>
                <w:ilvl w:val="0"/>
                <w:numId w:val="9"/>
              </w:numPr>
              <w:ind w:left="601" w:hanging="567"/>
              <w:rPr>
                <w:rFonts w:ascii="Arial" w:eastAsia="Calibri" w:hAnsi="Arial" w:cs="Arial"/>
                <w:sz w:val="24"/>
                <w:szCs w:val="24"/>
                <w:lang w:val="en-CA"/>
              </w:rPr>
            </w:pPr>
            <w:r w:rsidRPr="003B1DCD">
              <w:rPr>
                <w:rFonts w:ascii="Arial" w:eastAsia="Calibri" w:hAnsi="Arial"/>
                <w:sz w:val="24"/>
                <w:szCs w:val="22"/>
              </w:rPr>
              <w:lastRenderedPageBreak/>
              <w:t>Complete paperwork</w:t>
            </w:r>
          </w:p>
        </w:tc>
        <w:tc>
          <w:tcPr>
            <w:tcW w:w="4863" w:type="dxa"/>
          </w:tcPr>
          <w:p w:rsidR="00111B6F" w:rsidRPr="003B1DCD" w:rsidRDefault="00537934" w:rsidP="003B1DCD">
            <w:pPr>
              <w:numPr>
                <w:ilvl w:val="0"/>
                <w:numId w:val="24"/>
              </w:numPr>
              <w:ind w:left="786" w:hanging="851"/>
              <w:rPr>
                <w:rFonts w:ascii="Arial" w:eastAsia="Calibri" w:hAnsi="Arial"/>
                <w:sz w:val="24"/>
                <w:szCs w:val="22"/>
                <w:lang w:val="en-CA"/>
              </w:rPr>
            </w:pPr>
            <w:r w:rsidRPr="003B1DCD">
              <w:rPr>
                <w:rFonts w:ascii="Arial" w:eastAsia="Calibri" w:hAnsi="Arial" w:cs="Arial"/>
                <w:sz w:val="24"/>
                <w:szCs w:val="24"/>
                <w:lang w:val="en-CA"/>
              </w:rPr>
              <w:t>Initial or sign and record the completion time and date on the request form or verify in the computer</w:t>
            </w:r>
          </w:p>
          <w:p w:rsidR="00393F6C" w:rsidRPr="003B1DCD" w:rsidRDefault="00393F6C" w:rsidP="003B1DCD">
            <w:pPr>
              <w:numPr>
                <w:ilvl w:val="0"/>
                <w:numId w:val="24"/>
              </w:numPr>
              <w:ind w:left="786" w:hanging="851"/>
              <w:rPr>
                <w:rFonts w:ascii="Arial" w:eastAsia="Calibri" w:hAnsi="Arial"/>
                <w:sz w:val="24"/>
                <w:szCs w:val="22"/>
                <w:lang w:val="en-CA"/>
              </w:rPr>
            </w:pPr>
            <w:r w:rsidRPr="003B1DCD">
              <w:rPr>
                <w:rFonts w:ascii="Arial" w:eastAsia="Calibri" w:hAnsi="Arial"/>
                <w:sz w:val="24"/>
                <w:szCs w:val="22"/>
                <w:lang w:val="en-CA"/>
              </w:rPr>
              <w:t>Verification of results must be recorded. See 7.0 Reporting</w:t>
            </w:r>
          </w:p>
        </w:tc>
      </w:tr>
    </w:tbl>
    <w:p w:rsidR="00B225C4" w:rsidRDefault="00B225C4" w:rsidP="00393F6C">
      <w:pPr>
        <w:rPr>
          <w:rFonts w:ascii="Arial" w:hAnsi="Arial"/>
          <w:sz w:val="24"/>
        </w:rPr>
      </w:pPr>
    </w:p>
    <w:p w:rsidR="00B225C4" w:rsidRDefault="00B225C4">
      <w:pPr>
        <w:numPr>
          <w:ilvl w:val="0"/>
          <w:numId w:val="1"/>
        </w:numPr>
        <w:rPr>
          <w:rFonts w:ascii="Arial" w:hAnsi="Arial"/>
          <w:b/>
          <w:sz w:val="28"/>
        </w:rPr>
      </w:pPr>
      <w:r>
        <w:rPr>
          <w:rFonts w:ascii="Arial" w:hAnsi="Arial"/>
          <w:b/>
          <w:sz w:val="28"/>
        </w:rPr>
        <w:t>Reporting</w:t>
      </w:r>
    </w:p>
    <w:p w:rsidR="00B225C4" w:rsidRDefault="00B225C4">
      <w:pPr>
        <w:rPr>
          <w:rFonts w:ascii="Arial" w:hAnsi="Arial"/>
          <w:sz w:val="24"/>
        </w:rPr>
      </w:pPr>
    </w:p>
    <w:p w:rsidR="00B225C4" w:rsidRDefault="00B225C4">
      <w:pPr>
        <w:numPr>
          <w:ilvl w:val="1"/>
          <w:numId w:val="1"/>
        </w:numPr>
        <w:rPr>
          <w:rFonts w:ascii="Arial" w:hAnsi="Arial"/>
          <w:sz w:val="24"/>
        </w:rPr>
      </w:pPr>
      <w:r>
        <w:rPr>
          <w:rFonts w:ascii="Arial" w:hAnsi="Arial"/>
          <w:sz w:val="24"/>
        </w:rPr>
        <w:t>No agglutination or hemolysis of red cells indicates that antibodies were not present or were undetected.  Report the antibody screen as negative.</w:t>
      </w:r>
    </w:p>
    <w:p w:rsidR="00B225C4" w:rsidRDefault="00B225C4">
      <w:pPr>
        <w:ind w:left="720"/>
        <w:rPr>
          <w:rFonts w:ascii="Arial" w:hAnsi="Arial"/>
          <w:sz w:val="24"/>
        </w:rPr>
      </w:pPr>
    </w:p>
    <w:p w:rsidR="00B225C4" w:rsidRDefault="00B225C4">
      <w:pPr>
        <w:numPr>
          <w:ilvl w:val="1"/>
          <w:numId w:val="1"/>
        </w:numPr>
        <w:rPr>
          <w:rFonts w:ascii="Arial" w:hAnsi="Arial"/>
          <w:sz w:val="24"/>
        </w:rPr>
      </w:pPr>
      <w:r>
        <w:rPr>
          <w:rFonts w:ascii="Arial" w:hAnsi="Arial"/>
          <w:sz w:val="24"/>
        </w:rPr>
        <w:t xml:space="preserve">Agglutination or hemolysis indicates the presence of immune antibodies.  Report the antibody screen as: Immune ______ (anti -A and/or -B) present. </w:t>
      </w:r>
    </w:p>
    <w:p w:rsidR="00B225C4" w:rsidRDefault="00B225C4">
      <w:pPr>
        <w:rPr>
          <w:rFonts w:ascii="Arial" w:hAnsi="Arial"/>
          <w:sz w:val="24"/>
        </w:rPr>
      </w:pPr>
    </w:p>
    <w:p w:rsidR="00B225C4" w:rsidRDefault="00B225C4">
      <w:pPr>
        <w:numPr>
          <w:ilvl w:val="1"/>
          <w:numId w:val="1"/>
        </w:numPr>
        <w:rPr>
          <w:rFonts w:ascii="Arial" w:hAnsi="Arial"/>
          <w:sz w:val="24"/>
        </w:rPr>
      </w:pPr>
      <w:r>
        <w:rPr>
          <w:rFonts w:ascii="Arial" w:hAnsi="Arial"/>
          <w:sz w:val="24"/>
        </w:rPr>
        <w:t>If the Group O cell is positive initiate an antibody investigation. See NRT.007 - Antibody Identification of Warm Reactive Antibodies</w:t>
      </w:r>
      <w:r w:rsidR="001833C1">
        <w:rPr>
          <w:rFonts w:ascii="Arial" w:hAnsi="Arial"/>
          <w:sz w:val="24"/>
        </w:rPr>
        <w:t>.</w:t>
      </w:r>
    </w:p>
    <w:p w:rsidR="00B225C4" w:rsidRDefault="00B225C4">
      <w:pPr>
        <w:ind w:left="720"/>
        <w:rPr>
          <w:rFonts w:ascii="Arial" w:hAnsi="Arial"/>
          <w:sz w:val="24"/>
        </w:rPr>
      </w:pPr>
    </w:p>
    <w:p w:rsidR="00B225C4" w:rsidRDefault="00B225C4">
      <w:pPr>
        <w:numPr>
          <w:ilvl w:val="0"/>
          <w:numId w:val="1"/>
        </w:numPr>
        <w:rPr>
          <w:rFonts w:ascii="Arial" w:hAnsi="Arial"/>
          <w:b/>
          <w:sz w:val="28"/>
        </w:rPr>
      </w:pPr>
      <w:r>
        <w:rPr>
          <w:rFonts w:ascii="Arial" w:hAnsi="Arial"/>
          <w:b/>
          <w:sz w:val="28"/>
        </w:rPr>
        <w:t>Procedural Notes</w:t>
      </w:r>
    </w:p>
    <w:p w:rsidR="00B225C4" w:rsidRDefault="00B225C4">
      <w:pPr>
        <w:rPr>
          <w:rFonts w:ascii="Arial" w:hAnsi="Arial"/>
          <w:sz w:val="24"/>
        </w:rPr>
      </w:pPr>
    </w:p>
    <w:p w:rsidR="00B225C4" w:rsidRDefault="00B225C4">
      <w:pPr>
        <w:numPr>
          <w:ilvl w:val="1"/>
          <w:numId w:val="1"/>
        </w:numPr>
        <w:rPr>
          <w:rFonts w:ascii="Arial" w:hAnsi="Arial"/>
          <w:sz w:val="24"/>
        </w:rPr>
      </w:pPr>
      <w:r>
        <w:rPr>
          <w:rFonts w:ascii="Arial" w:hAnsi="Arial"/>
          <w:sz w:val="24"/>
        </w:rPr>
        <w:t>Label a test tube with the first th</w:t>
      </w:r>
      <w:r w:rsidR="001833C1">
        <w:rPr>
          <w:rFonts w:ascii="Arial" w:hAnsi="Arial"/>
          <w:sz w:val="24"/>
        </w:rPr>
        <w:t>ree letters of the patient’s family</w:t>
      </w:r>
      <w:r>
        <w:rPr>
          <w:rFonts w:ascii="Arial" w:hAnsi="Arial"/>
          <w:sz w:val="24"/>
        </w:rPr>
        <w:t xml:space="preserve"> name; </w:t>
      </w:r>
      <w:r w:rsidRPr="001833C1">
        <w:rPr>
          <w:rFonts w:ascii="Arial" w:hAnsi="Arial"/>
          <w:sz w:val="24"/>
        </w:rPr>
        <w:t>transcribe this from the specimen tube, not</w:t>
      </w:r>
      <w:r>
        <w:rPr>
          <w:rFonts w:ascii="Arial" w:hAnsi="Arial"/>
          <w:sz w:val="24"/>
        </w:rPr>
        <w:t xml:space="preserve"> from the request form.  </w:t>
      </w:r>
      <w:r w:rsidR="001833C1">
        <w:rPr>
          <w:rFonts w:ascii="Arial" w:hAnsi="Arial"/>
          <w:sz w:val="24"/>
        </w:rPr>
        <w:t>A pre-printed label may be used.</w:t>
      </w:r>
    </w:p>
    <w:p w:rsidR="00B225C4" w:rsidRDefault="00B225C4">
      <w:pPr>
        <w:rPr>
          <w:rFonts w:ascii="Arial" w:hAnsi="Arial"/>
          <w:sz w:val="24"/>
        </w:rPr>
      </w:pPr>
    </w:p>
    <w:p w:rsidR="00B225C4" w:rsidRDefault="00B225C4">
      <w:pPr>
        <w:numPr>
          <w:ilvl w:val="1"/>
          <w:numId w:val="1"/>
        </w:numPr>
        <w:rPr>
          <w:rFonts w:ascii="Arial" w:hAnsi="Arial"/>
          <w:sz w:val="24"/>
        </w:rPr>
      </w:pPr>
      <w:r>
        <w:rPr>
          <w:rFonts w:ascii="Arial" w:hAnsi="Arial"/>
          <w:sz w:val="24"/>
        </w:rPr>
        <w:t xml:space="preserve">Hold the pipette or dropper </w:t>
      </w:r>
      <w:r w:rsidRPr="001833C1">
        <w:rPr>
          <w:rFonts w:ascii="Arial" w:hAnsi="Arial"/>
          <w:sz w:val="24"/>
        </w:rPr>
        <w:t xml:space="preserve">vertically </w:t>
      </w:r>
      <w:r>
        <w:rPr>
          <w:rFonts w:ascii="Arial" w:hAnsi="Arial"/>
          <w:sz w:val="24"/>
        </w:rPr>
        <w:t>when dispensing the plasma or reagents.</w:t>
      </w:r>
    </w:p>
    <w:p w:rsidR="00B225C4" w:rsidRDefault="00B225C4">
      <w:pPr>
        <w:ind w:left="720"/>
        <w:rPr>
          <w:rFonts w:ascii="Arial" w:hAnsi="Arial"/>
          <w:sz w:val="24"/>
        </w:rPr>
      </w:pPr>
    </w:p>
    <w:p w:rsidR="00B225C4" w:rsidRDefault="00B225C4">
      <w:pPr>
        <w:numPr>
          <w:ilvl w:val="1"/>
          <w:numId w:val="1"/>
        </w:numPr>
        <w:rPr>
          <w:rFonts w:ascii="Arial" w:hAnsi="Arial"/>
          <w:sz w:val="24"/>
        </w:rPr>
      </w:pPr>
      <w:r>
        <w:rPr>
          <w:rFonts w:ascii="Arial" w:hAnsi="Arial"/>
          <w:sz w:val="24"/>
        </w:rPr>
        <w:t>Tests should be read immediately after centrifugation.  Delay may cause bound IgG to dissociate from red cells and either leave too little IgG to detect or neutralize AHG reagent causing false negative results.</w:t>
      </w:r>
      <w:r w:rsidR="007417B5">
        <w:rPr>
          <w:rFonts w:ascii="Arial" w:hAnsi="Arial"/>
          <w:sz w:val="24"/>
          <w:vertAlign w:val="superscript"/>
        </w:rPr>
        <w:t xml:space="preserve">9.2 </w:t>
      </w:r>
    </w:p>
    <w:p w:rsidR="007417B5" w:rsidRDefault="007417B5" w:rsidP="00D37944">
      <w:pPr>
        <w:pStyle w:val="ListParagraph"/>
        <w:rPr>
          <w:rFonts w:ascii="Arial" w:hAnsi="Arial"/>
          <w:sz w:val="24"/>
        </w:rPr>
      </w:pPr>
    </w:p>
    <w:p w:rsidR="007417B5" w:rsidRDefault="007417B5">
      <w:pPr>
        <w:numPr>
          <w:ilvl w:val="1"/>
          <w:numId w:val="1"/>
        </w:numPr>
        <w:rPr>
          <w:rFonts w:ascii="Arial" w:hAnsi="Arial"/>
          <w:sz w:val="24"/>
        </w:rPr>
      </w:pPr>
      <w:r>
        <w:rPr>
          <w:rFonts w:ascii="Arial" w:hAnsi="Arial"/>
          <w:sz w:val="24"/>
        </w:rPr>
        <w:t xml:space="preserve">The incubation times and the volume and </w:t>
      </w:r>
      <w:r w:rsidR="00BD6D9E">
        <w:rPr>
          <w:rFonts w:ascii="Arial" w:hAnsi="Arial"/>
          <w:sz w:val="24"/>
        </w:rPr>
        <w:t>concentration of</w:t>
      </w:r>
      <w:r>
        <w:rPr>
          <w:rFonts w:ascii="Arial" w:hAnsi="Arial"/>
          <w:sz w:val="24"/>
        </w:rPr>
        <w:t xml:space="preserve"> red cells indicated are those given in the literature.  Individual laboratories may choose to standardize with somewhat different values.  Sensitivity can be increased by increasing </w:t>
      </w:r>
      <w:r w:rsidR="00BD6D9E">
        <w:rPr>
          <w:rFonts w:ascii="Arial" w:hAnsi="Arial"/>
          <w:sz w:val="24"/>
        </w:rPr>
        <w:t>ratio</w:t>
      </w:r>
      <w:r>
        <w:rPr>
          <w:rFonts w:ascii="Arial" w:hAnsi="Arial"/>
          <w:sz w:val="24"/>
        </w:rPr>
        <w:t xml:space="preserve">, decreasing the red </w:t>
      </w:r>
      <w:r>
        <w:rPr>
          <w:rFonts w:ascii="Arial" w:hAnsi="Arial"/>
          <w:sz w:val="24"/>
        </w:rPr>
        <w:lastRenderedPageBreak/>
        <w:t>cell concentration from 5% to between 2% and 3% or by adding 4 drops serum/plasma to 1 drop of a standard red cell suspension.</w:t>
      </w:r>
      <w:r>
        <w:rPr>
          <w:rFonts w:ascii="Arial" w:hAnsi="Arial"/>
          <w:sz w:val="24"/>
          <w:vertAlign w:val="superscript"/>
        </w:rPr>
        <w:t>9.2</w:t>
      </w:r>
    </w:p>
    <w:p w:rsidR="00B225C4" w:rsidRDefault="00B225C4">
      <w:pPr>
        <w:rPr>
          <w:rFonts w:ascii="Arial" w:hAnsi="Arial"/>
          <w:sz w:val="24"/>
        </w:rPr>
      </w:pPr>
    </w:p>
    <w:p w:rsidR="00B225C4" w:rsidRDefault="00B225C4">
      <w:pPr>
        <w:numPr>
          <w:ilvl w:val="0"/>
          <w:numId w:val="1"/>
        </w:numPr>
        <w:rPr>
          <w:rFonts w:ascii="Arial" w:hAnsi="Arial"/>
          <w:b/>
          <w:sz w:val="28"/>
        </w:rPr>
      </w:pPr>
      <w:r>
        <w:rPr>
          <w:rFonts w:ascii="Arial" w:hAnsi="Arial"/>
          <w:b/>
          <w:sz w:val="28"/>
        </w:rPr>
        <w:t xml:space="preserve">References </w:t>
      </w:r>
    </w:p>
    <w:p w:rsidR="00B225C4" w:rsidRDefault="00B225C4">
      <w:pPr>
        <w:rPr>
          <w:rFonts w:ascii="Arial" w:hAnsi="Arial"/>
          <w:sz w:val="24"/>
        </w:rPr>
      </w:pPr>
    </w:p>
    <w:p w:rsidR="00B225C4" w:rsidRDefault="001833C1">
      <w:pPr>
        <w:numPr>
          <w:ilvl w:val="1"/>
          <w:numId w:val="1"/>
        </w:numPr>
        <w:rPr>
          <w:rFonts w:ascii="Arial" w:hAnsi="Arial"/>
          <w:sz w:val="24"/>
        </w:rPr>
      </w:pPr>
      <w:r>
        <w:rPr>
          <w:rFonts w:ascii="Arial" w:hAnsi="Arial"/>
          <w:sz w:val="24"/>
        </w:rPr>
        <w:t>Standards for Hospita</w:t>
      </w:r>
      <w:r w:rsidR="00CC5FF3">
        <w:rPr>
          <w:rFonts w:ascii="Arial" w:hAnsi="Arial"/>
          <w:sz w:val="24"/>
        </w:rPr>
        <w:t>l Transfusion Services Version 3</w:t>
      </w:r>
      <w:r>
        <w:rPr>
          <w:rFonts w:ascii="Arial" w:hAnsi="Arial"/>
          <w:sz w:val="24"/>
        </w:rPr>
        <w:t xml:space="preserve"> – </w:t>
      </w:r>
      <w:r w:rsidR="00CC5FF3">
        <w:rPr>
          <w:rFonts w:ascii="Arial" w:hAnsi="Arial"/>
          <w:sz w:val="24"/>
        </w:rPr>
        <w:t>February 2011</w:t>
      </w:r>
      <w:r>
        <w:rPr>
          <w:rFonts w:ascii="Arial" w:hAnsi="Arial"/>
          <w:sz w:val="24"/>
        </w:rPr>
        <w:t>. Canadian Society for Transfusion Medicine, 5.3.5.3, 5.3.5.4, 5.9.2.4</w:t>
      </w:r>
      <w:r w:rsidR="00B225C4">
        <w:rPr>
          <w:rFonts w:ascii="Arial" w:hAnsi="Arial"/>
          <w:sz w:val="24"/>
        </w:rPr>
        <w:t>.</w:t>
      </w:r>
    </w:p>
    <w:p w:rsidR="009A19E7" w:rsidRDefault="009A19E7" w:rsidP="009A19E7">
      <w:pPr>
        <w:ind w:left="1440"/>
        <w:rPr>
          <w:rFonts w:ascii="Arial" w:hAnsi="Arial"/>
          <w:sz w:val="24"/>
        </w:rPr>
      </w:pPr>
    </w:p>
    <w:p w:rsidR="00CC5FF3" w:rsidRDefault="00CC5FF3">
      <w:pPr>
        <w:numPr>
          <w:ilvl w:val="1"/>
          <w:numId w:val="1"/>
        </w:numPr>
        <w:rPr>
          <w:rFonts w:ascii="Arial" w:hAnsi="Arial"/>
          <w:sz w:val="24"/>
        </w:rPr>
      </w:pPr>
      <w:proofErr w:type="spellStart"/>
      <w:r>
        <w:rPr>
          <w:rFonts w:ascii="Arial" w:hAnsi="Arial"/>
          <w:sz w:val="24"/>
        </w:rPr>
        <w:t>Roback</w:t>
      </w:r>
      <w:proofErr w:type="spellEnd"/>
      <w:r>
        <w:rPr>
          <w:rFonts w:ascii="Arial" w:hAnsi="Arial"/>
          <w:sz w:val="24"/>
        </w:rPr>
        <w:t xml:space="preserve"> JD </w:t>
      </w:r>
      <w:proofErr w:type="spellStart"/>
      <w:r>
        <w:rPr>
          <w:rFonts w:ascii="Arial" w:hAnsi="Arial"/>
          <w:sz w:val="24"/>
        </w:rPr>
        <w:t>ed</w:t>
      </w:r>
      <w:proofErr w:type="spellEnd"/>
      <w:r>
        <w:rPr>
          <w:rFonts w:ascii="Arial" w:hAnsi="Arial"/>
          <w:sz w:val="24"/>
        </w:rPr>
        <w:t xml:space="preserve"> AABB Technical Manual 17</w:t>
      </w:r>
      <w:r w:rsidRPr="00D37944">
        <w:rPr>
          <w:rFonts w:ascii="Arial" w:hAnsi="Arial"/>
          <w:sz w:val="24"/>
          <w:vertAlign w:val="superscript"/>
        </w:rPr>
        <w:t>th</w:t>
      </w:r>
      <w:r>
        <w:rPr>
          <w:rFonts w:ascii="Arial" w:hAnsi="Arial"/>
          <w:sz w:val="24"/>
        </w:rPr>
        <w:t xml:space="preserve"> ed. Bethesda MD; AABB; 2011: 443-446.</w:t>
      </w:r>
    </w:p>
    <w:p w:rsidR="001D6B32" w:rsidRDefault="001D6B32" w:rsidP="00D37944">
      <w:pPr>
        <w:ind w:left="720"/>
        <w:rPr>
          <w:rFonts w:ascii="Arial" w:hAnsi="Arial"/>
          <w:b/>
          <w:sz w:val="28"/>
          <w:szCs w:val="28"/>
        </w:rPr>
      </w:pPr>
    </w:p>
    <w:p w:rsidR="001D6B32" w:rsidRDefault="001D6B32" w:rsidP="00D37944">
      <w:pPr>
        <w:numPr>
          <w:ilvl w:val="0"/>
          <w:numId w:val="1"/>
        </w:numPr>
        <w:rPr>
          <w:rFonts w:ascii="Arial" w:hAnsi="Arial"/>
          <w:b/>
          <w:sz w:val="28"/>
          <w:szCs w:val="28"/>
        </w:rPr>
      </w:pPr>
      <w:r w:rsidRPr="00D37944">
        <w:rPr>
          <w:rFonts w:ascii="Arial" w:hAnsi="Arial"/>
          <w:b/>
          <w:sz w:val="28"/>
          <w:szCs w:val="28"/>
        </w:rPr>
        <w:t>Revision History</w:t>
      </w:r>
    </w:p>
    <w:p w:rsidR="001D6B32" w:rsidRDefault="001D6B32" w:rsidP="00D37944">
      <w:pPr>
        <w:ind w:left="720"/>
        <w:rPr>
          <w:rFonts w:ascii="Arial" w:hAnsi="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D6B32" w:rsidRPr="00795FF8" w:rsidTr="00A75E69">
        <w:tc>
          <w:tcPr>
            <w:tcW w:w="4428" w:type="dxa"/>
            <w:shd w:val="clear" w:color="auto" w:fill="D9D9D9"/>
          </w:tcPr>
          <w:p w:rsidR="001D6B32" w:rsidRPr="00B0635D" w:rsidRDefault="001D6B32" w:rsidP="00795FF8">
            <w:pPr>
              <w:jc w:val="center"/>
              <w:rPr>
                <w:rFonts w:ascii="Arial" w:hAnsi="Arial"/>
                <w:b/>
                <w:sz w:val="22"/>
                <w:szCs w:val="22"/>
              </w:rPr>
            </w:pPr>
            <w:r w:rsidRPr="00795FF8">
              <w:rPr>
                <w:rFonts w:ascii="Arial" w:hAnsi="Arial"/>
                <w:b/>
                <w:sz w:val="22"/>
                <w:szCs w:val="22"/>
              </w:rPr>
              <w:t>Revision Date</w:t>
            </w:r>
          </w:p>
        </w:tc>
        <w:tc>
          <w:tcPr>
            <w:tcW w:w="4428" w:type="dxa"/>
            <w:shd w:val="clear" w:color="auto" w:fill="D9D9D9"/>
          </w:tcPr>
          <w:p w:rsidR="001D6B32" w:rsidRPr="00D37944" w:rsidRDefault="001D6B32" w:rsidP="00795FF8">
            <w:pPr>
              <w:jc w:val="center"/>
              <w:rPr>
                <w:rFonts w:ascii="Arial" w:hAnsi="Arial"/>
                <w:b/>
                <w:sz w:val="22"/>
                <w:szCs w:val="22"/>
              </w:rPr>
            </w:pPr>
            <w:r w:rsidRPr="00D37944">
              <w:rPr>
                <w:rFonts w:ascii="Arial" w:hAnsi="Arial"/>
                <w:b/>
                <w:sz w:val="22"/>
                <w:szCs w:val="22"/>
              </w:rPr>
              <w:t>Summary of Revision</w:t>
            </w:r>
          </w:p>
        </w:tc>
      </w:tr>
      <w:tr w:rsidR="001D6B32" w:rsidRPr="00795FF8" w:rsidTr="00795FF8">
        <w:tc>
          <w:tcPr>
            <w:tcW w:w="4428" w:type="dxa"/>
            <w:shd w:val="clear" w:color="auto" w:fill="auto"/>
          </w:tcPr>
          <w:p w:rsidR="001D6B32" w:rsidRPr="00B0635D" w:rsidRDefault="001D6B32" w:rsidP="001D6B32">
            <w:pPr>
              <w:rPr>
                <w:rFonts w:ascii="Arial" w:hAnsi="Arial"/>
                <w:sz w:val="22"/>
                <w:szCs w:val="22"/>
              </w:rPr>
            </w:pPr>
            <w:r w:rsidRPr="00795FF8">
              <w:rPr>
                <w:rFonts w:ascii="Arial" w:hAnsi="Arial"/>
                <w:sz w:val="22"/>
                <w:szCs w:val="22"/>
              </w:rPr>
              <w:t>Jan</w:t>
            </w:r>
            <w:r w:rsidR="009A19E7">
              <w:rPr>
                <w:rFonts w:ascii="Arial" w:hAnsi="Arial"/>
                <w:sz w:val="22"/>
                <w:szCs w:val="22"/>
              </w:rPr>
              <w:t>uary</w:t>
            </w:r>
            <w:r w:rsidRPr="00795FF8">
              <w:rPr>
                <w:rFonts w:ascii="Arial" w:hAnsi="Arial"/>
                <w:sz w:val="22"/>
                <w:szCs w:val="22"/>
              </w:rPr>
              <w:t xml:space="preserve"> 31, 2014</w:t>
            </w:r>
          </w:p>
        </w:tc>
        <w:tc>
          <w:tcPr>
            <w:tcW w:w="4428" w:type="dxa"/>
            <w:shd w:val="clear" w:color="auto" w:fill="auto"/>
          </w:tcPr>
          <w:p w:rsidR="001D6B32" w:rsidRPr="00795FF8" w:rsidRDefault="001D6B32" w:rsidP="00795FF8">
            <w:pPr>
              <w:numPr>
                <w:ilvl w:val="0"/>
                <w:numId w:val="5"/>
              </w:numPr>
              <w:rPr>
                <w:rFonts w:ascii="Arial" w:hAnsi="Arial"/>
                <w:sz w:val="22"/>
                <w:szCs w:val="22"/>
              </w:rPr>
            </w:pPr>
            <w:r w:rsidRPr="00795FF8">
              <w:rPr>
                <w:rFonts w:ascii="Arial" w:hAnsi="Arial"/>
                <w:sz w:val="22"/>
                <w:szCs w:val="22"/>
              </w:rPr>
              <w:t>Revised name of manual</w:t>
            </w:r>
          </w:p>
          <w:p w:rsidR="001D6B32" w:rsidRPr="00795FF8" w:rsidRDefault="001D6B32" w:rsidP="00795FF8">
            <w:pPr>
              <w:numPr>
                <w:ilvl w:val="0"/>
                <w:numId w:val="5"/>
              </w:numPr>
              <w:rPr>
                <w:rFonts w:ascii="Arial" w:hAnsi="Arial"/>
                <w:sz w:val="22"/>
                <w:szCs w:val="22"/>
              </w:rPr>
            </w:pPr>
            <w:r w:rsidRPr="00795FF8">
              <w:rPr>
                <w:rFonts w:ascii="Arial" w:hAnsi="Arial"/>
                <w:sz w:val="22"/>
                <w:szCs w:val="22"/>
              </w:rPr>
              <w:t>Changed document number from RT 008 to RT 014</w:t>
            </w:r>
          </w:p>
          <w:p w:rsidR="001D6B32" w:rsidRPr="00795FF8" w:rsidRDefault="001D6B32" w:rsidP="00795FF8">
            <w:pPr>
              <w:numPr>
                <w:ilvl w:val="0"/>
                <w:numId w:val="5"/>
              </w:numPr>
              <w:rPr>
                <w:rFonts w:ascii="Arial" w:hAnsi="Arial"/>
                <w:sz w:val="22"/>
                <w:szCs w:val="22"/>
              </w:rPr>
            </w:pPr>
            <w:r w:rsidRPr="00795FF8">
              <w:rPr>
                <w:rFonts w:ascii="Arial" w:hAnsi="Arial"/>
                <w:sz w:val="22"/>
                <w:szCs w:val="22"/>
              </w:rPr>
              <w:t>Revised wording in principle to specify “the presence of passively acquired” antibodies</w:t>
            </w:r>
          </w:p>
          <w:p w:rsidR="001D6B32" w:rsidRPr="00795FF8" w:rsidRDefault="001D6B32" w:rsidP="00795FF8">
            <w:pPr>
              <w:numPr>
                <w:ilvl w:val="0"/>
                <w:numId w:val="5"/>
              </w:numPr>
              <w:rPr>
                <w:rFonts w:ascii="Arial" w:hAnsi="Arial"/>
                <w:sz w:val="22"/>
                <w:szCs w:val="22"/>
              </w:rPr>
            </w:pPr>
            <w:r w:rsidRPr="00795FF8">
              <w:rPr>
                <w:rFonts w:ascii="Arial" w:hAnsi="Arial"/>
                <w:sz w:val="22"/>
                <w:szCs w:val="22"/>
              </w:rPr>
              <w:t xml:space="preserve">Added </w:t>
            </w:r>
            <w:r w:rsidR="001F01DC" w:rsidRPr="00795FF8">
              <w:rPr>
                <w:rFonts w:ascii="Arial" w:hAnsi="Arial"/>
                <w:sz w:val="22"/>
                <w:szCs w:val="22"/>
              </w:rPr>
              <w:t>section 2.3.4 regarding tests for the presence of passive anti-A and/or anti-B</w:t>
            </w:r>
          </w:p>
          <w:p w:rsidR="001F01DC" w:rsidRPr="00795FF8" w:rsidRDefault="001F01DC" w:rsidP="00795FF8">
            <w:pPr>
              <w:numPr>
                <w:ilvl w:val="0"/>
                <w:numId w:val="5"/>
              </w:numPr>
              <w:rPr>
                <w:rFonts w:ascii="Arial" w:hAnsi="Arial"/>
                <w:sz w:val="22"/>
                <w:szCs w:val="22"/>
              </w:rPr>
            </w:pPr>
            <w:r w:rsidRPr="00795FF8">
              <w:rPr>
                <w:rFonts w:ascii="Arial" w:hAnsi="Arial"/>
                <w:sz w:val="22"/>
                <w:szCs w:val="22"/>
              </w:rPr>
              <w:t>Added reference to “</w:t>
            </w:r>
            <w:r w:rsidRPr="00B0635D">
              <w:rPr>
                <w:rFonts w:ascii="Arial" w:hAnsi="Arial"/>
                <w:i/>
                <w:sz w:val="22"/>
                <w:szCs w:val="22"/>
              </w:rPr>
              <w:t>Procedural Notes</w:t>
            </w:r>
            <w:r w:rsidRPr="00795FF8">
              <w:rPr>
                <w:rFonts w:ascii="Arial" w:hAnsi="Arial"/>
                <w:sz w:val="22"/>
                <w:szCs w:val="22"/>
              </w:rPr>
              <w:t xml:space="preserve"> 8.4” in section 6.7</w:t>
            </w:r>
          </w:p>
          <w:p w:rsidR="001F01DC" w:rsidRPr="00795FF8" w:rsidRDefault="001F01DC" w:rsidP="00795FF8">
            <w:pPr>
              <w:numPr>
                <w:ilvl w:val="0"/>
                <w:numId w:val="5"/>
              </w:numPr>
              <w:rPr>
                <w:rFonts w:ascii="Arial" w:hAnsi="Arial"/>
                <w:sz w:val="22"/>
                <w:szCs w:val="22"/>
              </w:rPr>
            </w:pPr>
            <w:r w:rsidRPr="00795FF8">
              <w:rPr>
                <w:rFonts w:ascii="Arial" w:hAnsi="Arial"/>
                <w:sz w:val="22"/>
                <w:szCs w:val="22"/>
              </w:rPr>
              <w:t>Changed reference in 6.12.3, 6.12.5, 6.12.6.5 from PA 006 to RT 001.</w:t>
            </w:r>
          </w:p>
          <w:p w:rsidR="001F01DC" w:rsidRPr="00795FF8" w:rsidRDefault="001F01DC" w:rsidP="00795FF8">
            <w:pPr>
              <w:numPr>
                <w:ilvl w:val="0"/>
                <w:numId w:val="5"/>
              </w:numPr>
              <w:rPr>
                <w:rFonts w:ascii="Arial" w:hAnsi="Arial"/>
                <w:sz w:val="22"/>
                <w:szCs w:val="22"/>
              </w:rPr>
            </w:pPr>
            <w:r w:rsidRPr="00795FF8">
              <w:rPr>
                <w:rFonts w:ascii="Arial" w:hAnsi="Arial"/>
                <w:sz w:val="22"/>
                <w:szCs w:val="22"/>
              </w:rPr>
              <w:t>Changed reference in 6.12.6.1 from PA 005 to RT 002</w:t>
            </w:r>
          </w:p>
          <w:p w:rsidR="001F01DC" w:rsidRPr="00795FF8" w:rsidRDefault="001F01DC" w:rsidP="00795FF8">
            <w:pPr>
              <w:numPr>
                <w:ilvl w:val="0"/>
                <w:numId w:val="5"/>
              </w:numPr>
              <w:rPr>
                <w:rFonts w:ascii="Arial" w:hAnsi="Arial"/>
                <w:sz w:val="22"/>
                <w:szCs w:val="22"/>
              </w:rPr>
            </w:pPr>
            <w:r w:rsidRPr="00795FF8">
              <w:rPr>
                <w:rFonts w:ascii="Arial" w:hAnsi="Arial"/>
                <w:sz w:val="22"/>
                <w:szCs w:val="22"/>
              </w:rPr>
              <w:t xml:space="preserve">Renumbered 8.0 </w:t>
            </w:r>
            <w:r w:rsidRPr="00B0635D">
              <w:rPr>
                <w:rFonts w:ascii="Arial" w:hAnsi="Arial"/>
                <w:i/>
                <w:sz w:val="22"/>
                <w:szCs w:val="22"/>
              </w:rPr>
              <w:t>Procedural Notes</w:t>
            </w:r>
          </w:p>
          <w:p w:rsidR="001F01DC" w:rsidRPr="00B0635D" w:rsidRDefault="001F01DC" w:rsidP="00795FF8">
            <w:pPr>
              <w:numPr>
                <w:ilvl w:val="0"/>
                <w:numId w:val="5"/>
              </w:numPr>
              <w:rPr>
                <w:rFonts w:ascii="Arial" w:hAnsi="Arial"/>
                <w:sz w:val="22"/>
                <w:szCs w:val="22"/>
              </w:rPr>
            </w:pPr>
            <w:r w:rsidRPr="00795FF8">
              <w:rPr>
                <w:rFonts w:ascii="Arial" w:hAnsi="Arial"/>
                <w:sz w:val="22"/>
                <w:szCs w:val="22"/>
              </w:rPr>
              <w:t>Updated references to include the most recent editions/versions</w:t>
            </w:r>
          </w:p>
        </w:tc>
      </w:tr>
    </w:tbl>
    <w:p w:rsidR="00B225C4" w:rsidRDefault="00B225C4">
      <w:pPr>
        <w:ind w:left="720"/>
        <w:rPr>
          <w:rFonts w:ascii="Arial" w:hAnsi="Arial"/>
          <w:sz w:val="24"/>
        </w:rPr>
      </w:pPr>
    </w:p>
    <w:sectPr w:rsidR="00B225C4">
      <w:headerReference w:type="default" r:id="rId9"/>
      <w:footerReference w:type="default" r:id="rId10"/>
      <w:headerReference w:type="first" r:id="rId11"/>
      <w:footerReference w:type="first" r:id="rId12"/>
      <w:pgSz w:w="12240" w:h="15840" w:code="1"/>
      <w:pgMar w:top="1166" w:right="1800" w:bottom="245" w:left="1800" w:header="720" w:footer="6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73" w:rsidRDefault="00925673">
      <w:r>
        <w:separator/>
      </w:r>
    </w:p>
  </w:endnote>
  <w:endnote w:type="continuationSeparator" w:id="0">
    <w:p w:rsidR="00925673" w:rsidRDefault="0092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393F6C">
      <w:trPr>
        <w:trHeight w:val="720"/>
      </w:trPr>
      <w:tc>
        <w:tcPr>
          <w:tcW w:w="1368" w:type="dxa"/>
        </w:tcPr>
        <w:p w:rsidR="00393F6C" w:rsidRDefault="00393F6C">
          <w:pPr>
            <w:pStyle w:val="Footer"/>
            <w:jc w:val="center"/>
            <w:rPr>
              <w:sz w:val="8"/>
            </w:rPr>
          </w:pPr>
        </w:p>
        <w:p w:rsidR="00393F6C" w:rsidRDefault="00BF35EA">
          <w:pPr>
            <w:pStyle w:val="Footer"/>
            <w:jc w:val="center"/>
            <w:rPr>
              <w:rFonts w:ascii="Verdana" w:hAnsi="Verdana"/>
              <w:sz w:val="8"/>
            </w:rPr>
          </w:pPr>
          <w:r>
            <w:rPr>
              <w:noProof/>
            </w:rPr>
            <w:drawing>
              <wp:inline distT="0" distB="0" distL="0" distR="0">
                <wp:extent cx="723900" cy="295275"/>
                <wp:effectExtent l="19050" t="0" r="0" b="0"/>
                <wp:docPr id="2" name="Picture 2" descr="New Logo 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ORBCoN"/>
                        <pic:cNvPicPr>
                          <a:picLocks noChangeAspect="1" noChangeArrowheads="1"/>
                        </pic:cNvPicPr>
                      </pic:nvPicPr>
                      <pic:blipFill>
                        <a:blip r:embed="rId1"/>
                        <a:srcRect/>
                        <a:stretch>
                          <a:fillRect/>
                        </a:stretch>
                      </pic:blipFill>
                      <pic:spPr bwMode="auto">
                        <a:xfrm>
                          <a:off x="0" y="0"/>
                          <a:ext cx="723900" cy="295275"/>
                        </a:xfrm>
                        <a:prstGeom prst="rect">
                          <a:avLst/>
                        </a:prstGeom>
                        <a:noFill/>
                        <a:ln w="9525">
                          <a:noFill/>
                          <a:miter lim="800000"/>
                          <a:headEnd/>
                          <a:tailEnd/>
                        </a:ln>
                      </pic:spPr>
                    </pic:pic>
                  </a:graphicData>
                </a:graphic>
              </wp:inline>
            </w:drawing>
          </w:r>
        </w:p>
      </w:tc>
      <w:tc>
        <w:tcPr>
          <w:tcW w:w="5976" w:type="dxa"/>
        </w:tcPr>
        <w:p w:rsidR="00393F6C" w:rsidRDefault="00393F6C">
          <w:pPr>
            <w:pStyle w:val="Footer"/>
            <w:jc w:val="center"/>
            <w:rPr>
              <w:rFonts w:ascii="Arial" w:hAnsi="Arial"/>
              <w:sz w:val="18"/>
            </w:rPr>
          </w:pPr>
        </w:p>
        <w:p w:rsidR="00393F6C" w:rsidRDefault="00393F6C">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393F6C" w:rsidRDefault="00393F6C">
          <w:pPr>
            <w:pStyle w:val="Footer"/>
            <w:jc w:val="center"/>
            <w:rPr>
              <w:rFonts w:ascii="Arial" w:hAnsi="Arial"/>
              <w:sz w:val="18"/>
            </w:rPr>
          </w:pPr>
          <w:r>
            <w:rPr>
              <w:rFonts w:ascii="Arial" w:hAnsi="Arial"/>
              <w:sz w:val="18"/>
            </w:rPr>
            <w:t>Transfusion Technical Resource  Manual</w:t>
          </w:r>
        </w:p>
        <w:p w:rsidR="00393F6C" w:rsidRDefault="00393F6C">
          <w:pPr>
            <w:pStyle w:val="Footer"/>
            <w:jc w:val="center"/>
            <w:rPr>
              <w:rFonts w:ascii="Arial" w:hAnsi="Arial"/>
              <w:sz w:val="18"/>
            </w:rPr>
          </w:pPr>
        </w:p>
      </w:tc>
      <w:tc>
        <w:tcPr>
          <w:tcW w:w="1494" w:type="dxa"/>
        </w:tcPr>
        <w:p w:rsidR="00393F6C" w:rsidRDefault="00393F6C">
          <w:pPr>
            <w:pStyle w:val="Footer"/>
            <w:jc w:val="right"/>
            <w:rPr>
              <w:rFonts w:ascii="Arial" w:hAnsi="Arial"/>
              <w:sz w:val="18"/>
            </w:rPr>
          </w:pPr>
        </w:p>
        <w:p w:rsidR="00393F6C" w:rsidRDefault="00393F6C">
          <w:pPr>
            <w:pStyle w:val="Footer"/>
            <w:jc w:val="right"/>
            <w:rPr>
              <w:rFonts w:ascii="Arial" w:hAnsi="Arial"/>
              <w:sz w:val="18"/>
            </w:rPr>
          </w:pPr>
          <w:r>
            <w:rPr>
              <w:rFonts w:ascii="Arial" w:hAnsi="Arial"/>
              <w:sz w:val="18"/>
            </w:rPr>
            <w:t>RT.014</w:t>
          </w:r>
          <w:r>
            <w:rPr>
              <w:rFonts w:ascii="Arial" w:hAnsi="Arial"/>
              <w:sz w:val="18"/>
            </w:rPr>
            <w:br/>
          </w:r>
        </w:p>
        <w:p w:rsidR="00393F6C" w:rsidRDefault="00393F6C">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54305D">
            <w:rPr>
              <w:rFonts w:ascii="Arial" w:hAnsi="Arial"/>
              <w:noProof/>
              <w:snapToGrid w:val="0"/>
              <w:sz w:val="18"/>
            </w:rPr>
            <w:t>6</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54305D">
            <w:rPr>
              <w:rFonts w:ascii="Arial" w:hAnsi="Arial"/>
              <w:noProof/>
              <w:snapToGrid w:val="0"/>
              <w:sz w:val="18"/>
            </w:rPr>
            <w:t>6</w:t>
          </w:r>
          <w:r>
            <w:rPr>
              <w:rFonts w:ascii="Arial" w:hAnsi="Arial"/>
              <w:snapToGrid w:val="0"/>
              <w:sz w:val="18"/>
            </w:rPr>
            <w:fldChar w:fldCharType="end"/>
          </w:r>
        </w:p>
      </w:tc>
    </w:tr>
  </w:tbl>
  <w:p w:rsidR="00393F6C" w:rsidRDefault="00393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393F6C">
      <w:trPr>
        <w:trHeight w:val="720"/>
      </w:trPr>
      <w:tc>
        <w:tcPr>
          <w:tcW w:w="1368" w:type="dxa"/>
        </w:tcPr>
        <w:p w:rsidR="00393F6C" w:rsidRDefault="00393F6C">
          <w:pPr>
            <w:pStyle w:val="Footer"/>
            <w:jc w:val="center"/>
            <w:rPr>
              <w:rFonts w:ascii="Verdana" w:hAnsi="Verdana"/>
              <w:sz w:val="8"/>
            </w:rPr>
          </w:pPr>
        </w:p>
        <w:p w:rsidR="00393F6C" w:rsidRDefault="00BF35EA">
          <w:pPr>
            <w:pStyle w:val="Footer"/>
            <w:jc w:val="center"/>
            <w:rPr>
              <w:rFonts w:ascii="Verdana" w:hAnsi="Verdana"/>
              <w:sz w:val="8"/>
            </w:rPr>
          </w:pPr>
          <w:r>
            <w:rPr>
              <w:noProof/>
            </w:rPr>
            <w:drawing>
              <wp:inline distT="0" distB="0" distL="0" distR="0">
                <wp:extent cx="723900" cy="295275"/>
                <wp:effectExtent l="19050" t="0" r="0" b="0"/>
                <wp:docPr id="3" name="Picture 3" descr="New Logo 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ORBCoN"/>
                        <pic:cNvPicPr>
                          <a:picLocks noChangeAspect="1" noChangeArrowheads="1"/>
                        </pic:cNvPicPr>
                      </pic:nvPicPr>
                      <pic:blipFill>
                        <a:blip r:embed="rId1"/>
                        <a:srcRect/>
                        <a:stretch>
                          <a:fillRect/>
                        </a:stretch>
                      </pic:blipFill>
                      <pic:spPr bwMode="auto">
                        <a:xfrm>
                          <a:off x="0" y="0"/>
                          <a:ext cx="723900" cy="295275"/>
                        </a:xfrm>
                        <a:prstGeom prst="rect">
                          <a:avLst/>
                        </a:prstGeom>
                        <a:noFill/>
                        <a:ln w="9525">
                          <a:noFill/>
                          <a:miter lim="800000"/>
                          <a:headEnd/>
                          <a:tailEnd/>
                        </a:ln>
                      </pic:spPr>
                    </pic:pic>
                  </a:graphicData>
                </a:graphic>
              </wp:inline>
            </w:drawing>
          </w:r>
        </w:p>
      </w:tc>
      <w:tc>
        <w:tcPr>
          <w:tcW w:w="5976" w:type="dxa"/>
        </w:tcPr>
        <w:p w:rsidR="00393F6C" w:rsidRDefault="00393F6C">
          <w:pPr>
            <w:pStyle w:val="Footer"/>
            <w:jc w:val="center"/>
            <w:rPr>
              <w:rFonts w:ascii="Arial" w:hAnsi="Arial"/>
              <w:sz w:val="18"/>
            </w:rPr>
          </w:pPr>
        </w:p>
        <w:p w:rsidR="00393F6C" w:rsidRDefault="00393F6C">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393F6C" w:rsidRDefault="00393F6C" w:rsidP="00D37944">
          <w:pPr>
            <w:pStyle w:val="Footer"/>
            <w:rPr>
              <w:rFonts w:ascii="Arial" w:hAnsi="Arial"/>
              <w:sz w:val="18"/>
            </w:rPr>
          </w:pPr>
          <w:r>
            <w:rPr>
              <w:rFonts w:ascii="Arial" w:hAnsi="Arial"/>
              <w:sz w:val="18"/>
            </w:rPr>
            <w:t>Transfusion Technical Resource  Manual</w:t>
          </w:r>
        </w:p>
        <w:p w:rsidR="00393F6C" w:rsidRDefault="00393F6C">
          <w:pPr>
            <w:pStyle w:val="Footer"/>
            <w:jc w:val="center"/>
            <w:rPr>
              <w:rFonts w:ascii="Arial" w:hAnsi="Arial"/>
              <w:sz w:val="18"/>
            </w:rPr>
          </w:pPr>
        </w:p>
      </w:tc>
      <w:tc>
        <w:tcPr>
          <w:tcW w:w="1494" w:type="dxa"/>
        </w:tcPr>
        <w:p w:rsidR="00393F6C" w:rsidRDefault="00393F6C">
          <w:pPr>
            <w:pStyle w:val="Footer"/>
            <w:jc w:val="right"/>
            <w:rPr>
              <w:rFonts w:ascii="Arial" w:hAnsi="Arial"/>
              <w:sz w:val="18"/>
            </w:rPr>
          </w:pPr>
        </w:p>
        <w:p w:rsidR="00393F6C" w:rsidRDefault="00393F6C">
          <w:pPr>
            <w:pStyle w:val="Footer"/>
            <w:jc w:val="right"/>
            <w:rPr>
              <w:rFonts w:ascii="Arial" w:hAnsi="Arial"/>
              <w:sz w:val="18"/>
            </w:rPr>
          </w:pPr>
          <w:r>
            <w:rPr>
              <w:rFonts w:ascii="Arial" w:hAnsi="Arial"/>
              <w:sz w:val="18"/>
            </w:rPr>
            <w:t>RT.014</w:t>
          </w:r>
          <w:r>
            <w:rPr>
              <w:rFonts w:ascii="Arial" w:hAnsi="Arial"/>
              <w:sz w:val="18"/>
            </w:rPr>
            <w:br/>
          </w:r>
        </w:p>
        <w:p w:rsidR="00393F6C" w:rsidRDefault="00393F6C">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54305D">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54305D">
            <w:rPr>
              <w:rFonts w:ascii="Arial" w:hAnsi="Arial"/>
              <w:noProof/>
              <w:snapToGrid w:val="0"/>
              <w:sz w:val="18"/>
            </w:rPr>
            <w:t>3</w:t>
          </w:r>
          <w:r>
            <w:rPr>
              <w:rFonts w:ascii="Arial" w:hAnsi="Arial"/>
              <w:snapToGrid w:val="0"/>
              <w:sz w:val="18"/>
            </w:rPr>
            <w:fldChar w:fldCharType="end"/>
          </w:r>
        </w:p>
      </w:tc>
    </w:tr>
  </w:tbl>
  <w:p w:rsidR="00393F6C" w:rsidRDefault="00393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73" w:rsidRDefault="00925673">
      <w:r>
        <w:separator/>
      </w:r>
    </w:p>
  </w:footnote>
  <w:footnote w:type="continuationSeparator" w:id="0">
    <w:p w:rsidR="00925673" w:rsidRDefault="00925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6C" w:rsidRDefault="00393F6C">
    <w:pPr>
      <w:pStyle w:val="Header"/>
      <w:jc w:val="center"/>
      <w:rPr>
        <w:rFonts w:ascii="Arial" w:hAnsi="Arial"/>
        <w:sz w:val="24"/>
      </w:rPr>
    </w:pPr>
    <w:r>
      <w:rPr>
        <w:rFonts w:ascii="Arial" w:hAnsi="Arial"/>
        <w:b/>
        <w:sz w:val="28"/>
      </w:rPr>
      <w:t>Antibody Test – Immune Anti-A and/or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6C" w:rsidRDefault="00BF35EA">
    <w:pPr>
      <w:pStyle w:val="Header"/>
      <w:tabs>
        <w:tab w:val="clear" w:pos="8640"/>
        <w:tab w:val="left" w:pos="5280"/>
      </w:tabs>
      <w:rPr>
        <w:rFonts w:ascii="Arial" w:hAnsi="Arial" w:cs="Arial"/>
        <w:b/>
        <w:bCs/>
        <w:sz w:val="22"/>
      </w:rPr>
    </w:pPr>
    <w:r>
      <w:rPr>
        <w:noProof/>
      </w:rPr>
      <w:drawing>
        <wp:inline distT="0" distB="0" distL="0" distR="0">
          <wp:extent cx="1314450" cy="533400"/>
          <wp:effectExtent l="19050" t="0" r="0" b="0"/>
          <wp:docPr id="1" name="Picture 1"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
                  <pic:cNvPicPr>
                    <a:picLocks noChangeAspect="1" noChangeArrowheads="1"/>
                  </pic:cNvPicPr>
                </pic:nvPicPr>
                <pic:blipFill>
                  <a:blip r:embed="rId1"/>
                  <a:srcRect/>
                  <a:stretch>
                    <a:fillRect/>
                  </a:stretch>
                </pic:blipFill>
                <pic:spPr bwMode="auto">
                  <a:xfrm>
                    <a:off x="0" y="0"/>
                    <a:ext cx="1314450" cy="533400"/>
                  </a:xfrm>
                  <a:prstGeom prst="rect">
                    <a:avLst/>
                  </a:prstGeom>
                  <a:noFill/>
                  <a:ln w="9525">
                    <a:noFill/>
                    <a:miter lim="800000"/>
                    <a:headEnd/>
                    <a:tailEnd/>
                  </a:ln>
                </pic:spPr>
              </pic:pic>
            </a:graphicData>
          </a:graphic>
        </wp:inline>
      </w:drawing>
    </w:r>
  </w:p>
  <w:p w:rsidR="00393F6C" w:rsidRDefault="00393F6C">
    <w:pPr>
      <w:pStyle w:val="Header"/>
      <w:jc w:val="center"/>
      <w:rPr>
        <w:rFonts w:ascii="Arial" w:hAnsi="Arial" w:cs="Arial"/>
        <w:b/>
        <w:bCs/>
        <w:sz w:val="22"/>
      </w:rPr>
    </w:pPr>
    <w:r>
      <w:rPr>
        <w:rFonts w:ascii="Arial" w:hAnsi="Arial" w:cs="Arial"/>
        <w:b/>
        <w:bCs/>
        <w:sz w:val="22"/>
      </w:rPr>
      <w:t xml:space="preserve">Ontario Regional Blood Coordinating Network </w:t>
    </w:r>
  </w:p>
  <w:p w:rsidR="00393F6C" w:rsidRDefault="00393F6C">
    <w:pPr>
      <w:pStyle w:val="Header"/>
      <w:jc w:val="center"/>
      <w:rPr>
        <w:rFonts w:ascii="Arial" w:hAnsi="Arial" w:cs="Arial"/>
        <w:b/>
        <w:bCs/>
        <w:sz w:val="22"/>
      </w:rPr>
    </w:pPr>
    <w:r>
      <w:rPr>
        <w:rFonts w:ascii="Arial" w:hAnsi="Arial" w:cs="Arial"/>
        <w:b/>
        <w:bCs/>
        <w:sz w:val="22"/>
      </w:rPr>
      <w:t>Transfusion Technical Resource Manual</w:t>
    </w:r>
  </w:p>
  <w:p w:rsidR="00393F6C" w:rsidRDefault="00393F6C">
    <w:pPr>
      <w:pStyle w:val="Header"/>
      <w:jc w:val="center"/>
      <w:rPr>
        <w:rFonts w:ascii="Arial" w:hAnsi="Arial" w:cs="Arial"/>
        <w:b/>
        <w:bCs/>
        <w:sz w:val="22"/>
      </w:rPr>
    </w:pPr>
  </w:p>
  <w:p w:rsidR="00393F6C" w:rsidRDefault="00393F6C">
    <w:pPr>
      <w:pStyle w:val="Header"/>
      <w:jc w:val="center"/>
      <w:rPr>
        <w:rFonts w:ascii="Arial" w:hAnsi="Arial"/>
        <w:b/>
        <w:sz w:val="28"/>
      </w:rPr>
    </w:pPr>
    <w:r>
      <w:rPr>
        <w:rFonts w:ascii="Arial" w:hAnsi="Arial"/>
        <w:b/>
        <w:sz w:val="28"/>
      </w:rPr>
      <w:t>Antibody Test – Immune Anti-A and/or –B</w:t>
    </w:r>
  </w:p>
  <w:p w:rsidR="00393F6C" w:rsidRDefault="00393F6C">
    <w:pPr>
      <w:pStyle w:val="Header"/>
      <w:jc w:val="center"/>
      <w:rPr>
        <w:rFonts w:ascii="Arial" w:hAnsi="Arial"/>
        <w:b/>
        <w:sz w:val="28"/>
      </w:rPr>
    </w:pPr>
  </w:p>
  <w:p w:rsidR="00393F6C" w:rsidRDefault="00393F6C">
    <w:pPr>
      <w:pStyle w:val="Header"/>
      <w:jc w:val="center"/>
      <w:rPr>
        <w:rFonts w:ascii="Arial" w:hAnsi="Arial" w:cs="Arial"/>
        <w:b/>
        <w:bCs/>
      </w:rPr>
    </w:pPr>
    <w:r>
      <w:rPr>
        <w:rFonts w:ascii="Arial" w:hAnsi="Arial" w:cs="Arial"/>
        <w:b/>
        <w:bCs/>
      </w:rPr>
      <w:tab/>
    </w:r>
    <w:r w:rsidR="00BD6D9E">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13335" t="11430" r="5715"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428"/>
      <w:gridCol w:w="4428"/>
    </w:tblGrid>
    <w:tr w:rsidR="00393F6C">
      <w:tc>
        <w:tcPr>
          <w:tcW w:w="4428" w:type="dxa"/>
        </w:tcPr>
        <w:p w:rsidR="00393F6C" w:rsidRDefault="00393F6C">
          <w:pPr>
            <w:pStyle w:val="Header"/>
            <w:rPr>
              <w:rFonts w:ascii="Arial" w:hAnsi="Arial" w:cs="Arial"/>
            </w:rPr>
          </w:pPr>
          <w:r>
            <w:rPr>
              <w:rFonts w:ascii="Arial" w:hAnsi="Arial" w:cs="Arial"/>
            </w:rPr>
            <w:t xml:space="preserve">Approved By:  </w:t>
          </w:r>
        </w:p>
      </w:tc>
      <w:tc>
        <w:tcPr>
          <w:tcW w:w="4428" w:type="dxa"/>
        </w:tcPr>
        <w:p w:rsidR="00393F6C" w:rsidRDefault="00393F6C">
          <w:pPr>
            <w:pStyle w:val="Header"/>
            <w:rPr>
              <w:rFonts w:ascii="Arial" w:hAnsi="Arial" w:cs="Arial"/>
            </w:rPr>
          </w:pPr>
          <w:r>
            <w:rPr>
              <w:rFonts w:ascii="Arial" w:hAnsi="Arial" w:cs="Arial"/>
            </w:rPr>
            <w:t>Document No: RT.014</w:t>
          </w:r>
        </w:p>
      </w:tc>
    </w:tr>
    <w:tr w:rsidR="00393F6C">
      <w:tc>
        <w:tcPr>
          <w:tcW w:w="4428" w:type="dxa"/>
        </w:tcPr>
        <w:p w:rsidR="00393F6C" w:rsidRDefault="00393F6C">
          <w:pPr>
            <w:pStyle w:val="Header"/>
            <w:rPr>
              <w:rFonts w:ascii="Arial" w:hAnsi="Arial" w:cs="Arial"/>
            </w:rPr>
          </w:pPr>
          <w:r>
            <w:rPr>
              <w:rFonts w:ascii="Arial" w:hAnsi="Arial" w:cs="Arial"/>
            </w:rPr>
            <w:t>Date Issued:  2004/04/05</w:t>
          </w:r>
        </w:p>
      </w:tc>
      <w:tc>
        <w:tcPr>
          <w:tcW w:w="4428" w:type="dxa"/>
        </w:tcPr>
        <w:p w:rsidR="00393F6C" w:rsidRDefault="00393F6C">
          <w:pPr>
            <w:pStyle w:val="Header"/>
            <w:rPr>
              <w:rFonts w:ascii="Arial" w:hAnsi="Arial" w:cs="Arial"/>
            </w:rPr>
          </w:pPr>
          <w:r>
            <w:rPr>
              <w:rFonts w:ascii="Arial" w:hAnsi="Arial" w:cs="Arial"/>
            </w:rPr>
            <w:t>Category:  Routine Testing</w:t>
          </w:r>
        </w:p>
      </w:tc>
    </w:tr>
    <w:tr w:rsidR="00393F6C">
      <w:tc>
        <w:tcPr>
          <w:tcW w:w="4428" w:type="dxa"/>
        </w:tcPr>
        <w:p w:rsidR="00393F6C" w:rsidRDefault="00393F6C">
          <w:pPr>
            <w:pStyle w:val="Header"/>
            <w:rPr>
              <w:rFonts w:ascii="Arial" w:hAnsi="Arial" w:cs="Arial"/>
            </w:rPr>
          </w:pPr>
          <w:r>
            <w:rPr>
              <w:rFonts w:ascii="Arial" w:hAnsi="Arial" w:cs="Arial"/>
            </w:rPr>
            <w:t>Date Revised:  2009/09/01; 2014/01/31</w:t>
          </w:r>
        </w:p>
      </w:tc>
      <w:tc>
        <w:tcPr>
          <w:tcW w:w="4428" w:type="dxa"/>
        </w:tcPr>
        <w:p w:rsidR="00393F6C" w:rsidRDefault="00393F6C">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4305D">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4305D">
            <w:rPr>
              <w:rFonts w:ascii="Arial" w:hAnsi="Arial" w:cs="Arial"/>
              <w:noProof/>
            </w:rPr>
            <w:t>3</w:t>
          </w:r>
          <w:r>
            <w:rPr>
              <w:rFonts w:ascii="Arial" w:hAnsi="Arial" w:cs="Arial"/>
            </w:rPr>
            <w:fldChar w:fldCharType="end"/>
          </w:r>
        </w:p>
      </w:tc>
    </w:tr>
  </w:tbl>
  <w:p w:rsidR="00393F6C" w:rsidRDefault="00BD6D9E">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13335" t="8255" r="571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393F6C">
      <w:rPr>
        <w:rFonts w:ascii="Arial" w:hAnsi="Arial" w:cs="Arial"/>
      </w:rPr>
      <w:tab/>
    </w:r>
    <w:r w:rsidR="00393F6C">
      <w:rPr>
        <w:rFonts w:ascii="Arial" w:hAnsi="Arial" w:cs="Arial"/>
      </w:rPr>
      <w:tab/>
    </w:r>
  </w:p>
  <w:p w:rsidR="00393F6C" w:rsidRDefault="00393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165"/>
    <w:multiLevelType w:val="hybridMultilevel"/>
    <w:tmpl w:val="2526A1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5F65B08"/>
    <w:multiLevelType w:val="hybridMultilevel"/>
    <w:tmpl w:val="FD94D914"/>
    <w:lvl w:ilvl="0" w:tplc="10090001">
      <w:start w:val="1"/>
      <w:numFmt w:val="bullet"/>
      <w:lvlText w:val=""/>
      <w:lvlJc w:val="left"/>
      <w:pPr>
        <w:ind w:left="1380" w:hanging="360"/>
      </w:pPr>
      <w:rPr>
        <w:rFonts w:ascii="Symbol" w:hAnsi="Symbol" w:hint="default"/>
      </w:rPr>
    </w:lvl>
    <w:lvl w:ilvl="1" w:tplc="10090003" w:tentative="1">
      <w:start w:val="1"/>
      <w:numFmt w:val="bullet"/>
      <w:lvlText w:val="o"/>
      <w:lvlJc w:val="left"/>
      <w:pPr>
        <w:ind w:left="2100" w:hanging="360"/>
      </w:pPr>
      <w:rPr>
        <w:rFonts w:ascii="Courier New" w:hAnsi="Courier New" w:cs="Courier New" w:hint="default"/>
      </w:rPr>
    </w:lvl>
    <w:lvl w:ilvl="2" w:tplc="10090005" w:tentative="1">
      <w:start w:val="1"/>
      <w:numFmt w:val="bullet"/>
      <w:lvlText w:val=""/>
      <w:lvlJc w:val="left"/>
      <w:pPr>
        <w:ind w:left="2820" w:hanging="360"/>
      </w:pPr>
      <w:rPr>
        <w:rFonts w:ascii="Wingdings" w:hAnsi="Wingdings" w:hint="default"/>
      </w:rPr>
    </w:lvl>
    <w:lvl w:ilvl="3" w:tplc="10090001" w:tentative="1">
      <w:start w:val="1"/>
      <w:numFmt w:val="bullet"/>
      <w:lvlText w:val=""/>
      <w:lvlJc w:val="left"/>
      <w:pPr>
        <w:ind w:left="3540" w:hanging="360"/>
      </w:pPr>
      <w:rPr>
        <w:rFonts w:ascii="Symbol" w:hAnsi="Symbol" w:hint="default"/>
      </w:rPr>
    </w:lvl>
    <w:lvl w:ilvl="4" w:tplc="10090003" w:tentative="1">
      <w:start w:val="1"/>
      <w:numFmt w:val="bullet"/>
      <w:lvlText w:val="o"/>
      <w:lvlJc w:val="left"/>
      <w:pPr>
        <w:ind w:left="4260" w:hanging="360"/>
      </w:pPr>
      <w:rPr>
        <w:rFonts w:ascii="Courier New" w:hAnsi="Courier New" w:cs="Courier New" w:hint="default"/>
      </w:rPr>
    </w:lvl>
    <w:lvl w:ilvl="5" w:tplc="10090005" w:tentative="1">
      <w:start w:val="1"/>
      <w:numFmt w:val="bullet"/>
      <w:lvlText w:val=""/>
      <w:lvlJc w:val="left"/>
      <w:pPr>
        <w:ind w:left="4980" w:hanging="360"/>
      </w:pPr>
      <w:rPr>
        <w:rFonts w:ascii="Wingdings" w:hAnsi="Wingdings" w:hint="default"/>
      </w:rPr>
    </w:lvl>
    <w:lvl w:ilvl="6" w:tplc="10090001" w:tentative="1">
      <w:start w:val="1"/>
      <w:numFmt w:val="bullet"/>
      <w:lvlText w:val=""/>
      <w:lvlJc w:val="left"/>
      <w:pPr>
        <w:ind w:left="5700" w:hanging="360"/>
      </w:pPr>
      <w:rPr>
        <w:rFonts w:ascii="Symbol" w:hAnsi="Symbol" w:hint="default"/>
      </w:rPr>
    </w:lvl>
    <w:lvl w:ilvl="7" w:tplc="10090003" w:tentative="1">
      <w:start w:val="1"/>
      <w:numFmt w:val="bullet"/>
      <w:lvlText w:val="o"/>
      <w:lvlJc w:val="left"/>
      <w:pPr>
        <w:ind w:left="6420" w:hanging="360"/>
      </w:pPr>
      <w:rPr>
        <w:rFonts w:ascii="Courier New" w:hAnsi="Courier New" w:cs="Courier New" w:hint="default"/>
      </w:rPr>
    </w:lvl>
    <w:lvl w:ilvl="8" w:tplc="10090005" w:tentative="1">
      <w:start w:val="1"/>
      <w:numFmt w:val="bullet"/>
      <w:lvlText w:val=""/>
      <w:lvlJc w:val="left"/>
      <w:pPr>
        <w:ind w:left="7140" w:hanging="360"/>
      </w:pPr>
      <w:rPr>
        <w:rFonts w:ascii="Wingdings" w:hAnsi="Wingdings" w:hint="default"/>
      </w:rPr>
    </w:lvl>
  </w:abstractNum>
  <w:abstractNum w:abstractNumId="2">
    <w:nsid w:val="067B484A"/>
    <w:multiLevelType w:val="hybridMultilevel"/>
    <w:tmpl w:val="DFF42098"/>
    <w:lvl w:ilvl="0" w:tplc="5C5CC9B6">
      <w:start w:val="1"/>
      <w:numFmt w:val="decimal"/>
      <w:lvlText w:val="6.7.%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947DD"/>
    <w:multiLevelType w:val="hybridMultilevel"/>
    <w:tmpl w:val="9176EED0"/>
    <w:lvl w:ilvl="0" w:tplc="A0568388">
      <w:start w:val="1"/>
      <w:numFmt w:val="decimal"/>
      <w:lvlText w:val="6.1.%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A2C1F"/>
    <w:multiLevelType w:val="hybridMultilevel"/>
    <w:tmpl w:val="C1EE4DE6"/>
    <w:lvl w:ilvl="0" w:tplc="504257E8">
      <w:start w:val="1"/>
      <w:numFmt w:val="decimal"/>
      <w:lvlText w:val="6.1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95085"/>
    <w:multiLevelType w:val="multilevel"/>
    <w:tmpl w:val="9AF08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4D10F1D"/>
    <w:multiLevelType w:val="hybridMultilevel"/>
    <w:tmpl w:val="EFAE9B7C"/>
    <w:lvl w:ilvl="0" w:tplc="83DE66A2">
      <w:start w:val="1"/>
      <w:numFmt w:val="decimal"/>
      <w:lvlText w:val="6.2.%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168D6"/>
    <w:multiLevelType w:val="hybridMultilevel"/>
    <w:tmpl w:val="8EC831EA"/>
    <w:lvl w:ilvl="0" w:tplc="5A3AB80E">
      <w:start w:val="1"/>
      <w:numFmt w:val="decimal"/>
      <w:lvlText w:val="6.8.%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F7828"/>
    <w:multiLevelType w:val="hybridMultilevel"/>
    <w:tmpl w:val="558657B0"/>
    <w:lvl w:ilvl="0" w:tplc="6406C65E">
      <w:start w:val="1"/>
      <w:numFmt w:val="decimal"/>
      <w:lvlText w:val="6.%1."/>
      <w:lvlJc w:val="left"/>
      <w:pPr>
        <w:ind w:left="1440" w:hanging="360"/>
      </w:pPr>
      <w:rPr>
        <w:rFonts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752FD4"/>
    <w:multiLevelType w:val="hybridMultilevel"/>
    <w:tmpl w:val="0BE0F180"/>
    <w:lvl w:ilvl="0" w:tplc="7E5C07F2">
      <w:start w:val="1"/>
      <w:numFmt w:val="decimal"/>
      <w:lvlText w:val="6.9.%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6244C"/>
    <w:multiLevelType w:val="hybridMultilevel"/>
    <w:tmpl w:val="0A3AA2B6"/>
    <w:lvl w:ilvl="0" w:tplc="F702AE66">
      <w:start w:val="1"/>
      <w:numFmt w:val="decimal"/>
      <w:lvlText w:val="6.9.%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83669"/>
    <w:multiLevelType w:val="hybridMultilevel"/>
    <w:tmpl w:val="71123E6C"/>
    <w:lvl w:ilvl="0" w:tplc="205CC08C">
      <w:start w:val="1"/>
      <w:numFmt w:val="decimal"/>
      <w:lvlText w:val="6.4.%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3765B"/>
    <w:multiLevelType w:val="hybridMultilevel"/>
    <w:tmpl w:val="C5780FD2"/>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3">
    <w:nsid w:val="3BD233A3"/>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4">
    <w:nsid w:val="3CCD4F16"/>
    <w:multiLevelType w:val="singleLevel"/>
    <w:tmpl w:val="0409000F"/>
    <w:lvl w:ilvl="0">
      <w:start w:val="1"/>
      <w:numFmt w:val="decimal"/>
      <w:lvlText w:val="%1."/>
      <w:lvlJc w:val="left"/>
      <w:pPr>
        <w:tabs>
          <w:tab w:val="num" w:pos="360"/>
        </w:tabs>
        <w:ind w:left="360" w:hanging="360"/>
      </w:pPr>
    </w:lvl>
  </w:abstractNum>
  <w:abstractNum w:abstractNumId="15">
    <w:nsid w:val="3D494FE5"/>
    <w:multiLevelType w:val="hybridMultilevel"/>
    <w:tmpl w:val="9CDE92C0"/>
    <w:lvl w:ilvl="0" w:tplc="CC92A572">
      <w:start w:val="1"/>
      <w:numFmt w:val="decimal"/>
      <w:lvlText w:val="6.5.%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F6347F"/>
    <w:multiLevelType w:val="hybridMultilevel"/>
    <w:tmpl w:val="40B2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094755"/>
    <w:multiLevelType w:val="hybridMultilevel"/>
    <w:tmpl w:val="00DE89A0"/>
    <w:lvl w:ilvl="0" w:tplc="25442954">
      <w:start w:val="1"/>
      <w:numFmt w:val="decimal"/>
      <w:lvlText w:val="6.7.%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A3BE0"/>
    <w:multiLevelType w:val="hybridMultilevel"/>
    <w:tmpl w:val="76563FDC"/>
    <w:lvl w:ilvl="0" w:tplc="0E6C8C58">
      <w:start w:val="1"/>
      <w:numFmt w:val="decimal"/>
      <w:lvlText w:val="6.6.%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A62AB"/>
    <w:multiLevelType w:val="multilevel"/>
    <w:tmpl w:val="250A4410"/>
    <w:lvl w:ilvl="0">
      <w:start w:val="6"/>
      <w:numFmt w:val="decimal"/>
      <w:lvlText w:val="%1.1"/>
      <w:lvlJc w:val="left"/>
      <w:pPr>
        <w:ind w:left="360" w:hanging="360"/>
      </w:pPr>
      <w:rPr>
        <w:rFonts w:ascii="Arial" w:hAnsi="Arial" w:hint="default"/>
      </w:rPr>
    </w:lvl>
    <w:lvl w:ilvl="1">
      <w:start w:val="1"/>
      <w:numFmt w:val="decimal"/>
      <w:lvlText w:val="%1.%2"/>
      <w:lvlJc w:val="left"/>
      <w:pPr>
        <w:tabs>
          <w:tab w:val="num" w:pos="720"/>
        </w:tabs>
        <w:ind w:left="720" w:hanging="72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398072E"/>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1">
    <w:nsid w:val="6AC97E87"/>
    <w:multiLevelType w:val="hybridMultilevel"/>
    <w:tmpl w:val="CE6A4E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1B151E5"/>
    <w:multiLevelType w:val="hybridMultilevel"/>
    <w:tmpl w:val="D01A0018"/>
    <w:lvl w:ilvl="0" w:tplc="64ACABE4">
      <w:start w:val="1"/>
      <w:numFmt w:val="decimal"/>
      <w:lvlText w:val="6.3.%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EE743C"/>
    <w:multiLevelType w:val="multilevel"/>
    <w:tmpl w:val="EFDEB1D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BB775A3"/>
    <w:multiLevelType w:val="hybridMultilevel"/>
    <w:tmpl w:val="ADD43D4A"/>
    <w:lvl w:ilvl="0" w:tplc="C2AA92C2">
      <w:start w:val="1"/>
      <w:numFmt w:val="decimal"/>
      <w:lvlText w:val="6.1.%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4"/>
  </w:num>
  <w:num w:numId="4">
    <w:abstractNumId w:val="5"/>
  </w:num>
  <w:num w:numId="5">
    <w:abstractNumId w:val="21"/>
  </w:num>
  <w:num w:numId="6">
    <w:abstractNumId w:val="19"/>
  </w:num>
  <w:num w:numId="7">
    <w:abstractNumId w:val="0"/>
  </w:num>
  <w:num w:numId="8">
    <w:abstractNumId w:val="16"/>
  </w:num>
  <w:num w:numId="9">
    <w:abstractNumId w:val="8"/>
  </w:num>
  <w:num w:numId="10">
    <w:abstractNumId w:val="24"/>
  </w:num>
  <w:num w:numId="11">
    <w:abstractNumId w:val="3"/>
  </w:num>
  <w:num w:numId="12">
    <w:abstractNumId w:val="6"/>
  </w:num>
  <w:num w:numId="13">
    <w:abstractNumId w:val="22"/>
  </w:num>
  <w:num w:numId="14">
    <w:abstractNumId w:val="11"/>
  </w:num>
  <w:num w:numId="15">
    <w:abstractNumId w:val="15"/>
  </w:num>
  <w:num w:numId="16">
    <w:abstractNumId w:val="18"/>
  </w:num>
  <w:num w:numId="17">
    <w:abstractNumId w:val="2"/>
  </w:num>
  <w:num w:numId="18">
    <w:abstractNumId w:val="12"/>
  </w:num>
  <w:num w:numId="19">
    <w:abstractNumId w:val="17"/>
  </w:num>
  <w:num w:numId="20">
    <w:abstractNumId w:val="7"/>
  </w:num>
  <w:num w:numId="21">
    <w:abstractNumId w:val="1"/>
  </w:num>
  <w:num w:numId="22">
    <w:abstractNumId w:val="9"/>
  </w:num>
  <w:num w:numId="23">
    <w:abstractNumId w:val="20"/>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C4"/>
    <w:rsid w:val="00111B6F"/>
    <w:rsid w:val="001833C1"/>
    <w:rsid w:val="001D6B32"/>
    <w:rsid w:val="001F01DC"/>
    <w:rsid w:val="002D5EC1"/>
    <w:rsid w:val="00393F6C"/>
    <w:rsid w:val="003B1DCD"/>
    <w:rsid w:val="004D2E48"/>
    <w:rsid w:val="00537934"/>
    <w:rsid w:val="0054305D"/>
    <w:rsid w:val="00656977"/>
    <w:rsid w:val="006B59DE"/>
    <w:rsid w:val="007417B5"/>
    <w:rsid w:val="00795FF8"/>
    <w:rsid w:val="0084397A"/>
    <w:rsid w:val="0091178D"/>
    <w:rsid w:val="00925673"/>
    <w:rsid w:val="009A19E7"/>
    <w:rsid w:val="00A2056C"/>
    <w:rsid w:val="00A75E69"/>
    <w:rsid w:val="00B0635D"/>
    <w:rsid w:val="00B225C4"/>
    <w:rsid w:val="00B34779"/>
    <w:rsid w:val="00BC0CAF"/>
    <w:rsid w:val="00BD6D9E"/>
    <w:rsid w:val="00BF35EA"/>
    <w:rsid w:val="00C63F1A"/>
    <w:rsid w:val="00CC5FF3"/>
    <w:rsid w:val="00D3682A"/>
    <w:rsid w:val="00D37944"/>
    <w:rsid w:val="00EC7782"/>
    <w:rsid w:val="00F37EFE"/>
    <w:rsid w:val="00F6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link w:val="BalloonTextChar"/>
    <w:rsid w:val="007417B5"/>
    <w:rPr>
      <w:rFonts w:ascii="Tahoma" w:hAnsi="Tahoma"/>
      <w:sz w:val="16"/>
      <w:szCs w:val="16"/>
    </w:rPr>
  </w:style>
  <w:style w:type="character" w:customStyle="1" w:styleId="BalloonTextChar">
    <w:name w:val="Balloon Text Char"/>
    <w:link w:val="BalloonText"/>
    <w:rsid w:val="007417B5"/>
    <w:rPr>
      <w:rFonts w:ascii="Tahoma" w:hAnsi="Tahoma" w:cs="Tahoma"/>
      <w:sz w:val="16"/>
      <w:szCs w:val="16"/>
      <w:lang w:val="en-US" w:eastAsia="en-US"/>
    </w:rPr>
  </w:style>
  <w:style w:type="paragraph" w:styleId="ListParagraph">
    <w:name w:val="List Paragraph"/>
    <w:basedOn w:val="Normal"/>
    <w:uiPriority w:val="34"/>
    <w:qFormat/>
    <w:rsid w:val="007417B5"/>
    <w:pPr>
      <w:ind w:left="720"/>
    </w:pPr>
  </w:style>
  <w:style w:type="table" w:styleId="TableGrid">
    <w:name w:val="Table Grid"/>
    <w:basedOn w:val="TableNormal"/>
    <w:rsid w:val="001D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697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link w:val="BalloonTextChar"/>
    <w:rsid w:val="007417B5"/>
    <w:rPr>
      <w:rFonts w:ascii="Tahoma" w:hAnsi="Tahoma"/>
      <w:sz w:val="16"/>
      <w:szCs w:val="16"/>
    </w:rPr>
  </w:style>
  <w:style w:type="character" w:customStyle="1" w:styleId="BalloonTextChar">
    <w:name w:val="Balloon Text Char"/>
    <w:link w:val="BalloonText"/>
    <w:rsid w:val="007417B5"/>
    <w:rPr>
      <w:rFonts w:ascii="Tahoma" w:hAnsi="Tahoma" w:cs="Tahoma"/>
      <w:sz w:val="16"/>
      <w:szCs w:val="16"/>
      <w:lang w:val="en-US" w:eastAsia="en-US"/>
    </w:rPr>
  </w:style>
  <w:style w:type="paragraph" w:styleId="ListParagraph">
    <w:name w:val="List Paragraph"/>
    <w:basedOn w:val="Normal"/>
    <w:uiPriority w:val="34"/>
    <w:qFormat/>
    <w:rsid w:val="007417B5"/>
    <w:pPr>
      <w:ind w:left="720"/>
    </w:pPr>
  </w:style>
  <w:style w:type="table" w:styleId="TableGrid">
    <w:name w:val="Table Grid"/>
    <w:basedOn w:val="TableNormal"/>
    <w:rsid w:val="001D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697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DB4EC-6C6D-48F7-A91D-1216920D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RT.008 Antibody Screen - Immune Anti-A, -B</vt:lpstr>
    </vt:vector>
  </TitlesOfParts>
  <Company>The Ottawa Hospital</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RT.008 Antibody Screen - Immune Anti-A, -B</dc:title>
  <dc:creator>Transfusion Ontario Program Office</dc:creator>
  <cp:lastModifiedBy>Mantifel, Lisa</cp:lastModifiedBy>
  <cp:revision>2</cp:revision>
  <cp:lastPrinted>2014-04-03T14:01:00Z</cp:lastPrinted>
  <dcterms:created xsi:type="dcterms:W3CDTF">2016-09-30T18:04:00Z</dcterms:created>
  <dcterms:modified xsi:type="dcterms:W3CDTF">2016-09-30T18:04:00Z</dcterms:modified>
</cp:coreProperties>
</file>