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220" w:rsidRDefault="00B55220">
      <w:pPr>
        <w:numPr>
          <w:ilvl w:val="0"/>
          <w:numId w:val="1"/>
        </w:numPr>
        <w:rPr>
          <w:rFonts w:ascii="Arial" w:hAnsi="Arial"/>
          <w:b/>
          <w:sz w:val="28"/>
        </w:rPr>
      </w:pPr>
      <w:bookmarkStart w:id="0" w:name="_GoBack"/>
      <w:bookmarkEnd w:id="0"/>
      <w:r>
        <w:rPr>
          <w:rFonts w:ascii="Arial" w:hAnsi="Arial"/>
          <w:b/>
          <w:sz w:val="28"/>
        </w:rPr>
        <w:t>Principle</w:t>
      </w:r>
    </w:p>
    <w:p w:rsidR="00B55220" w:rsidRDefault="00B55220">
      <w:pPr>
        <w:rPr>
          <w:rFonts w:ascii="Arial" w:hAnsi="Arial"/>
          <w:sz w:val="24"/>
        </w:rPr>
      </w:pPr>
    </w:p>
    <w:p w:rsidR="00B55220" w:rsidRDefault="00B55220">
      <w:pPr>
        <w:pStyle w:val="BodyTextIndent"/>
      </w:pPr>
      <w:r>
        <w:t>A computer crossmatch is used to assign blood/components to a patient. The computer system must have been validated by the user and shown to be capable of preventing the release of ABO incompatible blood/components to the patient and will alert the user of any discrepancies between patient and donor group.</w:t>
      </w:r>
    </w:p>
    <w:p w:rsidR="00B55220" w:rsidRDefault="00B55220">
      <w:pPr>
        <w:ind w:left="720"/>
        <w:rPr>
          <w:rFonts w:ascii="Arial" w:hAnsi="Arial"/>
          <w:sz w:val="24"/>
        </w:rPr>
      </w:pPr>
    </w:p>
    <w:p w:rsidR="00B55220" w:rsidRDefault="00B55220">
      <w:pPr>
        <w:numPr>
          <w:ilvl w:val="0"/>
          <w:numId w:val="1"/>
        </w:numPr>
        <w:rPr>
          <w:rFonts w:ascii="Arial" w:hAnsi="Arial"/>
          <w:b/>
          <w:sz w:val="28"/>
        </w:rPr>
      </w:pPr>
      <w:r>
        <w:rPr>
          <w:rFonts w:ascii="Arial" w:hAnsi="Arial"/>
          <w:b/>
          <w:sz w:val="28"/>
        </w:rPr>
        <w:t>Scope and Related Policies</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 xml:space="preserve">A </w:t>
      </w:r>
      <w:r w:rsidR="005D1B14">
        <w:rPr>
          <w:rFonts w:ascii="Arial" w:hAnsi="Arial"/>
          <w:sz w:val="24"/>
        </w:rPr>
        <w:t>compatibility test</w:t>
      </w:r>
      <w:r>
        <w:rPr>
          <w:rFonts w:ascii="Arial" w:hAnsi="Arial"/>
          <w:sz w:val="24"/>
        </w:rPr>
        <w:t xml:space="preserve"> shall be performed before red cells are transfused, except in life-threatening situations.</w:t>
      </w:r>
      <w:r>
        <w:rPr>
          <w:rFonts w:ascii="Arial" w:hAnsi="Arial"/>
          <w:sz w:val="24"/>
          <w:vertAlign w:val="superscript"/>
        </w:rPr>
        <w:t>9.1</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 xml:space="preserve">When there is insufficient time to complete the ABO and Rh group of the recipient, group O red cells shall be issued. </w:t>
      </w:r>
      <w:r w:rsidR="005D1B14">
        <w:rPr>
          <w:rFonts w:ascii="Arial" w:hAnsi="Arial"/>
          <w:sz w:val="24"/>
        </w:rPr>
        <w:t xml:space="preserve">Females of child bearing potential </w:t>
      </w:r>
      <w:r w:rsidR="00F64F07">
        <w:rPr>
          <w:rFonts w:ascii="Arial" w:hAnsi="Arial"/>
          <w:sz w:val="24"/>
        </w:rPr>
        <w:t xml:space="preserve">and children </w:t>
      </w:r>
      <w:r w:rsidR="005D1B14">
        <w:rPr>
          <w:rFonts w:ascii="Arial" w:hAnsi="Arial"/>
          <w:sz w:val="24"/>
        </w:rPr>
        <w:t>must be issued Group O Rh negative red cells</w:t>
      </w:r>
      <w:r>
        <w:rPr>
          <w:rFonts w:ascii="Arial" w:hAnsi="Arial"/>
          <w:sz w:val="24"/>
        </w:rPr>
        <w:t>.</w:t>
      </w:r>
      <w:r>
        <w:rPr>
          <w:rFonts w:ascii="Arial" w:hAnsi="Arial"/>
          <w:sz w:val="24"/>
          <w:vertAlign w:val="superscript"/>
        </w:rPr>
        <w:t>9.1</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If red cell units are issued before compatibility testing is complete, the issue voucher shall indicate that testing is incomplete.  Should the red cells units subsequently prove incompatible, the attending physician and the Transfusion Service Medical Chief or designate shall be informed.  Infusion of incompatible units must be stopped immediately and the units set aside pending the physicians’ decision.</w:t>
      </w:r>
      <w:r>
        <w:rPr>
          <w:rFonts w:ascii="Arial" w:hAnsi="Arial"/>
          <w:sz w:val="24"/>
          <w:vertAlign w:val="superscript"/>
        </w:rPr>
        <w:t>9.1</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If no clinically significant antibodies were detected in the antibody screen test and there is no record of previous detection of such antibodies, at a minimum detection of ABO compatibility shall be performed.</w:t>
      </w:r>
      <w:r>
        <w:rPr>
          <w:rFonts w:ascii="Arial" w:hAnsi="Arial"/>
          <w:sz w:val="24"/>
          <w:vertAlign w:val="superscript"/>
        </w:rPr>
        <w:t>9.</w:t>
      </w:r>
      <w:r w:rsidR="005D1B14">
        <w:rPr>
          <w:rFonts w:ascii="Arial" w:hAnsi="Arial"/>
          <w:sz w:val="24"/>
          <w:vertAlign w:val="superscript"/>
        </w:rPr>
        <w:t>1</w:t>
      </w:r>
    </w:p>
    <w:p w:rsidR="00B55220" w:rsidRDefault="00B55220">
      <w:pPr>
        <w:ind w:left="720"/>
        <w:rPr>
          <w:rFonts w:ascii="Arial" w:hAnsi="Arial"/>
          <w:sz w:val="24"/>
        </w:rPr>
      </w:pPr>
    </w:p>
    <w:p w:rsidR="00B55220" w:rsidRDefault="00B55220">
      <w:pPr>
        <w:numPr>
          <w:ilvl w:val="2"/>
          <w:numId w:val="1"/>
        </w:numPr>
        <w:rPr>
          <w:rFonts w:ascii="Arial" w:hAnsi="Arial"/>
          <w:sz w:val="24"/>
        </w:rPr>
      </w:pPr>
      <w:r>
        <w:rPr>
          <w:rFonts w:ascii="Arial" w:hAnsi="Arial"/>
          <w:sz w:val="24"/>
        </w:rPr>
        <w:t xml:space="preserve">For patients who have been transfused or pregnant within the last three months, or if history of transfusion or </w:t>
      </w:r>
      <w:r>
        <w:rPr>
          <w:rFonts w:ascii="Arial" w:hAnsi="Arial"/>
          <w:sz w:val="24"/>
        </w:rPr>
        <w:lastRenderedPageBreak/>
        <w:t>pregnancy is uncertain or unknown, specimens for testing prior to computer crossmatch shall be no more than 96 hours old.</w:t>
      </w:r>
      <w:r>
        <w:rPr>
          <w:rFonts w:ascii="Arial" w:hAnsi="Arial"/>
          <w:sz w:val="24"/>
          <w:vertAlign w:val="superscript"/>
        </w:rPr>
        <w:t>9.1</w:t>
      </w:r>
    </w:p>
    <w:p w:rsidR="00B55220" w:rsidRDefault="00B55220">
      <w:pPr>
        <w:ind w:left="1440"/>
        <w:rPr>
          <w:rFonts w:ascii="Arial" w:hAnsi="Arial"/>
          <w:sz w:val="24"/>
        </w:rPr>
      </w:pPr>
    </w:p>
    <w:p w:rsidR="00B55220" w:rsidRDefault="00B55220">
      <w:pPr>
        <w:numPr>
          <w:ilvl w:val="2"/>
          <w:numId w:val="1"/>
        </w:numPr>
        <w:rPr>
          <w:rFonts w:ascii="Arial" w:hAnsi="Arial"/>
          <w:sz w:val="24"/>
        </w:rPr>
      </w:pPr>
      <w:r>
        <w:rPr>
          <w:rFonts w:ascii="Arial" w:hAnsi="Arial"/>
          <w:sz w:val="24"/>
        </w:rPr>
        <w:t>For patients who have not been transfused or pregnant in the past three months, plasma for testing prior to computer crossmatch may be stored and used at any time during the current hospital admission</w:t>
      </w:r>
      <w:r w:rsidR="005D1B14">
        <w:rPr>
          <w:rFonts w:ascii="Arial" w:hAnsi="Arial"/>
          <w:sz w:val="24"/>
        </w:rPr>
        <w:t xml:space="preserve"> or as specified in facility policy</w:t>
      </w:r>
      <w:r>
        <w:rPr>
          <w:rFonts w:ascii="Arial" w:hAnsi="Arial"/>
          <w:sz w:val="24"/>
        </w:rPr>
        <w:t>. The current admission period is the time from admission to discharge, but also includes up to a one month period from the time of pre-admission testing up to the current admission.</w:t>
      </w:r>
    </w:p>
    <w:p w:rsidR="005D1B14" w:rsidRDefault="005D1B14" w:rsidP="005D1B14">
      <w:pPr>
        <w:ind w:left="1440"/>
        <w:rPr>
          <w:rFonts w:ascii="Arial" w:hAnsi="Arial"/>
          <w:sz w:val="24"/>
        </w:rPr>
      </w:pPr>
    </w:p>
    <w:p w:rsidR="00B55220" w:rsidRDefault="00B55220">
      <w:pPr>
        <w:numPr>
          <w:ilvl w:val="1"/>
          <w:numId w:val="1"/>
        </w:numPr>
        <w:rPr>
          <w:rFonts w:ascii="Arial" w:hAnsi="Arial"/>
          <w:sz w:val="24"/>
        </w:rPr>
      </w:pPr>
      <w:r>
        <w:rPr>
          <w:rFonts w:ascii="Arial" w:hAnsi="Arial"/>
          <w:sz w:val="24"/>
        </w:rPr>
        <w:t>Computer compatibility matching shall include:</w:t>
      </w:r>
      <w:r>
        <w:rPr>
          <w:rFonts w:ascii="Arial" w:hAnsi="Arial"/>
          <w:sz w:val="24"/>
          <w:vertAlign w:val="superscript"/>
        </w:rPr>
        <w:t>9.1</w:t>
      </w:r>
    </w:p>
    <w:p w:rsidR="00B55220" w:rsidRDefault="00B55220">
      <w:pPr>
        <w:ind w:left="1440"/>
        <w:rPr>
          <w:rFonts w:ascii="Arial" w:hAnsi="Arial"/>
          <w:sz w:val="24"/>
        </w:rPr>
      </w:pPr>
    </w:p>
    <w:p w:rsidR="00B55220" w:rsidRDefault="00B55220">
      <w:pPr>
        <w:numPr>
          <w:ilvl w:val="2"/>
          <w:numId w:val="1"/>
        </w:numPr>
        <w:rPr>
          <w:rFonts w:ascii="Arial" w:hAnsi="Arial"/>
          <w:sz w:val="24"/>
        </w:rPr>
      </w:pPr>
      <w:r>
        <w:rPr>
          <w:rFonts w:ascii="Arial" w:hAnsi="Arial"/>
          <w:sz w:val="24"/>
        </w:rPr>
        <w:t>Determination of the recipient’s ABO and Rh type o</w:t>
      </w:r>
      <w:smartTag w:uri="urn:schemas-microsoft-com:office:smarttags" w:element="PersonName">
        <w:r>
          <w:rPr>
            <w:rFonts w:ascii="Arial" w:hAnsi="Arial"/>
            <w:sz w:val="24"/>
          </w:rPr>
          <w:t>n c</w:t>
        </w:r>
      </w:smartTag>
      <w:r>
        <w:rPr>
          <w:rFonts w:ascii="Arial" w:hAnsi="Arial"/>
          <w:sz w:val="24"/>
        </w:rPr>
        <w:t>urrent sample (CUR ABO).  See RT.001 – ABO Grouping.</w:t>
      </w:r>
    </w:p>
    <w:p w:rsidR="00B55220" w:rsidRDefault="00B55220">
      <w:pPr>
        <w:ind w:left="1440"/>
        <w:rPr>
          <w:rFonts w:ascii="Arial" w:hAnsi="Arial"/>
          <w:sz w:val="24"/>
        </w:rPr>
      </w:pPr>
    </w:p>
    <w:p w:rsidR="00B55220" w:rsidRDefault="00B55220">
      <w:pPr>
        <w:numPr>
          <w:ilvl w:val="2"/>
          <w:numId w:val="1"/>
        </w:numPr>
        <w:rPr>
          <w:rFonts w:ascii="Arial" w:hAnsi="Arial"/>
          <w:sz w:val="24"/>
        </w:rPr>
      </w:pPr>
      <w:r>
        <w:rPr>
          <w:rFonts w:ascii="Arial" w:hAnsi="Arial"/>
          <w:sz w:val="24"/>
        </w:rPr>
        <w:t>An ABO confirmation (PREV ABO) must be done by either a second testing (preferably by a 2</w:t>
      </w:r>
      <w:r>
        <w:rPr>
          <w:rFonts w:ascii="Arial" w:hAnsi="Arial"/>
          <w:sz w:val="24"/>
          <w:vertAlign w:val="superscript"/>
        </w:rPr>
        <w:t>nd</w:t>
      </w:r>
      <w:r>
        <w:rPr>
          <w:rFonts w:ascii="Arial" w:hAnsi="Arial"/>
          <w:sz w:val="24"/>
        </w:rPr>
        <w:t xml:space="preserve"> technologist) on the current sample or by comparison of previous ABO results.  See Procedural Notes 8.2.</w:t>
      </w:r>
    </w:p>
    <w:p w:rsidR="00B55220" w:rsidRDefault="00B55220">
      <w:pPr>
        <w:rPr>
          <w:rFonts w:ascii="Arial" w:hAnsi="Arial"/>
          <w:sz w:val="24"/>
        </w:rPr>
      </w:pPr>
    </w:p>
    <w:p w:rsidR="00B55220" w:rsidRDefault="00B55220">
      <w:pPr>
        <w:numPr>
          <w:ilvl w:val="2"/>
          <w:numId w:val="1"/>
        </w:numPr>
        <w:rPr>
          <w:rFonts w:ascii="Arial" w:hAnsi="Arial"/>
          <w:sz w:val="24"/>
        </w:rPr>
      </w:pPr>
      <w:r>
        <w:rPr>
          <w:rFonts w:ascii="Arial" w:hAnsi="Arial"/>
          <w:sz w:val="24"/>
        </w:rPr>
        <w:t>The current sample antibody screen (CUR ABSC) must be negative and there must be no known history of clinically significant red cell antibodies (KNOWN AB).  See Procedural Notes 8.1 and RT.005 – Antibody Screen.</w:t>
      </w:r>
    </w:p>
    <w:p w:rsidR="00B55220" w:rsidRDefault="00B55220">
      <w:pPr>
        <w:rPr>
          <w:rFonts w:ascii="Arial" w:hAnsi="Arial"/>
          <w:sz w:val="24"/>
        </w:rPr>
      </w:pPr>
    </w:p>
    <w:p w:rsidR="00B55220" w:rsidRDefault="00B55220">
      <w:pPr>
        <w:numPr>
          <w:ilvl w:val="2"/>
          <w:numId w:val="1"/>
        </w:numPr>
        <w:rPr>
          <w:rFonts w:ascii="Arial" w:hAnsi="Arial" w:cs="Arial"/>
          <w:sz w:val="24"/>
        </w:rPr>
      </w:pPr>
      <w:r>
        <w:rPr>
          <w:rFonts w:ascii="Arial" w:hAnsi="Arial" w:cs="Arial"/>
          <w:sz w:val="24"/>
        </w:rPr>
        <w:t>Computer confirmation of ABO compatibility between donor and recipient</w:t>
      </w:r>
    </w:p>
    <w:p w:rsidR="00B55220" w:rsidRDefault="00B55220">
      <w:pPr>
        <w:pStyle w:val="BodyTextIndent2"/>
        <w:ind w:left="0"/>
      </w:pPr>
    </w:p>
    <w:p w:rsidR="00B55220" w:rsidRDefault="00B55220">
      <w:pPr>
        <w:numPr>
          <w:ilvl w:val="1"/>
          <w:numId w:val="1"/>
        </w:numPr>
        <w:rPr>
          <w:rFonts w:ascii="Arial" w:hAnsi="Arial"/>
          <w:sz w:val="24"/>
        </w:rPr>
      </w:pPr>
      <w:r>
        <w:rPr>
          <w:rFonts w:ascii="Arial" w:hAnsi="Arial"/>
          <w:sz w:val="24"/>
        </w:rPr>
        <w:t>ABO group of red cells collected and prepared by the blood supplier must be confirmed.  See Procedural Notes 8.4.</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An issue voucher and/or compatibility label shall be completed for all red cells issued.  This must identify:</w:t>
      </w:r>
    </w:p>
    <w:p w:rsidR="009B44F7" w:rsidRDefault="009B44F7" w:rsidP="009B44F7">
      <w:pPr>
        <w:rPr>
          <w:rFonts w:ascii="Arial" w:hAnsi="Arial"/>
          <w:sz w:val="24"/>
        </w:rPr>
      </w:pP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Recipient’s family and given name(s)</w:t>
      </w:r>
    </w:p>
    <w:p w:rsidR="009B44F7" w:rsidRDefault="009B44F7" w:rsidP="009B44F7">
      <w:pPr>
        <w:ind w:left="1440"/>
        <w:rPr>
          <w:rFonts w:ascii="Arial" w:hAnsi="Arial"/>
          <w:sz w:val="24"/>
        </w:rPr>
      </w:pP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Recipient’s identification number(s)</w:t>
      </w:r>
    </w:p>
    <w:p w:rsidR="009B44F7" w:rsidRDefault="009B44F7" w:rsidP="009B44F7">
      <w:pPr>
        <w:ind w:left="1440"/>
        <w:rPr>
          <w:rFonts w:ascii="Arial" w:hAnsi="Arial"/>
          <w:sz w:val="24"/>
        </w:rPr>
      </w:pP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ABO and Rh group of the recipient</w:t>
      </w:r>
    </w:p>
    <w:p w:rsidR="009B44F7" w:rsidRDefault="009B44F7" w:rsidP="009B44F7">
      <w:pPr>
        <w:ind w:left="1440"/>
        <w:rPr>
          <w:rFonts w:ascii="Arial" w:hAnsi="Arial"/>
          <w:sz w:val="24"/>
        </w:rPr>
      </w:pP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ABO and Rh group of the donor red cell(s)</w:t>
      </w:r>
    </w:p>
    <w:p w:rsidR="009B44F7" w:rsidRDefault="009B44F7" w:rsidP="009B44F7">
      <w:pPr>
        <w:ind w:left="1440"/>
        <w:rPr>
          <w:rFonts w:ascii="Arial" w:hAnsi="Arial"/>
          <w:sz w:val="24"/>
        </w:rPr>
      </w:pPr>
    </w:p>
    <w:p w:rsidR="009B44F7" w:rsidRDefault="009B44F7" w:rsidP="006115D7">
      <w:pPr>
        <w:numPr>
          <w:ilvl w:val="0"/>
          <w:numId w:val="3"/>
        </w:numPr>
        <w:tabs>
          <w:tab w:val="clear" w:pos="360"/>
          <w:tab w:val="num" w:pos="1800"/>
        </w:tabs>
        <w:ind w:left="1800"/>
        <w:rPr>
          <w:rFonts w:ascii="Arial" w:hAnsi="Arial"/>
          <w:sz w:val="24"/>
        </w:rPr>
      </w:pPr>
      <w:r w:rsidRPr="009B44F7">
        <w:rPr>
          <w:rFonts w:ascii="Arial" w:hAnsi="Arial"/>
          <w:sz w:val="24"/>
        </w:rPr>
        <w:t>Donor unit number (including check digit and source code)</w:t>
      </w: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 xml:space="preserve">Name of the component </w:t>
      </w:r>
    </w:p>
    <w:p w:rsidR="009B44F7" w:rsidRDefault="009B44F7" w:rsidP="009B44F7">
      <w:pPr>
        <w:ind w:left="1440"/>
        <w:rPr>
          <w:rFonts w:ascii="Arial" w:hAnsi="Arial"/>
          <w:sz w:val="24"/>
        </w:rPr>
      </w:pP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Compatibility status of the red cell(s)</w:t>
      </w:r>
    </w:p>
    <w:p w:rsidR="009B44F7" w:rsidRDefault="009B44F7" w:rsidP="009B44F7">
      <w:pPr>
        <w:rPr>
          <w:rFonts w:ascii="Arial" w:hAnsi="Arial"/>
          <w:sz w:val="24"/>
        </w:rPr>
      </w:pPr>
    </w:p>
    <w:p w:rsidR="009B44F7" w:rsidRDefault="009B44F7" w:rsidP="009B44F7">
      <w:pPr>
        <w:numPr>
          <w:ilvl w:val="0"/>
          <w:numId w:val="3"/>
        </w:numPr>
        <w:tabs>
          <w:tab w:val="clear" w:pos="360"/>
          <w:tab w:val="num" w:pos="1800"/>
        </w:tabs>
        <w:ind w:left="1800"/>
        <w:rPr>
          <w:rFonts w:ascii="Arial" w:hAnsi="Arial"/>
          <w:sz w:val="24"/>
        </w:rPr>
      </w:pPr>
      <w:r>
        <w:rPr>
          <w:rFonts w:ascii="Arial" w:hAnsi="Arial"/>
          <w:sz w:val="24"/>
        </w:rPr>
        <w:t>Date and time of issue</w:t>
      </w:r>
    </w:p>
    <w:p w:rsidR="009B44F7" w:rsidRDefault="009B44F7" w:rsidP="009B44F7">
      <w:pPr>
        <w:rPr>
          <w:rFonts w:ascii="Arial" w:hAnsi="Arial"/>
          <w:sz w:val="24"/>
        </w:rPr>
      </w:pPr>
    </w:p>
    <w:p w:rsidR="009B44F7" w:rsidRDefault="009B44F7">
      <w:pPr>
        <w:numPr>
          <w:ilvl w:val="1"/>
          <w:numId w:val="1"/>
        </w:numPr>
        <w:rPr>
          <w:rFonts w:ascii="Arial" w:hAnsi="Arial"/>
          <w:sz w:val="24"/>
        </w:rPr>
      </w:pPr>
      <w:r>
        <w:rPr>
          <w:rFonts w:ascii="Arial" w:hAnsi="Arial"/>
          <w:sz w:val="24"/>
        </w:rPr>
        <w:t>The recipient’s blood specimen</w:t>
      </w:r>
      <w:r w:rsidR="00C64130">
        <w:rPr>
          <w:rFonts w:ascii="Arial" w:hAnsi="Arial"/>
          <w:sz w:val="24"/>
        </w:rPr>
        <w:t xml:space="preserve"> must be stored at 1-6</w:t>
      </w:r>
      <w:r w:rsidR="00C64130">
        <w:rPr>
          <w:rFonts w:ascii="Arial" w:hAnsi="Arial" w:cs="Arial"/>
          <w:sz w:val="24"/>
        </w:rPr>
        <w:t xml:space="preserve">° </w:t>
      </w:r>
      <w:r w:rsidR="00C64130">
        <w:rPr>
          <w:rFonts w:ascii="Arial" w:hAnsi="Arial"/>
          <w:sz w:val="24"/>
        </w:rPr>
        <w:t>C for at least 7 days after the unit is transfused.</w:t>
      </w:r>
      <w:r w:rsidR="00C64130" w:rsidRPr="00C64130">
        <w:rPr>
          <w:rFonts w:ascii="Arial" w:hAnsi="Arial"/>
          <w:sz w:val="24"/>
          <w:szCs w:val="24"/>
          <w:vertAlign w:val="superscript"/>
        </w:rPr>
        <w:t>9.1</w:t>
      </w:r>
    </w:p>
    <w:p w:rsidR="009B44F7" w:rsidRDefault="009B44F7" w:rsidP="009B44F7">
      <w:pPr>
        <w:rPr>
          <w:rFonts w:ascii="Arial" w:hAnsi="Arial"/>
          <w:sz w:val="24"/>
        </w:rPr>
      </w:pPr>
    </w:p>
    <w:p w:rsidR="009B44F7" w:rsidRDefault="009B44F7">
      <w:pPr>
        <w:numPr>
          <w:ilvl w:val="1"/>
          <w:numId w:val="1"/>
        </w:numPr>
        <w:rPr>
          <w:rFonts w:ascii="Arial" w:hAnsi="Arial"/>
          <w:sz w:val="24"/>
        </w:rPr>
      </w:pPr>
      <w:r>
        <w:rPr>
          <w:rFonts w:ascii="Arial" w:hAnsi="Arial"/>
          <w:sz w:val="24"/>
        </w:rPr>
        <w:t>An identifiable</w:t>
      </w:r>
      <w:r w:rsidR="00C64130">
        <w:rPr>
          <w:rFonts w:ascii="Arial" w:hAnsi="Arial"/>
          <w:sz w:val="24"/>
        </w:rPr>
        <w:t xml:space="preserve"> segment of all donor red cell units transfused must be kept and stored at 1-6</w:t>
      </w:r>
      <w:r w:rsidR="00C64130">
        <w:rPr>
          <w:rFonts w:ascii="Arial" w:hAnsi="Arial" w:cs="Arial"/>
          <w:sz w:val="24"/>
        </w:rPr>
        <w:t xml:space="preserve">° </w:t>
      </w:r>
      <w:r w:rsidR="00C64130">
        <w:rPr>
          <w:rFonts w:ascii="Arial" w:hAnsi="Arial"/>
          <w:sz w:val="24"/>
        </w:rPr>
        <w:t>C for at least 7 days after the unit is transfused.</w:t>
      </w:r>
      <w:r w:rsidR="00C64130" w:rsidRPr="00C64130">
        <w:rPr>
          <w:rFonts w:ascii="Arial" w:hAnsi="Arial"/>
          <w:sz w:val="24"/>
          <w:szCs w:val="24"/>
          <w:vertAlign w:val="superscript"/>
        </w:rPr>
        <w:t>9.1</w:t>
      </w:r>
    </w:p>
    <w:p w:rsidR="00B55220" w:rsidRDefault="00B55220">
      <w:pPr>
        <w:ind w:left="1440"/>
        <w:rPr>
          <w:rFonts w:ascii="Arial" w:hAnsi="Arial"/>
          <w:sz w:val="24"/>
        </w:rPr>
      </w:pPr>
    </w:p>
    <w:p w:rsidR="00B55220" w:rsidRDefault="00B55220">
      <w:pPr>
        <w:numPr>
          <w:ilvl w:val="0"/>
          <w:numId w:val="1"/>
        </w:numPr>
        <w:rPr>
          <w:rFonts w:ascii="Arial" w:hAnsi="Arial"/>
          <w:b/>
          <w:sz w:val="28"/>
        </w:rPr>
      </w:pPr>
      <w:r>
        <w:rPr>
          <w:rFonts w:ascii="Arial" w:hAnsi="Arial"/>
          <w:b/>
          <w:sz w:val="28"/>
        </w:rPr>
        <w:t>Specimens</w:t>
      </w:r>
    </w:p>
    <w:p w:rsidR="00B55220" w:rsidRDefault="00B55220">
      <w:pPr>
        <w:rPr>
          <w:rFonts w:ascii="Arial" w:hAnsi="Arial"/>
          <w:sz w:val="24"/>
        </w:rPr>
      </w:pPr>
    </w:p>
    <w:p w:rsidR="00B55220" w:rsidRDefault="00B55220">
      <w:pPr>
        <w:ind w:left="720"/>
        <w:rPr>
          <w:rFonts w:ascii="Arial" w:hAnsi="Arial"/>
          <w:sz w:val="24"/>
        </w:rPr>
      </w:pPr>
      <w:r>
        <w:rPr>
          <w:rFonts w:ascii="Arial" w:hAnsi="Arial"/>
          <w:sz w:val="24"/>
        </w:rPr>
        <w:t xml:space="preserve">EDTA anticoagulated whole blood </w:t>
      </w:r>
    </w:p>
    <w:p w:rsidR="00B55220" w:rsidRDefault="00B55220">
      <w:pPr>
        <w:rPr>
          <w:rFonts w:ascii="Arial" w:hAnsi="Arial"/>
          <w:b/>
          <w:sz w:val="28"/>
        </w:rPr>
      </w:pPr>
    </w:p>
    <w:p w:rsidR="00B55220" w:rsidRDefault="00B55220">
      <w:pPr>
        <w:numPr>
          <w:ilvl w:val="0"/>
          <w:numId w:val="1"/>
        </w:numPr>
        <w:rPr>
          <w:rFonts w:ascii="Arial" w:hAnsi="Arial"/>
          <w:b/>
          <w:sz w:val="28"/>
        </w:rPr>
      </w:pPr>
      <w:r>
        <w:rPr>
          <w:rFonts w:ascii="Arial" w:hAnsi="Arial"/>
          <w:b/>
          <w:sz w:val="28"/>
        </w:rPr>
        <w:t>Materials</w:t>
      </w:r>
    </w:p>
    <w:p w:rsidR="00B55220" w:rsidRDefault="00B55220">
      <w:pPr>
        <w:rPr>
          <w:rFonts w:ascii="Arial" w:hAnsi="Arial"/>
          <w:sz w:val="24"/>
        </w:rPr>
      </w:pPr>
    </w:p>
    <w:p w:rsidR="00B55220" w:rsidRDefault="00B55220">
      <w:pPr>
        <w:ind w:left="720"/>
        <w:rPr>
          <w:rFonts w:ascii="Arial" w:hAnsi="Arial"/>
          <w:sz w:val="24"/>
        </w:rPr>
      </w:pPr>
      <w:r>
        <w:rPr>
          <w:rFonts w:ascii="Arial" w:hAnsi="Arial"/>
          <w:b/>
          <w:sz w:val="24"/>
        </w:rPr>
        <w:t>Equipment:</w:t>
      </w:r>
      <w:r>
        <w:rPr>
          <w:rFonts w:ascii="Arial" w:hAnsi="Arial"/>
          <w:b/>
          <w:sz w:val="24"/>
        </w:rPr>
        <w:tab/>
      </w:r>
      <w:r>
        <w:rPr>
          <w:rFonts w:ascii="Arial" w:hAnsi="Arial"/>
          <w:b/>
          <w:sz w:val="24"/>
        </w:rPr>
        <w:tab/>
      </w:r>
      <w:r w:rsidR="005D1B14">
        <w:rPr>
          <w:rFonts w:ascii="Arial" w:hAnsi="Arial"/>
          <w:sz w:val="24"/>
        </w:rPr>
        <w:t>Validated computer system</w:t>
      </w:r>
    </w:p>
    <w:p w:rsidR="00B55220" w:rsidRDefault="00B55220">
      <w:pPr>
        <w:ind w:left="720"/>
        <w:rPr>
          <w:rFonts w:ascii="Arial" w:hAnsi="Arial"/>
          <w:sz w:val="24"/>
        </w:rPr>
      </w:pPr>
    </w:p>
    <w:p w:rsidR="00B55220" w:rsidRDefault="00B55220">
      <w:pPr>
        <w:ind w:left="720"/>
        <w:rPr>
          <w:rFonts w:ascii="Arial" w:hAnsi="Arial"/>
          <w:sz w:val="24"/>
        </w:rPr>
      </w:pPr>
      <w:r>
        <w:rPr>
          <w:rFonts w:ascii="Arial" w:hAnsi="Arial"/>
          <w:b/>
          <w:bCs/>
          <w:sz w:val="24"/>
        </w:rPr>
        <w:t>Supplies:</w:t>
      </w:r>
      <w:r w:rsidR="005D1B14">
        <w:rPr>
          <w:rFonts w:ascii="Arial" w:hAnsi="Arial"/>
          <w:sz w:val="24"/>
        </w:rPr>
        <w:tab/>
      </w:r>
      <w:r w:rsidR="005D1B14">
        <w:rPr>
          <w:rFonts w:ascii="Arial" w:hAnsi="Arial"/>
          <w:sz w:val="24"/>
        </w:rPr>
        <w:tab/>
        <w:t>Donor unit(s)</w:t>
      </w:r>
    </w:p>
    <w:p w:rsidR="00C64130" w:rsidRPr="00C64130" w:rsidRDefault="00C64130">
      <w:pPr>
        <w:ind w:left="720"/>
        <w:rPr>
          <w:rFonts w:ascii="Arial" w:hAnsi="Arial"/>
          <w:sz w:val="24"/>
        </w:rPr>
      </w:pPr>
      <w:r>
        <w:rPr>
          <w:rFonts w:ascii="Arial" w:hAnsi="Arial"/>
          <w:b/>
          <w:bCs/>
          <w:sz w:val="24"/>
        </w:rPr>
        <w:tab/>
      </w:r>
      <w:r>
        <w:rPr>
          <w:rFonts w:ascii="Arial" w:hAnsi="Arial"/>
          <w:b/>
          <w:bCs/>
          <w:sz w:val="24"/>
        </w:rPr>
        <w:tab/>
      </w:r>
      <w:r>
        <w:rPr>
          <w:rFonts w:ascii="Arial" w:hAnsi="Arial"/>
          <w:b/>
          <w:bCs/>
          <w:sz w:val="24"/>
        </w:rPr>
        <w:tab/>
      </w:r>
      <w:r w:rsidRPr="00C64130">
        <w:rPr>
          <w:rFonts w:ascii="Arial" w:hAnsi="Arial"/>
          <w:bCs/>
          <w:sz w:val="24"/>
        </w:rPr>
        <w:t>Compatibility labels</w:t>
      </w:r>
    </w:p>
    <w:p w:rsidR="00B55220" w:rsidRDefault="00B55220">
      <w:pPr>
        <w:rPr>
          <w:rFonts w:ascii="Arial" w:hAnsi="Arial"/>
          <w:sz w:val="24"/>
        </w:rPr>
      </w:pPr>
    </w:p>
    <w:p w:rsidR="00B55220" w:rsidRDefault="00B55220">
      <w:pPr>
        <w:ind w:left="720"/>
        <w:rPr>
          <w:rFonts w:ascii="Arial" w:hAnsi="Arial"/>
          <w:sz w:val="24"/>
        </w:rPr>
      </w:pPr>
      <w:r>
        <w:rPr>
          <w:rFonts w:ascii="Arial" w:hAnsi="Arial"/>
          <w:sz w:val="24"/>
        </w:rPr>
        <w:t>See CSP.001 – Selection of Blood Components for Transfusion and Procedural Notes 8.5.</w:t>
      </w:r>
    </w:p>
    <w:p w:rsidR="00B55220" w:rsidRDefault="00B55220">
      <w:pPr>
        <w:ind w:left="720"/>
        <w:rPr>
          <w:rFonts w:ascii="Arial" w:hAnsi="Arial"/>
          <w:sz w:val="24"/>
        </w:rPr>
      </w:pPr>
    </w:p>
    <w:p w:rsidR="00B55220" w:rsidRDefault="00B55220">
      <w:pPr>
        <w:numPr>
          <w:ilvl w:val="0"/>
          <w:numId w:val="1"/>
        </w:numPr>
        <w:rPr>
          <w:rFonts w:ascii="Arial" w:hAnsi="Arial"/>
          <w:b/>
          <w:sz w:val="28"/>
        </w:rPr>
      </w:pPr>
      <w:r>
        <w:rPr>
          <w:rFonts w:ascii="Arial" w:hAnsi="Arial"/>
          <w:b/>
          <w:sz w:val="28"/>
        </w:rPr>
        <w:t>Quality Control – N/A</w:t>
      </w:r>
    </w:p>
    <w:p w:rsidR="00B55220" w:rsidRDefault="00B55220">
      <w:pPr>
        <w:ind w:left="720"/>
        <w:rPr>
          <w:rFonts w:ascii="Arial" w:hAnsi="Arial"/>
          <w:sz w:val="24"/>
        </w:rPr>
      </w:pPr>
    </w:p>
    <w:p w:rsidR="00B55220" w:rsidRDefault="00B55220">
      <w:pPr>
        <w:numPr>
          <w:ilvl w:val="0"/>
          <w:numId w:val="1"/>
        </w:numPr>
        <w:rPr>
          <w:rFonts w:ascii="Arial" w:hAnsi="Arial"/>
          <w:b/>
          <w:sz w:val="28"/>
        </w:rPr>
      </w:pPr>
      <w:r>
        <w:rPr>
          <w:rFonts w:ascii="Arial" w:hAnsi="Arial"/>
          <w:b/>
          <w:sz w:val="28"/>
        </w:rPr>
        <w:t>Procedure</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Check the patient history and the result of a current antibody screen.  See PA.003 – Patient History Check.</w:t>
      </w:r>
    </w:p>
    <w:p w:rsidR="00B55220" w:rsidRDefault="00B55220">
      <w:pPr>
        <w:ind w:left="720"/>
        <w:rPr>
          <w:rFonts w:ascii="Arial" w:hAnsi="Arial"/>
          <w:sz w:val="24"/>
        </w:rPr>
      </w:pPr>
    </w:p>
    <w:p w:rsidR="00B55220" w:rsidRDefault="00B55220">
      <w:pPr>
        <w:numPr>
          <w:ilvl w:val="2"/>
          <w:numId w:val="1"/>
        </w:numPr>
        <w:rPr>
          <w:rFonts w:ascii="Arial" w:hAnsi="Arial"/>
          <w:sz w:val="24"/>
        </w:rPr>
      </w:pPr>
      <w:r>
        <w:rPr>
          <w:rFonts w:ascii="Arial" w:hAnsi="Arial"/>
          <w:sz w:val="24"/>
        </w:rPr>
        <w:t>If the patient has an antibody(ies) or history of clinically significant antibody(ies), do not perform a computer crossmatch.  See RT.011 – Antiglobulin Crossmatch – Saline, LISS, PEG.</w:t>
      </w:r>
    </w:p>
    <w:p w:rsidR="00B55220" w:rsidRDefault="00B55220">
      <w:pPr>
        <w:ind w:left="1440"/>
        <w:rPr>
          <w:rFonts w:ascii="Arial" w:hAnsi="Arial"/>
          <w:sz w:val="24"/>
        </w:rPr>
      </w:pPr>
    </w:p>
    <w:p w:rsidR="00B55220" w:rsidRDefault="005D1B14">
      <w:pPr>
        <w:numPr>
          <w:ilvl w:val="2"/>
          <w:numId w:val="1"/>
        </w:numPr>
        <w:rPr>
          <w:rFonts w:ascii="Arial" w:hAnsi="Arial"/>
          <w:sz w:val="24"/>
        </w:rPr>
      </w:pPr>
      <w:r>
        <w:rPr>
          <w:rFonts w:ascii="Arial" w:hAnsi="Arial"/>
          <w:sz w:val="24"/>
        </w:rPr>
        <w:t>If the patient has no history of clinically significant antibodies and the current antibody screen test is negative, o</w:t>
      </w:r>
      <w:r w:rsidR="00B55220">
        <w:rPr>
          <w:rFonts w:ascii="Arial" w:hAnsi="Arial"/>
          <w:sz w:val="24"/>
        </w:rPr>
        <w:t>rder the computer crossmatch pr</w:t>
      </w:r>
      <w:r>
        <w:rPr>
          <w:rFonts w:ascii="Arial" w:hAnsi="Arial"/>
          <w:sz w:val="24"/>
        </w:rPr>
        <w:t>ocedure in the LIS system (LIS -</w:t>
      </w:r>
      <w:r w:rsidR="00B55220">
        <w:rPr>
          <w:rFonts w:ascii="Arial" w:hAnsi="Arial"/>
          <w:sz w:val="24"/>
        </w:rPr>
        <w:t xml:space="preserve"> Laboratory Information System)</w:t>
      </w:r>
      <w:r>
        <w:rPr>
          <w:rFonts w:ascii="Arial" w:hAnsi="Arial"/>
          <w:sz w:val="24"/>
        </w:rPr>
        <w:t>.</w:t>
      </w:r>
    </w:p>
    <w:p w:rsidR="00147A92" w:rsidRDefault="00147A92" w:rsidP="00147A92">
      <w:pPr>
        <w:rPr>
          <w:rFonts w:ascii="Arial" w:hAnsi="Arial"/>
          <w:sz w:val="24"/>
        </w:rPr>
      </w:pPr>
    </w:p>
    <w:p w:rsidR="00B55220" w:rsidRDefault="00B55220">
      <w:pPr>
        <w:numPr>
          <w:ilvl w:val="1"/>
          <w:numId w:val="1"/>
        </w:numPr>
        <w:rPr>
          <w:rFonts w:ascii="Arial" w:hAnsi="Arial"/>
          <w:sz w:val="24"/>
        </w:rPr>
      </w:pPr>
      <w:r>
        <w:rPr>
          <w:rFonts w:ascii="Arial" w:hAnsi="Arial"/>
          <w:sz w:val="24"/>
        </w:rPr>
        <w:t>Select the appropriate donor units.  See CSP.001 – Selection of Blood Components for Transfusion.  Select units that will be in</w:t>
      </w:r>
      <w:r w:rsidR="00A9231C">
        <w:rPr>
          <w:rFonts w:ascii="Arial" w:hAnsi="Arial"/>
          <w:sz w:val="24"/>
        </w:rPr>
        <w:t xml:space="preserve"> </w:t>
      </w:r>
      <w:r>
        <w:rPr>
          <w:rFonts w:ascii="Arial" w:hAnsi="Arial"/>
          <w:sz w:val="24"/>
        </w:rPr>
        <w:t>date on the date of surgery or intended transfusion.  See Procedural Notes 8.5.</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Remove selected units from the refrigerator and visually inspect each donor unit.  See IM.003 – Visual Inspection of Blood, Blood Components and Fractionated Blood Products.</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Arrange the donor units in order of date, the oldest one in the front.</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Scan selected ABO compatible units into computer crossmatch procedure.</w:t>
      </w:r>
    </w:p>
    <w:p w:rsidR="00D2668D" w:rsidRDefault="00D2668D" w:rsidP="00D2668D">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Result the computer crossmatch procedure for each donor unit.  Result fields include PREV ABO, CUR ABO, CUR ABSC, KNOWN AB and the crossmatch interpretation.</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The computer will interpret the crossmatch.  The only possible interpretation is compatible (CP).</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Perform and verify the crossmatch procedure.</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Generate a compatibility label for each compatible unit containing at least the following information:</w:t>
      </w:r>
    </w:p>
    <w:p w:rsidR="00B55220" w:rsidRDefault="00B55220">
      <w:pPr>
        <w:ind w:left="720"/>
        <w:rPr>
          <w:rFonts w:ascii="Arial" w:hAnsi="Arial"/>
          <w:sz w:val="24"/>
        </w:rPr>
      </w:pPr>
    </w:p>
    <w:p w:rsidR="00B55220" w:rsidRDefault="00D2668D">
      <w:pPr>
        <w:numPr>
          <w:ilvl w:val="0"/>
          <w:numId w:val="4"/>
        </w:numPr>
        <w:tabs>
          <w:tab w:val="clear" w:pos="360"/>
          <w:tab w:val="num" w:pos="1800"/>
        </w:tabs>
        <w:ind w:left="1800"/>
        <w:rPr>
          <w:rFonts w:ascii="Arial" w:hAnsi="Arial"/>
          <w:sz w:val="24"/>
        </w:rPr>
      </w:pPr>
      <w:r>
        <w:rPr>
          <w:rFonts w:ascii="Arial" w:hAnsi="Arial"/>
          <w:sz w:val="24"/>
        </w:rPr>
        <w:t xml:space="preserve">Patient family </w:t>
      </w:r>
      <w:r w:rsidR="00B55220">
        <w:rPr>
          <w:rFonts w:ascii="Arial" w:hAnsi="Arial"/>
          <w:sz w:val="24"/>
        </w:rPr>
        <w:t xml:space="preserve">and </w:t>
      </w:r>
      <w:r>
        <w:rPr>
          <w:rFonts w:ascii="Arial" w:hAnsi="Arial"/>
          <w:sz w:val="24"/>
        </w:rPr>
        <w:t>given</w:t>
      </w:r>
      <w:r w:rsidR="00B55220">
        <w:rPr>
          <w:rFonts w:ascii="Arial" w:hAnsi="Arial"/>
          <w:sz w:val="24"/>
        </w:rPr>
        <w:t xml:space="preserve"> name</w:t>
      </w:r>
      <w:r w:rsidR="00896957">
        <w:rPr>
          <w:rFonts w:ascii="Arial" w:hAnsi="Arial"/>
          <w:sz w:val="24"/>
        </w:rPr>
        <w:t>(</w:t>
      </w:r>
      <w:r w:rsidR="00B55220">
        <w:rPr>
          <w:rFonts w:ascii="Arial" w:hAnsi="Arial"/>
          <w:sz w:val="24"/>
        </w:rPr>
        <w:t>s</w:t>
      </w:r>
      <w:r w:rsidR="00896957">
        <w:rPr>
          <w:rFonts w:ascii="Arial" w:hAnsi="Arial"/>
          <w:sz w:val="24"/>
        </w:rPr>
        <w:t>)</w:t>
      </w:r>
    </w:p>
    <w:p w:rsidR="00B55220" w:rsidRDefault="00B55220">
      <w:pPr>
        <w:ind w:left="1440"/>
        <w:rPr>
          <w:rFonts w:ascii="Arial" w:hAnsi="Arial"/>
          <w:sz w:val="24"/>
        </w:rPr>
      </w:pPr>
    </w:p>
    <w:p w:rsidR="00B55220" w:rsidRDefault="00B55220">
      <w:pPr>
        <w:numPr>
          <w:ilvl w:val="0"/>
          <w:numId w:val="4"/>
        </w:numPr>
        <w:tabs>
          <w:tab w:val="clear" w:pos="360"/>
          <w:tab w:val="num" w:pos="1800"/>
        </w:tabs>
        <w:ind w:left="1800"/>
        <w:rPr>
          <w:rFonts w:ascii="Arial" w:hAnsi="Arial"/>
          <w:sz w:val="24"/>
        </w:rPr>
      </w:pPr>
      <w:r>
        <w:rPr>
          <w:rFonts w:ascii="Arial" w:hAnsi="Arial"/>
          <w:sz w:val="24"/>
        </w:rPr>
        <w:t>Patient identification number</w:t>
      </w:r>
    </w:p>
    <w:p w:rsidR="00B55220" w:rsidRDefault="00B55220">
      <w:pPr>
        <w:ind w:left="1440"/>
        <w:rPr>
          <w:rFonts w:ascii="Arial" w:hAnsi="Arial"/>
          <w:sz w:val="24"/>
        </w:rPr>
      </w:pPr>
    </w:p>
    <w:p w:rsidR="00B55220" w:rsidRDefault="00B55220">
      <w:pPr>
        <w:numPr>
          <w:ilvl w:val="0"/>
          <w:numId w:val="4"/>
        </w:numPr>
        <w:tabs>
          <w:tab w:val="clear" w:pos="360"/>
          <w:tab w:val="num" w:pos="1800"/>
        </w:tabs>
        <w:ind w:left="1800"/>
        <w:rPr>
          <w:rFonts w:ascii="Arial" w:hAnsi="Arial"/>
          <w:sz w:val="24"/>
        </w:rPr>
      </w:pPr>
      <w:r>
        <w:rPr>
          <w:rFonts w:ascii="Arial" w:hAnsi="Arial"/>
          <w:sz w:val="24"/>
        </w:rPr>
        <w:t>Patient ABO and Rh group</w:t>
      </w:r>
    </w:p>
    <w:p w:rsidR="00B55220" w:rsidRDefault="00B55220">
      <w:pPr>
        <w:ind w:left="1440"/>
        <w:rPr>
          <w:rFonts w:ascii="Arial" w:hAnsi="Arial"/>
          <w:sz w:val="24"/>
        </w:rPr>
      </w:pPr>
    </w:p>
    <w:p w:rsidR="00B55220" w:rsidRPr="00A9231C" w:rsidRDefault="00B55220">
      <w:pPr>
        <w:numPr>
          <w:ilvl w:val="0"/>
          <w:numId w:val="4"/>
        </w:numPr>
        <w:tabs>
          <w:tab w:val="clear" w:pos="360"/>
          <w:tab w:val="num" w:pos="1800"/>
        </w:tabs>
        <w:ind w:left="1800"/>
        <w:rPr>
          <w:rFonts w:ascii="Arial" w:hAnsi="Arial"/>
          <w:sz w:val="24"/>
        </w:rPr>
      </w:pPr>
      <w:r w:rsidRPr="00A9231C">
        <w:rPr>
          <w:rFonts w:ascii="Arial" w:hAnsi="Arial"/>
          <w:sz w:val="24"/>
        </w:rPr>
        <w:t xml:space="preserve">Name of the </w:t>
      </w:r>
      <w:r w:rsidR="00D2668D" w:rsidRPr="00A9231C">
        <w:rPr>
          <w:rFonts w:ascii="Arial" w:hAnsi="Arial"/>
          <w:sz w:val="24"/>
        </w:rPr>
        <w:t>component</w:t>
      </w:r>
      <w:r w:rsidRPr="00A9231C">
        <w:rPr>
          <w:rFonts w:ascii="Arial" w:hAnsi="Arial"/>
          <w:sz w:val="24"/>
        </w:rPr>
        <w:t>, e.g., RBC, leukocyte reduced (optional)</w:t>
      </w:r>
    </w:p>
    <w:p w:rsidR="00B55220" w:rsidRDefault="00B55220">
      <w:pPr>
        <w:ind w:left="1440"/>
        <w:rPr>
          <w:rFonts w:ascii="Arial" w:hAnsi="Arial"/>
          <w:sz w:val="24"/>
        </w:rPr>
      </w:pPr>
    </w:p>
    <w:p w:rsidR="00B55220" w:rsidRDefault="00B55220">
      <w:pPr>
        <w:numPr>
          <w:ilvl w:val="0"/>
          <w:numId w:val="4"/>
        </w:numPr>
        <w:tabs>
          <w:tab w:val="clear" w:pos="360"/>
          <w:tab w:val="num" w:pos="1800"/>
        </w:tabs>
        <w:ind w:left="1800"/>
        <w:rPr>
          <w:rFonts w:ascii="Arial" w:hAnsi="Arial"/>
          <w:sz w:val="24"/>
        </w:rPr>
      </w:pPr>
      <w:r>
        <w:rPr>
          <w:rFonts w:ascii="Arial" w:hAnsi="Arial"/>
          <w:sz w:val="24"/>
        </w:rPr>
        <w:t>Donor unit ABO and Rh group</w:t>
      </w:r>
    </w:p>
    <w:p w:rsidR="00B55220" w:rsidRDefault="00B55220">
      <w:pPr>
        <w:ind w:left="1440"/>
        <w:rPr>
          <w:rFonts w:ascii="Arial" w:hAnsi="Arial"/>
          <w:sz w:val="24"/>
        </w:rPr>
      </w:pPr>
    </w:p>
    <w:p w:rsidR="00B55220" w:rsidRDefault="00B55220">
      <w:pPr>
        <w:numPr>
          <w:ilvl w:val="0"/>
          <w:numId w:val="4"/>
        </w:numPr>
        <w:tabs>
          <w:tab w:val="clear" w:pos="360"/>
          <w:tab w:val="num" w:pos="1800"/>
        </w:tabs>
        <w:ind w:left="1800"/>
        <w:rPr>
          <w:rFonts w:ascii="Arial" w:hAnsi="Arial"/>
          <w:sz w:val="24"/>
        </w:rPr>
      </w:pPr>
      <w:r>
        <w:rPr>
          <w:rFonts w:ascii="Arial" w:hAnsi="Arial"/>
          <w:sz w:val="24"/>
        </w:rPr>
        <w:t xml:space="preserve">Donor </w:t>
      </w:r>
      <w:r w:rsidR="00D2668D">
        <w:rPr>
          <w:rFonts w:ascii="Arial" w:hAnsi="Arial"/>
          <w:sz w:val="24"/>
        </w:rPr>
        <w:t>unit</w:t>
      </w:r>
      <w:r>
        <w:rPr>
          <w:rFonts w:ascii="Arial" w:hAnsi="Arial"/>
          <w:sz w:val="24"/>
        </w:rPr>
        <w:t xml:space="preserve"> number (including check digit and source code)</w:t>
      </w:r>
    </w:p>
    <w:p w:rsidR="00B55220" w:rsidRDefault="00B55220">
      <w:pPr>
        <w:ind w:left="1440"/>
        <w:rPr>
          <w:rFonts w:ascii="Arial" w:hAnsi="Arial"/>
          <w:sz w:val="24"/>
        </w:rPr>
      </w:pPr>
    </w:p>
    <w:p w:rsidR="00B55220" w:rsidRDefault="00B55220">
      <w:pPr>
        <w:numPr>
          <w:ilvl w:val="0"/>
          <w:numId w:val="4"/>
        </w:numPr>
        <w:tabs>
          <w:tab w:val="clear" w:pos="360"/>
          <w:tab w:val="num" w:pos="1800"/>
        </w:tabs>
        <w:ind w:left="1800"/>
        <w:rPr>
          <w:rFonts w:ascii="Arial" w:hAnsi="Arial"/>
          <w:sz w:val="24"/>
        </w:rPr>
      </w:pPr>
      <w:r>
        <w:rPr>
          <w:rFonts w:ascii="Arial" w:hAnsi="Arial"/>
          <w:sz w:val="24"/>
        </w:rPr>
        <w:t>Compatibility status of the unit</w:t>
      </w:r>
    </w:p>
    <w:p w:rsidR="00B55220" w:rsidRDefault="00B55220">
      <w:pPr>
        <w:ind w:left="1440"/>
        <w:rPr>
          <w:rFonts w:ascii="Arial" w:hAnsi="Arial"/>
          <w:sz w:val="24"/>
        </w:rPr>
      </w:pPr>
    </w:p>
    <w:p w:rsidR="00B55220" w:rsidRDefault="00A9231C">
      <w:pPr>
        <w:numPr>
          <w:ilvl w:val="0"/>
          <w:numId w:val="4"/>
        </w:numPr>
        <w:tabs>
          <w:tab w:val="clear" w:pos="360"/>
          <w:tab w:val="num" w:pos="1800"/>
        </w:tabs>
        <w:ind w:left="1800"/>
        <w:rPr>
          <w:rFonts w:ascii="Arial" w:hAnsi="Arial"/>
          <w:sz w:val="24"/>
        </w:rPr>
      </w:pPr>
      <w:r>
        <w:rPr>
          <w:rFonts w:ascii="Arial" w:hAnsi="Arial"/>
          <w:sz w:val="24"/>
        </w:rPr>
        <w:t>Date and time of issue</w:t>
      </w:r>
    </w:p>
    <w:p w:rsidR="00B55220" w:rsidRDefault="00B55220">
      <w:pPr>
        <w:ind w:left="1440"/>
        <w:rPr>
          <w:rFonts w:ascii="Arial" w:hAnsi="Arial"/>
          <w:sz w:val="24"/>
        </w:rPr>
      </w:pPr>
    </w:p>
    <w:p w:rsidR="00B55220" w:rsidRDefault="00B55220" w:rsidP="00A9231C">
      <w:pPr>
        <w:numPr>
          <w:ilvl w:val="2"/>
          <w:numId w:val="1"/>
        </w:numPr>
        <w:rPr>
          <w:rFonts w:ascii="Arial" w:hAnsi="Arial"/>
          <w:sz w:val="24"/>
        </w:rPr>
      </w:pPr>
      <w:r>
        <w:rPr>
          <w:rFonts w:ascii="Arial" w:hAnsi="Arial"/>
          <w:sz w:val="24"/>
        </w:rPr>
        <w:t xml:space="preserve">For each donor unit, compare the unit number printed on the blood bag with the unit number recorded on the compatibility label.  They must be </w:t>
      </w:r>
      <w:r w:rsidRPr="00D2668D">
        <w:rPr>
          <w:rFonts w:ascii="Arial" w:hAnsi="Arial"/>
          <w:sz w:val="24"/>
        </w:rPr>
        <w:t>identical</w:t>
      </w:r>
      <w:r>
        <w:rPr>
          <w:rFonts w:ascii="Arial" w:hAnsi="Arial"/>
          <w:sz w:val="24"/>
        </w:rPr>
        <w:t>.</w:t>
      </w:r>
    </w:p>
    <w:p w:rsidR="00B55220" w:rsidRDefault="00B55220">
      <w:pPr>
        <w:numPr>
          <w:ilvl w:val="2"/>
          <w:numId w:val="1"/>
        </w:numPr>
        <w:rPr>
          <w:rFonts w:ascii="Arial" w:hAnsi="Arial"/>
          <w:sz w:val="24"/>
        </w:rPr>
      </w:pPr>
      <w:r>
        <w:rPr>
          <w:rFonts w:ascii="Arial" w:hAnsi="Arial"/>
          <w:sz w:val="24"/>
        </w:rPr>
        <w:t xml:space="preserve">Attach a compatibility label </w:t>
      </w:r>
      <w:r w:rsidR="00D2668D">
        <w:rPr>
          <w:rFonts w:ascii="Arial" w:hAnsi="Arial"/>
          <w:sz w:val="24"/>
        </w:rPr>
        <w:t xml:space="preserve">securely </w:t>
      </w:r>
      <w:r>
        <w:rPr>
          <w:rFonts w:ascii="Arial" w:hAnsi="Arial"/>
          <w:sz w:val="24"/>
        </w:rPr>
        <w:t xml:space="preserve">to the </w:t>
      </w:r>
      <w:r w:rsidR="00D2668D">
        <w:rPr>
          <w:rFonts w:ascii="Arial" w:hAnsi="Arial"/>
          <w:sz w:val="24"/>
        </w:rPr>
        <w:t xml:space="preserve">appropriate </w:t>
      </w:r>
      <w:r>
        <w:rPr>
          <w:rFonts w:ascii="Arial" w:hAnsi="Arial"/>
          <w:sz w:val="24"/>
        </w:rPr>
        <w:t>compatible donor units.</w:t>
      </w:r>
    </w:p>
    <w:p w:rsidR="00B55220" w:rsidRDefault="00B55220">
      <w:pPr>
        <w:ind w:left="1440"/>
        <w:rPr>
          <w:rFonts w:ascii="Arial" w:hAnsi="Arial"/>
          <w:sz w:val="24"/>
        </w:rPr>
      </w:pPr>
    </w:p>
    <w:p w:rsidR="00B55220" w:rsidRDefault="001534FF">
      <w:pPr>
        <w:numPr>
          <w:ilvl w:val="2"/>
          <w:numId w:val="1"/>
        </w:numPr>
        <w:rPr>
          <w:rFonts w:ascii="Arial" w:hAnsi="Arial"/>
          <w:sz w:val="24"/>
        </w:rPr>
      </w:pPr>
      <w:r>
        <w:rPr>
          <w:rFonts w:ascii="Arial" w:hAnsi="Arial"/>
          <w:sz w:val="24"/>
        </w:rPr>
        <w:t>Check that each donor unit</w:t>
      </w:r>
      <w:r w:rsidR="00B55220">
        <w:rPr>
          <w:rFonts w:ascii="Arial" w:hAnsi="Arial"/>
          <w:sz w:val="24"/>
        </w:rPr>
        <w:t>:</w:t>
      </w:r>
    </w:p>
    <w:p w:rsidR="00B55220" w:rsidRDefault="00B55220">
      <w:pPr>
        <w:ind w:left="1440"/>
        <w:rPr>
          <w:rFonts w:ascii="Arial" w:hAnsi="Arial"/>
          <w:sz w:val="24"/>
        </w:rPr>
      </w:pPr>
    </w:p>
    <w:p w:rsidR="00B55220" w:rsidRDefault="00B55220">
      <w:pPr>
        <w:numPr>
          <w:ilvl w:val="0"/>
          <w:numId w:val="5"/>
        </w:numPr>
        <w:tabs>
          <w:tab w:val="clear" w:pos="360"/>
          <w:tab w:val="num" w:pos="2520"/>
        </w:tabs>
        <w:ind w:left="2520"/>
        <w:rPr>
          <w:rFonts w:ascii="Arial" w:hAnsi="Arial"/>
          <w:sz w:val="24"/>
        </w:rPr>
      </w:pPr>
      <w:r>
        <w:rPr>
          <w:rFonts w:ascii="Arial" w:hAnsi="Arial"/>
          <w:sz w:val="24"/>
        </w:rPr>
        <w:t>Is suitable for transfusion by performing a visual inspection.  See IM.003 – Visual Inspection of Blood, Blood Components and Fractionated Blood Products</w:t>
      </w:r>
    </w:p>
    <w:p w:rsidR="00B55220" w:rsidRDefault="00B55220">
      <w:pPr>
        <w:ind w:left="2160"/>
        <w:rPr>
          <w:rFonts w:ascii="Arial" w:hAnsi="Arial"/>
          <w:sz w:val="24"/>
        </w:rPr>
      </w:pPr>
    </w:p>
    <w:p w:rsidR="00B55220" w:rsidRDefault="00B55220">
      <w:pPr>
        <w:numPr>
          <w:ilvl w:val="0"/>
          <w:numId w:val="5"/>
        </w:numPr>
        <w:tabs>
          <w:tab w:val="clear" w:pos="360"/>
          <w:tab w:val="num" w:pos="2520"/>
        </w:tabs>
        <w:ind w:left="2520"/>
        <w:rPr>
          <w:rFonts w:ascii="Arial" w:hAnsi="Arial"/>
          <w:sz w:val="24"/>
        </w:rPr>
      </w:pPr>
      <w:r>
        <w:rPr>
          <w:rFonts w:ascii="Arial" w:hAnsi="Arial"/>
          <w:sz w:val="24"/>
        </w:rPr>
        <w:t>Will be in</w:t>
      </w:r>
      <w:r w:rsidR="00D2668D">
        <w:rPr>
          <w:rFonts w:ascii="Arial" w:hAnsi="Arial"/>
          <w:sz w:val="24"/>
        </w:rPr>
        <w:t xml:space="preserve"> </w:t>
      </w:r>
      <w:r>
        <w:rPr>
          <w:rFonts w:ascii="Arial" w:hAnsi="Arial"/>
          <w:sz w:val="24"/>
        </w:rPr>
        <w:t>date for the date of transfusion</w:t>
      </w:r>
    </w:p>
    <w:p w:rsidR="00B55220" w:rsidRDefault="00B55220">
      <w:pPr>
        <w:rPr>
          <w:rFonts w:ascii="Arial" w:hAnsi="Arial"/>
          <w:sz w:val="24"/>
        </w:rPr>
      </w:pPr>
    </w:p>
    <w:p w:rsidR="00B55220" w:rsidRDefault="00B55220">
      <w:pPr>
        <w:numPr>
          <w:ilvl w:val="0"/>
          <w:numId w:val="5"/>
        </w:numPr>
        <w:tabs>
          <w:tab w:val="clear" w:pos="360"/>
          <w:tab w:val="num" w:pos="2520"/>
        </w:tabs>
        <w:ind w:left="2520"/>
        <w:rPr>
          <w:rFonts w:ascii="Arial" w:hAnsi="Arial"/>
          <w:sz w:val="24"/>
        </w:rPr>
      </w:pPr>
      <w:r>
        <w:rPr>
          <w:rFonts w:ascii="Arial" w:hAnsi="Arial"/>
          <w:sz w:val="24"/>
        </w:rPr>
        <w:t>Is the same ABO and Rh as the patient.  If a donor unit with a different ABO and/or Rh has been selected, write an explanatory note at the bottom of the request form or compatibility label, e.g., “This unit is acceptable for transfusion.”</w:t>
      </w:r>
    </w:p>
    <w:p w:rsidR="00B55220" w:rsidRDefault="00B55220">
      <w:pPr>
        <w:ind w:left="2160"/>
        <w:rPr>
          <w:rFonts w:ascii="Arial" w:hAnsi="Arial"/>
          <w:sz w:val="24"/>
        </w:rPr>
      </w:pPr>
    </w:p>
    <w:p w:rsidR="00B55220" w:rsidRDefault="00B55220">
      <w:pPr>
        <w:numPr>
          <w:ilvl w:val="2"/>
          <w:numId w:val="1"/>
        </w:numPr>
        <w:rPr>
          <w:rFonts w:ascii="Arial" w:hAnsi="Arial"/>
          <w:sz w:val="24"/>
        </w:rPr>
      </w:pPr>
      <w:r>
        <w:rPr>
          <w:rFonts w:ascii="Arial" w:hAnsi="Arial"/>
          <w:sz w:val="24"/>
        </w:rPr>
        <w:t xml:space="preserve">Compare the names and identification number(s) on the compatibility label and on the request form (or computer screen) to ensure they are </w:t>
      </w:r>
      <w:r w:rsidRPr="00D2668D">
        <w:rPr>
          <w:rFonts w:ascii="Arial" w:hAnsi="Arial"/>
          <w:sz w:val="24"/>
        </w:rPr>
        <w:t>identical</w:t>
      </w:r>
      <w:r>
        <w:rPr>
          <w:rFonts w:ascii="Arial" w:hAnsi="Arial"/>
          <w:sz w:val="24"/>
        </w:rPr>
        <w:t>.</w:t>
      </w:r>
    </w:p>
    <w:p w:rsidR="00B55220" w:rsidRDefault="00B55220">
      <w:pPr>
        <w:ind w:left="1440"/>
        <w:rPr>
          <w:rFonts w:ascii="Arial" w:hAnsi="Arial"/>
          <w:sz w:val="24"/>
        </w:rPr>
      </w:pPr>
    </w:p>
    <w:p w:rsidR="00B55220" w:rsidRDefault="00B55220">
      <w:pPr>
        <w:numPr>
          <w:ilvl w:val="1"/>
          <w:numId w:val="1"/>
        </w:numPr>
        <w:rPr>
          <w:rFonts w:ascii="Arial" w:hAnsi="Arial"/>
          <w:sz w:val="24"/>
        </w:rPr>
      </w:pPr>
      <w:r>
        <w:rPr>
          <w:rFonts w:ascii="Arial" w:hAnsi="Arial"/>
          <w:sz w:val="24"/>
        </w:rPr>
        <w:t>Place the donor units in the area where crossmatched blood is stored in the refrigerator.  Place the units i</w:t>
      </w:r>
      <w:smartTag w:uri="urn:schemas-microsoft-com:office:smarttags" w:element="PersonName">
        <w:r>
          <w:rPr>
            <w:rFonts w:ascii="Arial" w:hAnsi="Arial"/>
            <w:sz w:val="24"/>
          </w:rPr>
          <w:t>n c</w:t>
        </w:r>
      </w:smartTag>
      <w:r>
        <w:rPr>
          <w:rFonts w:ascii="Arial" w:hAnsi="Arial"/>
          <w:sz w:val="24"/>
        </w:rPr>
        <w:t>hronological order with the oldest unit in the front.</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Perform a clerical check.  For each patient, check that:</w:t>
      </w:r>
    </w:p>
    <w:p w:rsidR="00B55220" w:rsidRDefault="00B55220">
      <w:pPr>
        <w:ind w:left="720"/>
        <w:rPr>
          <w:rFonts w:ascii="Arial" w:hAnsi="Arial"/>
          <w:sz w:val="24"/>
        </w:rPr>
      </w:pPr>
    </w:p>
    <w:p w:rsidR="00B55220" w:rsidRDefault="00B55220">
      <w:pPr>
        <w:numPr>
          <w:ilvl w:val="0"/>
          <w:numId w:val="7"/>
        </w:numPr>
        <w:tabs>
          <w:tab w:val="clear" w:pos="360"/>
          <w:tab w:val="num" w:pos="1800"/>
        </w:tabs>
        <w:ind w:left="1800"/>
        <w:rPr>
          <w:rFonts w:ascii="Arial" w:hAnsi="Arial"/>
          <w:sz w:val="24"/>
        </w:rPr>
      </w:pPr>
      <w:r>
        <w:rPr>
          <w:rFonts w:ascii="Arial" w:hAnsi="Arial"/>
          <w:sz w:val="24"/>
        </w:rPr>
        <w:t>The name and identification number(s) are identical on all specimens and on the request form</w:t>
      </w:r>
    </w:p>
    <w:p w:rsidR="00B55220" w:rsidRDefault="00B55220">
      <w:pPr>
        <w:ind w:left="1440"/>
        <w:rPr>
          <w:rFonts w:ascii="Arial" w:hAnsi="Arial"/>
          <w:sz w:val="24"/>
        </w:rPr>
      </w:pPr>
    </w:p>
    <w:p w:rsidR="00B55220" w:rsidRDefault="00B55220">
      <w:pPr>
        <w:numPr>
          <w:ilvl w:val="0"/>
          <w:numId w:val="7"/>
        </w:numPr>
        <w:tabs>
          <w:tab w:val="clear" w:pos="360"/>
          <w:tab w:val="num" w:pos="1800"/>
        </w:tabs>
        <w:ind w:left="1800"/>
        <w:rPr>
          <w:rFonts w:ascii="Arial" w:hAnsi="Arial"/>
          <w:sz w:val="24"/>
        </w:rPr>
      </w:pPr>
      <w:r>
        <w:rPr>
          <w:rFonts w:ascii="Arial" w:hAnsi="Arial"/>
          <w:sz w:val="24"/>
        </w:rPr>
        <w:t>All test results have been recorded</w:t>
      </w:r>
    </w:p>
    <w:p w:rsidR="00B55220" w:rsidRDefault="00B55220">
      <w:pPr>
        <w:ind w:left="1440"/>
        <w:rPr>
          <w:rFonts w:ascii="Arial" w:hAnsi="Arial"/>
          <w:sz w:val="24"/>
        </w:rPr>
      </w:pPr>
    </w:p>
    <w:p w:rsidR="00B55220" w:rsidRDefault="00B55220">
      <w:pPr>
        <w:numPr>
          <w:ilvl w:val="0"/>
          <w:numId w:val="7"/>
        </w:numPr>
        <w:tabs>
          <w:tab w:val="clear" w:pos="360"/>
          <w:tab w:val="num" w:pos="1800"/>
        </w:tabs>
        <w:ind w:left="1800"/>
        <w:rPr>
          <w:rFonts w:ascii="Arial" w:hAnsi="Arial"/>
          <w:sz w:val="24"/>
        </w:rPr>
      </w:pPr>
      <w:r>
        <w:rPr>
          <w:rFonts w:ascii="Arial" w:hAnsi="Arial"/>
          <w:sz w:val="24"/>
        </w:rPr>
        <w:t>The test results have been reported and interpreted correctly.</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Initial or sign and record the completion time and date on the request form or in the computer.</w:t>
      </w:r>
    </w:p>
    <w:p w:rsidR="00B55220" w:rsidRDefault="00B55220">
      <w:pPr>
        <w:ind w:left="720"/>
        <w:rPr>
          <w:rFonts w:ascii="Arial" w:hAnsi="Arial"/>
          <w:sz w:val="24"/>
        </w:rPr>
      </w:pPr>
    </w:p>
    <w:p w:rsidR="00B55220" w:rsidRDefault="00B55220">
      <w:pPr>
        <w:numPr>
          <w:ilvl w:val="0"/>
          <w:numId w:val="1"/>
        </w:numPr>
        <w:rPr>
          <w:rFonts w:ascii="Arial" w:hAnsi="Arial"/>
          <w:b/>
          <w:sz w:val="28"/>
        </w:rPr>
      </w:pPr>
      <w:r>
        <w:rPr>
          <w:rFonts w:ascii="Arial" w:hAnsi="Arial"/>
          <w:b/>
          <w:sz w:val="28"/>
        </w:rPr>
        <w:t>Reporting</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A computer crossmatch is interpreted as compatible when all criteria is met in the result entry fields.</w:t>
      </w:r>
    </w:p>
    <w:p w:rsidR="00B55220" w:rsidRDefault="00B55220">
      <w:pPr>
        <w:ind w:left="720"/>
        <w:rPr>
          <w:rFonts w:ascii="Arial" w:hAnsi="Arial"/>
          <w:sz w:val="24"/>
        </w:rPr>
      </w:pPr>
    </w:p>
    <w:p w:rsidR="00B55220" w:rsidRDefault="00A9231C">
      <w:pPr>
        <w:numPr>
          <w:ilvl w:val="0"/>
          <w:numId w:val="1"/>
        </w:numPr>
        <w:rPr>
          <w:rFonts w:ascii="Arial" w:hAnsi="Arial"/>
          <w:b/>
          <w:sz w:val="28"/>
        </w:rPr>
      </w:pPr>
      <w:r>
        <w:rPr>
          <w:rFonts w:ascii="Arial" w:hAnsi="Arial"/>
          <w:b/>
          <w:sz w:val="28"/>
        </w:rPr>
        <w:br w:type="page"/>
      </w:r>
      <w:r w:rsidR="00B55220">
        <w:rPr>
          <w:rFonts w:ascii="Arial" w:hAnsi="Arial"/>
          <w:b/>
          <w:sz w:val="28"/>
        </w:rPr>
        <w:t>Procedural Notes</w:t>
      </w:r>
    </w:p>
    <w:p w:rsidR="00B55220" w:rsidRDefault="00B55220">
      <w:pPr>
        <w:rPr>
          <w:rFonts w:ascii="Arial" w:hAnsi="Arial"/>
          <w:sz w:val="24"/>
        </w:rPr>
      </w:pPr>
    </w:p>
    <w:p w:rsidR="00B55220" w:rsidRDefault="00B55220">
      <w:pPr>
        <w:numPr>
          <w:ilvl w:val="1"/>
          <w:numId w:val="1"/>
        </w:numPr>
        <w:rPr>
          <w:rFonts w:ascii="Arial" w:hAnsi="Arial"/>
          <w:sz w:val="24"/>
        </w:rPr>
      </w:pPr>
      <w:r>
        <w:rPr>
          <w:rFonts w:ascii="Arial" w:hAnsi="Arial"/>
          <w:sz w:val="24"/>
        </w:rPr>
        <w:t>The computer crossmatch shall be used for patients presenting with a negative antibody screen and no known history of clinically significant red cell antibodies.</w:t>
      </w:r>
      <w:r>
        <w:rPr>
          <w:rFonts w:ascii="Arial" w:hAnsi="Arial"/>
          <w:sz w:val="24"/>
          <w:vertAlign w:val="superscript"/>
        </w:rPr>
        <w:t>9.1</w:t>
      </w:r>
    </w:p>
    <w:p w:rsidR="00B55220" w:rsidRDefault="00B55220">
      <w:pPr>
        <w:ind w:left="1440"/>
        <w:rPr>
          <w:rFonts w:ascii="Arial" w:hAnsi="Arial"/>
          <w:sz w:val="24"/>
        </w:rPr>
      </w:pPr>
    </w:p>
    <w:p w:rsidR="00B55220" w:rsidRDefault="00B55220">
      <w:pPr>
        <w:numPr>
          <w:ilvl w:val="1"/>
          <w:numId w:val="1"/>
        </w:numPr>
        <w:rPr>
          <w:rFonts w:ascii="Arial" w:hAnsi="Arial"/>
          <w:sz w:val="24"/>
        </w:rPr>
      </w:pPr>
      <w:r>
        <w:rPr>
          <w:rFonts w:ascii="Arial" w:hAnsi="Arial"/>
          <w:sz w:val="24"/>
        </w:rPr>
        <w:t>The patient’s ABO group shall be determined twice.  This shall include ABO determination on the current sample plus one of the following:</w:t>
      </w:r>
      <w:r>
        <w:rPr>
          <w:rFonts w:ascii="Arial" w:hAnsi="Arial"/>
          <w:sz w:val="24"/>
          <w:vertAlign w:val="superscript"/>
        </w:rPr>
        <w:t>9.1</w:t>
      </w:r>
    </w:p>
    <w:p w:rsidR="00B55220" w:rsidRDefault="00B55220">
      <w:pPr>
        <w:ind w:left="720"/>
        <w:rPr>
          <w:rFonts w:ascii="Arial" w:hAnsi="Arial"/>
          <w:sz w:val="24"/>
        </w:rPr>
      </w:pPr>
    </w:p>
    <w:p w:rsidR="00B55220" w:rsidRDefault="00B55220">
      <w:pPr>
        <w:numPr>
          <w:ilvl w:val="0"/>
          <w:numId w:val="9"/>
        </w:numPr>
        <w:tabs>
          <w:tab w:val="clear" w:pos="360"/>
          <w:tab w:val="num" w:pos="1800"/>
        </w:tabs>
        <w:ind w:left="1800"/>
        <w:rPr>
          <w:rFonts w:ascii="Arial" w:hAnsi="Arial"/>
          <w:sz w:val="24"/>
        </w:rPr>
      </w:pPr>
      <w:r>
        <w:rPr>
          <w:rFonts w:ascii="Arial" w:hAnsi="Arial"/>
          <w:sz w:val="24"/>
        </w:rPr>
        <w:t>a second independent testing on the current sample</w:t>
      </w:r>
    </w:p>
    <w:p w:rsidR="00B55220" w:rsidRDefault="00B55220">
      <w:pPr>
        <w:ind w:left="1440"/>
        <w:rPr>
          <w:rFonts w:ascii="Arial" w:hAnsi="Arial"/>
          <w:sz w:val="24"/>
        </w:rPr>
      </w:pPr>
    </w:p>
    <w:p w:rsidR="00B55220" w:rsidRDefault="00B55220">
      <w:pPr>
        <w:numPr>
          <w:ilvl w:val="0"/>
          <w:numId w:val="9"/>
        </w:numPr>
        <w:tabs>
          <w:tab w:val="clear" w:pos="360"/>
          <w:tab w:val="num" w:pos="1800"/>
        </w:tabs>
        <w:ind w:left="1800"/>
        <w:rPr>
          <w:rFonts w:ascii="Arial" w:hAnsi="Arial"/>
          <w:sz w:val="24"/>
        </w:rPr>
      </w:pPr>
      <w:r>
        <w:rPr>
          <w:rFonts w:ascii="Arial" w:hAnsi="Arial"/>
          <w:sz w:val="24"/>
        </w:rPr>
        <w:t>comparison of results of previou</w:t>
      </w:r>
      <w:r w:rsidR="00D2668D">
        <w:rPr>
          <w:rFonts w:ascii="Arial" w:hAnsi="Arial"/>
          <w:sz w:val="24"/>
        </w:rPr>
        <w:t>s ABO testing which are on file</w:t>
      </w:r>
    </w:p>
    <w:p w:rsidR="00D2668D" w:rsidRDefault="00D2668D" w:rsidP="00D2668D">
      <w:pPr>
        <w:rPr>
          <w:rFonts w:ascii="Arial" w:hAnsi="Arial"/>
          <w:sz w:val="24"/>
        </w:rPr>
      </w:pPr>
    </w:p>
    <w:p w:rsidR="00D2668D" w:rsidRDefault="00D2668D">
      <w:pPr>
        <w:numPr>
          <w:ilvl w:val="0"/>
          <w:numId w:val="9"/>
        </w:numPr>
        <w:tabs>
          <w:tab w:val="clear" w:pos="360"/>
          <w:tab w:val="num" w:pos="1800"/>
        </w:tabs>
        <w:ind w:left="1800"/>
        <w:rPr>
          <w:rFonts w:ascii="Arial" w:hAnsi="Arial"/>
          <w:sz w:val="24"/>
        </w:rPr>
      </w:pPr>
      <w:r>
        <w:rPr>
          <w:rFonts w:ascii="Arial" w:hAnsi="Arial"/>
          <w:sz w:val="24"/>
        </w:rPr>
        <w:t>testing of a second correctly identified and labeled specimen</w:t>
      </w:r>
    </w:p>
    <w:p w:rsidR="00B55220" w:rsidRDefault="00B55220">
      <w:pPr>
        <w:ind w:left="1440"/>
        <w:rPr>
          <w:rFonts w:ascii="Arial" w:hAnsi="Arial"/>
          <w:sz w:val="24"/>
        </w:rPr>
      </w:pPr>
    </w:p>
    <w:p w:rsidR="00B55220" w:rsidRDefault="00B55220">
      <w:pPr>
        <w:numPr>
          <w:ilvl w:val="1"/>
          <w:numId w:val="1"/>
        </w:numPr>
        <w:rPr>
          <w:rFonts w:ascii="Arial" w:hAnsi="Arial"/>
          <w:sz w:val="24"/>
        </w:rPr>
      </w:pPr>
      <w:r>
        <w:rPr>
          <w:rFonts w:ascii="Arial" w:hAnsi="Arial"/>
          <w:sz w:val="24"/>
        </w:rPr>
        <w:t>The computer crossmatch system shall alert the user to discrepancies between the current blood group result(s) and/or the results of previous blood group records.</w:t>
      </w:r>
      <w:r>
        <w:rPr>
          <w:rFonts w:ascii="Arial" w:hAnsi="Arial"/>
          <w:sz w:val="24"/>
          <w:vertAlign w:val="superscript"/>
        </w:rPr>
        <w:t>9.1</w:t>
      </w:r>
    </w:p>
    <w:p w:rsidR="00B55220" w:rsidRDefault="00B55220">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 xml:space="preserve">When using a computer crossmatch, the ABO group of donor red cells must be serologically confirmed on receipt by the TM Lab.  ABO interpretation must agree with the blood bag label and discrepancies must be investigated, resolved and documented. </w:t>
      </w:r>
      <w:r>
        <w:rPr>
          <w:rFonts w:ascii="Arial" w:hAnsi="Arial"/>
          <w:sz w:val="24"/>
          <w:vertAlign w:val="superscript"/>
        </w:rPr>
        <w:t>9.1</w:t>
      </w:r>
    </w:p>
    <w:p w:rsidR="00B55220" w:rsidRDefault="00D2668D" w:rsidP="00D2668D">
      <w:pPr>
        <w:ind w:left="1440"/>
        <w:rPr>
          <w:rFonts w:ascii="Arial" w:hAnsi="Arial"/>
          <w:sz w:val="24"/>
        </w:rPr>
      </w:pPr>
      <w:r>
        <w:rPr>
          <w:rFonts w:ascii="Arial" w:hAnsi="Arial"/>
          <w:sz w:val="24"/>
        </w:rPr>
        <w:t>Discrepancies identified must be reported to the blood supplier.</w:t>
      </w:r>
    </w:p>
    <w:p w:rsidR="00D2668D" w:rsidRDefault="00D2668D">
      <w:pPr>
        <w:ind w:left="720"/>
        <w:rPr>
          <w:rFonts w:ascii="Arial" w:hAnsi="Arial"/>
          <w:sz w:val="24"/>
        </w:rPr>
      </w:pPr>
    </w:p>
    <w:p w:rsidR="00B55220" w:rsidRDefault="00B55220">
      <w:pPr>
        <w:numPr>
          <w:ilvl w:val="1"/>
          <w:numId w:val="1"/>
        </w:numPr>
        <w:rPr>
          <w:rFonts w:ascii="Arial" w:hAnsi="Arial"/>
          <w:sz w:val="24"/>
        </w:rPr>
      </w:pPr>
      <w:r>
        <w:rPr>
          <w:rFonts w:ascii="Arial" w:hAnsi="Arial"/>
          <w:sz w:val="24"/>
        </w:rPr>
        <w:t xml:space="preserve">The computer crossmatch system shall have a data base of the donor unit number, type of component, </w:t>
      </w:r>
      <w:r w:rsidR="00D2668D">
        <w:rPr>
          <w:rFonts w:ascii="Arial" w:hAnsi="Arial"/>
          <w:sz w:val="24"/>
        </w:rPr>
        <w:t xml:space="preserve">expiry date and ABO and Rh type (including interpretation of ABO confirmatory test). The information must be verified prior to release of the blood component. </w:t>
      </w:r>
      <w:r w:rsidR="00D2668D" w:rsidRPr="00D2668D">
        <w:rPr>
          <w:rFonts w:ascii="Arial" w:hAnsi="Arial"/>
          <w:sz w:val="24"/>
          <w:szCs w:val="24"/>
          <w:vertAlign w:val="superscript"/>
        </w:rPr>
        <w:t>9.1</w:t>
      </w:r>
    </w:p>
    <w:p w:rsidR="00B55220" w:rsidRDefault="00B55220">
      <w:pPr>
        <w:ind w:left="720"/>
        <w:rPr>
          <w:rFonts w:ascii="Arial" w:hAnsi="Arial"/>
          <w:sz w:val="24"/>
        </w:rPr>
      </w:pPr>
    </w:p>
    <w:p w:rsidR="00B55220" w:rsidRDefault="00B55220">
      <w:pPr>
        <w:numPr>
          <w:ilvl w:val="0"/>
          <w:numId w:val="1"/>
        </w:numPr>
        <w:rPr>
          <w:rFonts w:ascii="Arial" w:hAnsi="Arial"/>
          <w:b/>
          <w:sz w:val="28"/>
        </w:rPr>
      </w:pPr>
      <w:r>
        <w:rPr>
          <w:rFonts w:ascii="Arial" w:hAnsi="Arial"/>
          <w:b/>
          <w:sz w:val="28"/>
        </w:rPr>
        <w:t>References</w:t>
      </w:r>
    </w:p>
    <w:p w:rsidR="00B55220" w:rsidRDefault="00B55220">
      <w:pPr>
        <w:rPr>
          <w:rFonts w:ascii="Arial" w:hAnsi="Arial"/>
          <w:sz w:val="24"/>
        </w:rPr>
      </w:pPr>
    </w:p>
    <w:p w:rsidR="00B55220" w:rsidRDefault="00D2668D">
      <w:pPr>
        <w:numPr>
          <w:ilvl w:val="1"/>
          <w:numId w:val="1"/>
        </w:numPr>
        <w:rPr>
          <w:rFonts w:ascii="Arial" w:hAnsi="Arial"/>
          <w:sz w:val="24"/>
        </w:rPr>
      </w:pPr>
      <w:r>
        <w:rPr>
          <w:rFonts w:ascii="Arial" w:hAnsi="Arial"/>
          <w:sz w:val="24"/>
        </w:rPr>
        <w:t xml:space="preserve">Standards for Hospital Transfusion Services Version </w:t>
      </w:r>
      <w:smartTag w:uri="urn:schemas-microsoft-com:office:smarttags" w:element="date">
        <w:smartTagPr>
          <w:attr w:name="Year" w:val="2007"/>
          <w:attr w:name="Day" w:val="2"/>
          <w:attr w:name="Month" w:val="9"/>
        </w:smartTagPr>
        <w:r>
          <w:rPr>
            <w:rFonts w:ascii="Arial" w:hAnsi="Arial"/>
            <w:sz w:val="24"/>
          </w:rPr>
          <w:t>2 – September 2007</w:t>
        </w:r>
      </w:smartTag>
      <w:r>
        <w:rPr>
          <w:rFonts w:ascii="Arial" w:hAnsi="Arial"/>
          <w:sz w:val="24"/>
        </w:rPr>
        <w:t>. Canadian Society for Transfusion Medicine, 5.3.7.1, 5.3.7.4.5, 5.3.7.4.2, 5.3.7.4.3, 5.3.7.2.1, 5.2.3.3, 5.3.7.3</w:t>
      </w:r>
      <w:r w:rsidR="00A9231C">
        <w:rPr>
          <w:rFonts w:ascii="Arial" w:hAnsi="Arial"/>
          <w:sz w:val="24"/>
        </w:rPr>
        <w:t>, 5.7.21, 5.2.3.5, 5.3.1.6</w:t>
      </w:r>
      <w:r w:rsidR="00B55220">
        <w:rPr>
          <w:rFonts w:ascii="Arial" w:hAnsi="Arial"/>
          <w:sz w:val="24"/>
        </w:rPr>
        <w:t>.</w:t>
      </w:r>
    </w:p>
    <w:p w:rsidR="00B55220" w:rsidRDefault="00B55220">
      <w:pPr>
        <w:ind w:left="720"/>
        <w:rPr>
          <w:rFonts w:ascii="Arial" w:hAnsi="Arial"/>
          <w:sz w:val="24"/>
        </w:rPr>
      </w:pPr>
    </w:p>
    <w:p w:rsidR="00B55220" w:rsidRDefault="00D35998">
      <w:pPr>
        <w:numPr>
          <w:ilvl w:val="1"/>
          <w:numId w:val="1"/>
        </w:numPr>
        <w:rPr>
          <w:rFonts w:ascii="Arial" w:hAnsi="Arial"/>
          <w:sz w:val="24"/>
        </w:rPr>
      </w:pPr>
      <w:r>
        <w:rPr>
          <w:rFonts w:ascii="Arial" w:hAnsi="Arial"/>
          <w:sz w:val="24"/>
        </w:rPr>
        <w:t>Roback JD, ed. American Association of Blood Banks Technical Manual, 16</w:t>
      </w:r>
      <w:r>
        <w:rPr>
          <w:rFonts w:ascii="Arial" w:hAnsi="Arial"/>
          <w:sz w:val="24"/>
          <w:vertAlign w:val="superscript"/>
        </w:rPr>
        <w:t>th</w:t>
      </w:r>
      <w:r>
        <w:rPr>
          <w:rFonts w:ascii="Arial" w:hAnsi="Arial"/>
          <w:sz w:val="24"/>
        </w:rPr>
        <w:t xml:space="preserve"> ed. </w:t>
      </w:r>
      <w:smartTag w:uri="urn:schemas-microsoft-com:office:smarttags" w:element="place">
        <w:smartTag w:uri="urn:schemas-microsoft-com:office:smarttags" w:element="City">
          <w:r>
            <w:rPr>
              <w:rFonts w:ascii="Arial" w:hAnsi="Arial"/>
              <w:sz w:val="24"/>
            </w:rPr>
            <w:t>Bethesda</w:t>
          </w:r>
        </w:smartTag>
      </w:smartTag>
      <w:r>
        <w:rPr>
          <w:rFonts w:ascii="Arial" w:hAnsi="Arial"/>
          <w:sz w:val="24"/>
        </w:rPr>
        <w:t>, MD:  American Association of Blood Banks, 2008: 454</w:t>
      </w:r>
      <w:r w:rsidR="00B55220">
        <w:rPr>
          <w:rFonts w:ascii="Arial" w:hAnsi="Arial"/>
          <w:sz w:val="24"/>
        </w:rPr>
        <w:t>.</w:t>
      </w:r>
    </w:p>
    <w:p w:rsidR="00B55220" w:rsidRDefault="00B55220">
      <w:pPr>
        <w:rPr>
          <w:rFonts w:ascii="Arial" w:hAnsi="Arial"/>
          <w:sz w:val="24"/>
        </w:rPr>
      </w:pPr>
    </w:p>
    <w:sectPr w:rsidR="00B55220">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C3" w:rsidRDefault="00824AC3">
      <w:r>
        <w:separator/>
      </w:r>
    </w:p>
  </w:endnote>
  <w:endnote w:type="continuationSeparator" w:id="0">
    <w:p w:rsidR="00824AC3" w:rsidRDefault="0082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115D7">
      <w:trPr>
        <w:trHeight w:val="720"/>
      </w:trPr>
      <w:tc>
        <w:tcPr>
          <w:tcW w:w="1368" w:type="dxa"/>
        </w:tcPr>
        <w:p w:rsidR="006115D7" w:rsidRDefault="006115D7">
          <w:pPr>
            <w:pStyle w:val="Footer"/>
            <w:jc w:val="center"/>
            <w:rPr>
              <w:sz w:val="8"/>
            </w:rPr>
          </w:pPr>
        </w:p>
        <w:p w:rsidR="006115D7" w:rsidRDefault="00CF1A28">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6115D7" w:rsidRDefault="006115D7">
          <w:pPr>
            <w:pStyle w:val="Footer"/>
            <w:jc w:val="center"/>
            <w:rPr>
              <w:rFonts w:ascii="Arial" w:hAnsi="Arial"/>
              <w:sz w:val="18"/>
            </w:rPr>
          </w:pPr>
        </w:p>
        <w:p w:rsidR="006115D7" w:rsidRDefault="006115D7">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6115D7" w:rsidRDefault="006115D7">
          <w:pPr>
            <w:pStyle w:val="Footer"/>
            <w:jc w:val="center"/>
            <w:rPr>
              <w:rFonts w:ascii="Arial" w:hAnsi="Arial"/>
              <w:sz w:val="18"/>
            </w:rPr>
          </w:pPr>
          <w:r>
            <w:rPr>
              <w:rFonts w:ascii="Arial" w:hAnsi="Arial"/>
              <w:sz w:val="18"/>
            </w:rPr>
            <w:t>Standard Work Instruction Manual</w:t>
          </w:r>
        </w:p>
        <w:p w:rsidR="006115D7" w:rsidRDefault="006115D7">
          <w:pPr>
            <w:pStyle w:val="Footer"/>
            <w:jc w:val="center"/>
            <w:rPr>
              <w:rFonts w:ascii="Arial" w:hAnsi="Arial"/>
              <w:sz w:val="18"/>
            </w:rPr>
          </w:pPr>
        </w:p>
      </w:tc>
      <w:tc>
        <w:tcPr>
          <w:tcW w:w="1494" w:type="dxa"/>
        </w:tcPr>
        <w:p w:rsidR="006115D7" w:rsidRDefault="006115D7">
          <w:pPr>
            <w:pStyle w:val="Footer"/>
            <w:jc w:val="right"/>
            <w:rPr>
              <w:rFonts w:ascii="Arial" w:hAnsi="Arial"/>
              <w:sz w:val="18"/>
            </w:rPr>
          </w:pPr>
        </w:p>
        <w:p w:rsidR="006115D7" w:rsidRDefault="006115D7">
          <w:pPr>
            <w:pStyle w:val="Footer"/>
            <w:jc w:val="right"/>
            <w:rPr>
              <w:rFonts w:ascii="Arial" w:hAnsi="Arial"/>
              <w:sz w:val="18"/>
            </w:rPr>
          </w:pPr>
          <w:r>
            <w:rPr>
              <w:rFonts w:ascii="Arial" w:hAnsi="Arial"/>
              <w:sz w:val="18"/>
            </w:rPr>
            <w:t>RT.009</w:t>
          </w:r>
          <w:r>
            <w:rPr>
              <w:rFonts w:ascii="Arial" w:hAnsi="Arial"/>
              <w:sz w:val="18"/>
            </w:rPr>
            <w:br/>
          </w:r>
        </w:p>
        <w:p w:rsidR="006115D7" w:rsidRDefault="006115D7">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72F0C">
            <w:rPr>
              <w:rFonts w:ascii="Arial" w:hAnsi="Arial"/>
              <w:noProof/>
              <w:snapToGrid w:val="0"/>
              <w:sz w:val="18"/>
            </w:rPr>
            <w:t>6</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72F0C">
            <w:rPr>
              <w:rFonts w:ascii="Arial" w:hAnsi="Arial"/>
              <w:noProof/>
              <w:snapToGrid w:val="0"/>
              <w:sz w:val="18"/>
            </w:rPr>
            <w:t>6</w:t>
          </w:r>
          <w:r>
            <w:rPr>
              <w:rFonts w:ascii="Arial" w:hAnsi="Arial"/>
              <w:snapToGrid w:val="0"/>
              <w:sz w:val="18"/>
            </w:rPr>
            <w:fldChar w:fldCharType="end"/>
          </w:r>
        </w:p>
      </w:tc>
    </w:tr>
  </w:tbl>
  <w:p w:rsidR="006115D7" w:rsidRDefault="0061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6115D7">
      <w:trPr>
        <w:trHeight w:val="720"/>
      </w:trPr>
      <w:tc>
        <w:tcPr>
          <w:tcW w:w="1368" w:type="dxa"/>
        </w:tcPr>
        <w:p w:rsidR="006115D7" w:rsidRDefault="006115D7">
          <w:pPr>
            <w:pStyle w:val="Footer"/>
            <w:jc w:val="center"/>
            <w:rPr>
              <w:rFonts w:ascii="Verdana" w:hAnsi="Verdana"/>
              <w:sz w:val="8"/>
            </w:rPr>
          </w:pPr>
        </w:p>
        <w:p w:rsidR="006115D7" w:rsidRDefault="00CF1A28">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6115D7" w:rsidRDefault="006115D7">
          <w:pPr>
            <w:pStyle w:val="Footer"/>
            <w:jc w:val="center"/>
            <w:rPr>
              <w:rFonts w:ascii="Arial" w:hAnsi="Arial"/>
              <w:sz w:val="18"/>
            </w:rPr>
          </w:pPr>
        </w:p>
        <w:p w:rsidR="006115D7" w:rsidRDefault="006115D7">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6115D7" w:rsidRDefault="006115D7">
          <w:pPr>
            <w:pStyle w:val="Footer"/>
            <w:jc w:val="center"/>
            <w:rPr>
              <w:rFonts w:ascii="Arial" w:hAnsi="Arial"/>
              <w:sz w:val="18"/>
            </w:rPr>
          </w:pPr>
          <w:r>
            <w:rPr>
              <w:rFonts w:ascii="Arial" w:hAnsi="Arial"/>
              <w:sz w:val="18"/>
            </w:rPr>
            <w:t>Standard Work Instruction Manual</w:t>
          </w:r>
        </w:p>
        <w:p w:rsidR="006115D7" w:rsidRDefault="006115D7">
          <w:pPr>
            <w:pStyle w:val="Footer"/>
            <w:jc w:val="center"/>
            <w:rPr>
              <w:rFonts w:ascii="Arial" w:hAnsi="Arial"/>
              <w:sz w:val="18"/>
            </w:rPr>
          </w:pPr>
        </w:p>
      </w:tc>
      <w:tc>
        <w:tcPr>
          <w:tcW w:w="1494" w:type="dxa"/>
        </w:tcPr>
        <w:p w:rsidR="006115D7" w:rsidRDefault="006115D7">
          <w:pPr>
            <w:pStyle w:val="Footer"/>
            <w:jc w:val="right"/>
            <w:rPr>
              <w:rFonts w:ascii="Arial" w:hAnsi="Arial"/>
              <w:sz w:val="18"/>
            </w:rPr>
          </w:pPr>
        </w:p>
        <w:p w:rsidR="006115D7" w:rsidRDefault="006115D7">
          <w:pPr>
            <w:pStyle w:val="Footer"/>
            <w:jc w:val="right"/>
            <w:rPr>
              <w:rFonts w:ascii="Arial" w:hAnsi="Arial"/>
              <w:sz w:val="18"/>
            </w:rPr>
          </w:pPr>
          <w:r>
            <w:rPr>
              <w:rFonts w:ascii="Arial" w:hAnsi="Arial"/>
              <w:sz w:val="18"/>
            </w:rPr>
            <w:t>RT.009</w:t>
          </w:r>
          <w:r>
            <w:rPr>
              <w:rFonts w:ascii="Arial" w:hAnsi="Arial"/>
              <w:sz w:val="18"/>
            </w:rPr>
            <w:br/>
          </w:r>
        </w:p>
        <w:p w:rsidR="006115D7" w:rsidRDefault="006115D7">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72F0C">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72F0C">
            <w:rPr>
              <w:rFonts w:ascii="Arial" w:hAnsi="Arial"/>
              <w:noProof/>
              <w:snapToGrid w:val="0"/>
              <w:sz w:val="18"/>
            </w:rPr>
            <w:t>1</w:t>
          </w:r>
          <w:r>
            <w:rPr>
              <w:rFonts w:ascii="Arial" w:hAnsi="Arial"/>
              <w:snapToGrid w:val="0"/>
              <w:sz w:val="18"/>
            </w:rPr>
            <w:fldChar w:fldCharType="end"/>
          </w:r>
        </w:p>
      </w:tc>
    </w:tr>
  </w:tbl>
  <w:p w:rsidR="006115D7" w:rsidRDefault="0061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C3" w:rsidRDefault="00824AC3">
      <w:r>
        <w:separator/>
      </w:r>
    </w:p>
  </w:footnote>
  <w:footnote w:type="continuationSeparator" w:id="0">
    <w:p w:rsidR="00824AC3" w:rsidRDefault="0082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D7" w:rsidRDefault="006115D7">
    <w:pPr>
      <w:pStyle w:val="Header"/>
      <w:jc w:val="center"/>
      <w:rPr>
        <w:rFonts w:ascii="Arial" w:hAnsi="Arial"/>
        <w:b/>
        <w:sz w:val="28"/>
      </w:rPr>
    </w:pPr>
    <w:r>
      <w:rPr>
        <w:rFonts w:ascii="Arial" w:hAnsi="Arial"/>
        <w:b/>
        <w:sz w:val="28"/>
      </w:rPr>
      <w:t>Computer Crossmatch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D7" w:rsidRDefault="00CF1A28">
    <w:pPr>
      <w:pStyle w:val="Header"/>
      <w:tabs>
        <w:tab w:val="clear" w:pos="8640"/>
        <w:tab w:val="left" w:pos="5280"/>
      </w:tabs>
    </w:pPr>
    <w:r>
      <w:rPr>
        <w:noProof/>
      </w:rPr>
      <w:drawing>
        <wp:inline distT="0" distB="0" distL="0" distR="0">
          <wp:extent cx="1552575" cy="523875"/>
          <wp:effectExtent l="0" t="0" r="0" b="0"/>
          <wp:docPr id="2" name="Picture 2" descr="OH-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rsidR="006115D7" w:rsidRDefault="006115D7">
    <w:pPr>
      <w:pStyle w:val="Header"/>
      <w:tabs>
        <w:tab w:val="clear" w:pos="8640"/>
        <w:tab w:val="left" w:pos="5280"/>
      </w:tabs>
      <w:rPr>
        <w:rFonts w:ascii="Arial" w:hAnsi="Arial" w:cs="Arial"/>
        <w:b/>
        <w:bCs/>
        <w:sz w:val="22"/>
      </w:rPr>
    </w:pPr>
  </w:p>
  <w:p w:rsidR="006115D7" w:rsidRDefault="006115D7">
    <w:pPr>
      <w:pStyle w:val="Header"/>
      <w:jc w:val="center"/>
      <w:rPr>
        <w:rFonts w:ascii="Arial" w:hAnsi="Arial" w:cs="Arial"/>
        <w:b/>
        <w:bCs/>
        <w:sz w:val="22"/>
      </w:rPr>
    </w:pPr>
    <w:r>
      <w:rPr>
        <w:rFonts w:ascii="Arial" w:hAnsi="Arial" w:cs="Arial"/>
        <w:b/>
        <w:bCs/>
        <w:sz w:val="22"/>
      </w:rPr>
      <w:t>PATHOLOGY AND LABORATORY MEDICINE</w:t>
    </w:r>
  </w:p>
  <w:p w:rsidR="006115D7" w:rsidRDefault="006115D7">
    <w:pPr>
      <w:pStyle w:val="Header"/>
      <w:jc w:val="center"/>
      <w:rPr>
        <w:rFonts w:ascii="Arial" w:hAnsi="Arial" w:cs="Arial"/>
        <w:b/>
        <w:bCs/>
        <w:sz w:val="22"/>
      </w:rPr>
    </w:pPr>
    <w:r>
      <w:rPr>
        <w:rFonts w:ascii="Arial" w:hAnsi="Arial" w:cs="Arial"/>
        <w:b/>
        <w:bCs/>
        <w:sz w:val="22"/>
      </w:rPr>
      <w:t>DIVISION OF TRANSFUSION MEDICINE</w:t>
    </w:r>
  </w:p>
  <w:p w:rsidR="006115D7" w:rsidRDefault="006115D7">
    <w:pPr>
      <w:pStyle w:val="Header"/>
      <w:jc w:val="center"/>
      <w:rPr>
        <w:rFonts w:ascii="Arial" w:hAnsi="Arial" w:cs="Arial"/>
        <w:b/>
        <w:bCs/>
        <w:sz w:val="22"/>
      </w:rPr>
    </w:pPr>
    <w:r>
      <w:rPr>
        <w:rFonts w:ascii="Arial" w:hAnsi="Arial" w:cs="Arial"/>
        <w:b/>
        <w:bCs/>
        <w:sz w:val="22"/>
      </w:rPr>
      <w:t>STANDARD WORK INSTRUCTION MANUAL</w:t>
    </w:r>
  </w:p>
  <w:p w:rsidR="006115D7" w:rsidRDefault="006115D7">
    <w:pPr>
      <w:pStyle w:val="Header"/>
      <w:jc w:val="center"/>
      <w:rPr>
        <w:rFonts w:ascii="Arial" w:hAnsi="Arial" w:cs="Arial"/>
        <w:b/>
        <w:bCs/>
        <w:sz w:val="22"/>
      </w:rPr>
    </w:pPr>
  </w:p>
  <w:p w:rsidR="006115D7" w:rsidRDefault="006115D7">
    <w:pPr>
      <w:pStyle w:val="Header"/>
      <w:jc w:val="center"/>
      <w:rPr>
        <w:rFonts w:ascii="Arial" w:hAnsi="Arial"/>
        <w:b/>
        <w:sz w:val="28"/>
      </w:rPr>
    </w:pPr>
    <w:r>
      <w:rPr>
        <w:rFonts w:ascii="Arial" w:hAnsi="Arial"/>
        <w:b/>
        <w:sz w:val="28"/>
      </w:rPr>
      <w:t>Computer Crossmatch</w:t>
    </w:r>
  </w:p>
  <w:p w:rsidR="006115D7" w:rsidRDefault="006115D7">
    <w:pPr>
      <w:pStyle w:val="Header"/>
      <w:jc w:val="center"/>
      <w:rPr>
        <w:rFonts w:ascii="Arial" w:hAnsi="Arial"/>
        <w:b/>
        <w:sz w:val="28"/>
      </w:rPr>
    </w:pPr>
  </w:p>
  <w:p w:rsidR="006115D7" w:rsidRDefault="006115D7">
    <w:pPr>
      <w:pStyle w:val="Header"/>
      <w:jc w:val="center"/>
      <w:rPr>
        <w:rFonts w:ascii="Arial" w:hAnsi="Arial" w:cs="Arial"/>
        <w:b/>
        <w:bCs/>
      </w:rPr>
    </w:pPr>
    <w:r>
      <w:rPr>
        <w:rFonts w:ascii="Arial" w:hAnsi="Arial" w:cs="Arial"/>
        <w:b/>
        <w:bCs/>
      </w:rPr>
      <w:tab/>
    </w:r>
    <w:r w:rsidR="00CF1A28">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0EB3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6115D7">
      <w:tc>
        <w:tcPr>
          <w:tcW w:w="4428" w:type="dxa"/>
        </w:tcPr>
        <w:p w:rsidR="006115D7" w:rsidRDefault="006115D7">
          <w:pPr>
            <w:pStyle w:val="Header"/>
            <w:rPr>
              <w:rFonts w:ascii="Arial" w:hAnsi="Arial" w:cs="Arial"/>
            </w:rPr>
          </w:pPr>
          <w:r>
            <w:rPr>
              <w:rFonts w:ascii="Arial" w:hAnsi="Arial" w:cs="Arial"/>
            </w:rPr>
            <w:t>Approved By:  Dr. Antonio Giulivi</w:t>
          </w:r>
        </w:p>
      </w:tc>
      <w:tc>
        <w:tcPr>
          <w:tcW w:w="4428" w:type="dxa"/>
        </w:tcPr>
        <w:p w:rsidR="006115D7" w:rsidRDefault="006115D7">
          <w:pPr>
            <w:pStyle w:val="Header"/>
            <w:rPr>
              <w:rFonts w:ascii="Arial" w:hAnsi="Arial" w:cs="Arial"/>
              <w:lang w:val="fr-CA"/>
            </w:rPr>
          </w:pPr>
          <w:r>
            <w:rPr>
              <w:rFonts w:ascii="Arial" w:hAnsi="Arial" w:cs="Arial"/>
              <w:lang w:val="fr-CA"/>
            </w:rPr>
            <w:t>Document No: RT.009</w:t>
          </w:r>
        </w:p>
      </w:tc>
    </w:tr>
    <w:tr w:rsidR="006115D7">
      <w:tc>
        <w:tcPr>
          <w:tcW w:w="4428" w:type="dxa"/>
        </w:tcPr>
        <w:p w:rsidR="006115D7" w:rsidRDefault="006115D7">
          <w:pPr>
            <w:pStyle w:val="Header"/>
            <w:rPr>
              <w:rFonts w:ascii="Arial" w:hAnsi="Arial" w:cs="Arial"/>
            </w:rPr>
          </w:pPr>
          <w:r>
            <w:rPr>
              <w:rFonts w:ascii="Arial" w:hAnsi="Arial" w:cs="Arial"/>
            </w:rPr>
            <w:t>Date Issued:  2004/04/05</w:t>
          </w:r>
        </w:p>
      </w:tc>
      <w:tc>
        <w:tcPr>
          <w:tcW w:w="4428" w:type="dxa"/>
        </w:tcPr>
        <w:p w:rsidR="006115D7" w:rsidRDefault="006115D7">
          <w:pPr>
            <w:pStyle w:val="Header"/>
            <w:rPr>
              <w:rFonts w:ascii="Arial" w:hAnsi="Arial" w:cs="Arial"/>
            </w:rPr>
          </w:pPr>
          <w:r>
            <w:rPr>
              <w:rFonts w:ascii="Arial" w:hAnsi="Arial" w:cs="Arial"/>
            </w:rPr>
            <w:t>Category:  Routine Testing</w:t>
          </w:r>
        </w:p>
      </w:tc>
    </w:tr>
    <w:tr w:rsidR="006115D7">
      <w:tc>
        <w:tcPr>
          <w:tcW w:w="4428" w:type="dxa"/>
        </w:tcPr>
        <w:p w:rsidR="006115D7" w:rsidRDefault="006115D7">
          <w:pPr>
            <w:pStyle w:val="Header"/>
            <w:rPr>
              <w:rFonts w:ascii="Arial" w:hAnsi="Arial" w:cs="Arial"/>
            </w:rPr>
          </w:pPr>
          <w:r>
            <w:rPr>
              <w:rFonts w:ascii="Arial" w:hAnsi="Arial" w:cs="Arial"/>
            </w:rPr>
            <w:t>Date Revised:  2009/09/01</w:t>
          </w:r>
        </w:p>
      </w:tc>
      <w:tc>
        <w:tcPr>
          <w:tcW w:w="4428" w:type="dxa"/>
        </w:tcPr>
        <w:p w:rsidR="006115D7" w:rsidRDefault="006115D7">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72F0C">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72F0C">
            <w:rPr>
              <w:rFonts w:ascii="Arial" w:hAnsi="Arial" w:cs="Arial"/>
              <w:noProof/>
            </w:rPr>
            <w:t>1</w:t>
          </w:r>
          <w:r>
            <w:rPr>
              <w:rFonts w:ascii="Arial" w:hAnsi="Arial" w:cs="Arial"/>
            </w:rPr>
            <w:fldChar w:fldCharType="end"/>
          </w:r>
        </w:p>
      </w:tc>
    </w:tr>
  </w:tbl>
  <w:p w:rsidR="006115D7" w:rsidRDefault="00CF1A28">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35D3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6115D7">
      <w:rPr>
        <w:rFonts w:ascii="Arial" w:hAnsi="Arial" w:cs="Arial"/>
      </w:rPr>
      <w:tab/>
    </w:r>
    <w:r w:rsidR="006115D7">
      <w:rPr>
        <w:rFonts w:ascii="Arial" w:hAnsi="Arial" w:cs="Arial"/>
      </w:rPr>
      <w:tab/>
    </w:r>
  </w:p>
  <w:p w:rsidR="006115D7" w:rsidRDefault="0061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232"/>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A759EB"/>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12E805A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 w15:restartNumberingAfterBreak="0">
    <w:nsid w:val="14A94EC4"/>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7195085"/>
    <w:multiLevelType w:val="multilevel"/>
    <w:tmpl w:val="9AF08D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E53705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38B25104"/>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C276A72"/>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42EC07B9"/>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604583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0" w15:restartNumberingAfterBreak="0">
    <w:nsid w:val="569C6627"/>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5ADA2592"/>
    <w:multiLevelType w:val="multilevel"/>
    <w:tmpl w:val="F790E3A0"/>
    <w:lvl w:ilvl="0">
      <w:start w:val="6"/>
      <w:numFmt w:val="decimal"/>
      <w:lvlText w:val="%1"/>
      <w:lvlJc w:val="left"/>
      <w:pPr>
        <w:tabs>
          <w:tab w:val="num" w:pos="720"/>
        </w:tabs>
        <w:ind w:left="720" w:hanging="72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FBA20FF"/>
    <w:multiLevelType w:val="hybridMultilevel"/>
    <w:tmpl w:val="1372828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645E3191"/>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4F232C2"/>
    <w:multiLevelType w:val="multilevel"/>
    <w:tmpl w:val="93EE9D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9"/>
  </w:num>
  <w:num w:numId="3">
    <w:abstractNumId w:val="5"/>
  </w:num>
  <w:num w:numId="4">
    <w:abstractNumId w:val="6"/>
  </w:num>
  <w:num w:numId="5">
    <w:abstractNumId w:val="7"/>
  </w:num>
  <w:num w:numId="6">
    <w:abstractNumId w:val="11"/>
  </w:num>
  <w:num w:numId="7">
    <w:abstractNumId w:val="2"/>
  </w:num>
  <w:num w:numId="8">
    <w:abstractNumId w:val="1"/>
  </w:num>
  <w:num w:numId="9">
    <w:abstractNumId w:val="10"/>
  </w:num>
  <w:num w:numId="10">
    <w:abstractNumId w:val="4"/>
  </w:num>
  <w:num w:numId="11">
    <w:abstractNumId w:val="12"/>
  </w:num>
  <w:num w:numId="12">
    <w:abstractNumId w:val="8"/>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20"/>
    <w:rsid w:val="0007041F"/>
    <w:rsid w:val="00147A92"/>
    <w:rsid w:val="001534FF"/>
    <w:rsid w:val="005D1B14"/>
    <w:rsid w:val="006115D7"/>
    <w:rsid w:val="006D3200"/>
    <w:rsid w:val="00703D68"/>
    <w:rsid w:val="00824AC3"/>
    <w:rsid w:val="00896957"/>
    <w:rsid w:val="009B44F7"/>
    <w:rsid w:val="00A64C66"/>
    <w:rsid w:val="00A9231C"/>
    <w:rsid w:val="00B55220"/>
    <w:rsid w:val="00C64130"/>
    <w:rsid w:val="00C72F0C"/>
    <w:rsid w:val="00CF1A28"/>
    <w:rsid w:val="00D2668D"/>
    <w:rsid w:val="00D35998"/>
    <w:rsid w:val="00D61D50"/>
    <w:rsid w:val="00F64F07"/>
    <w:rsid w:val="00F85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14549C2-5C9C-48F2-A41F-F29DD1C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1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RT.009 Computer Crossmatch</vt:lpstr>
    </vt:vector>
  </TitlesOfParts>
  <Company>The Ottawa Hospital</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RT.009 Computer Crossmatch</dc:title>
  <dc:subject/>
  <dc:creator>Transfusion Ontario Program Office</dc:creator>
  <cp:keywords/>
  <cp:lastModifiedBy>Nesrallah, Heather</cp:lastModifiedBy>
  <cp:revision>2</cp:revision>
  <cp:lastPrinted>2003-05-29T12:23:00Z</cp:lastPrinted>
  <dcterms:created xsi:type="dcterms:W3CDTF">2020-08-10T17:21:00Z</dcterms:created>
  <dcterms:modified xsi:type="dcterms:W3CDTF">2020-08-10T17:21:00Z</dcterms:modified>
</cp:coreProperties>
</file>