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2DB" w:rsidRDefault="000E12DB">
      <w:pPr>
        <w:numPr>
          <w:ilvl w:val="0"/>
          <w:numId w:val="1"/>
        </w:numPr>
        <w:rPr>
          <w:rFonts w:ascii="Arial" w:hAnsi="Arial"/>
          <w:b/>
          <w:sz w:val="28"/>
        </w:rPr>
      </w:pPr>
      <w:bookmarkStart w:id="0" w:name="_GoBack"/>
      <w:bookmarkEnd w:id="0"/>
      <w:r>
        <w:rPr>
          <w:rFonts w:ascii="Arial" w:hAnsi="Arial"/>
          <w:b/>
          <w:sz w:val="28"/>
        </w:rPr>
        <w:t>Principle</w:t>
      </w:r>
    </w:p>
    <w:p w:rsidR="000E12DB" w:rsidRDefault="000E12DB">
      <w:pPr>
        <w:rPr>
          <w:rFonts w:ascii="Arial" w:hAnsi="Arial"/>
          <w:sz w:val="24"/>
        </w:rPr>
      </w:pPr>
    </w:p>
    <w:p w:rsidR="000E12DB" w:rsidRDefault="000E12DB">
      <w:pPr>
        <w:ind w:left="720"/>
        <w:rPr>
          <w:rFonts w:ascii="Arial" w:hAnsi="Arial"/>
          <w:sz w:val="24"/>
        </w:rPr>
      </w:pPr>
      <w:r>
        <w:rPr>
          <w:rFonts w:ascii="Arial" w:hAnsi="Arial"/>
          <w:sz w:val="24"/>
        </w:rPr>
        <w:t>To determine the Rh (D) type in human blood.</w:t>
      </w:r>
    </w:p>
    <w:p w:rsidR="000E12DB" w:rsidRDefault="000E12DB">
      <w:pPr>
        <w:ind w:left="720"/>
        <w:rPr>
          <w:rFonts w:ascii="Arial" w:hAnsi="Arial"/>
          <w:sz w:val="24"/>
        </w:rPr>
      </w:pPr>
    </w:p>
    <w:p w:rsidR="000E12DB" w:rsidRDefault="000E12DB">
      <w:pPr>
        <w:ind w:left="720"/>
        <w:rPr>
          <w:rFonts w:ascii="Arial" w:hAnsi="Arial"/>
          <w:sz w:val="24"/>
        </w:rPr>
      </w:pPr>
      <w:r>
        <w:rPr>
          <w:rFonts w:ascii="Arial" w:hAnsi="Arial"/>
          <w:sz w:val="24"/>
        </w:rPr>
        <w:t>Rh (D) type is determined by the presence or absence of</w:t>
      </w:r>
      <w:r w:rsidR="00A00601">
        <w:rPr>
          <w:rFonts w:ascii="Arial" w:hAnsi="Arial"/>
          <w:sz w:val="24"/>
        </w:rPr>
        <w:t xml:space="preserve"> the</w:t>
      </w:r>
      <w:r>
        <w:rPr>
          <w:rFonts w:ascii="Arial" w:hAnsi="Arial"/>
          <w:sz w:val="24"/>
        </w:rPr>
        <w:t xml:space="preserve"> D antigen on red cells. D antigen is detected on cells using a direct agglutination test with anti-D</w:t>
      </w:r>
      <w:r w:rsidR="00A00601">
        <w:rPr>
          <w:rFonts w:ascii="Arial" w:hAnsi="Arial"/>
          <w:sz w:val="24"/>
        </w:rPr>
        <w:t xml:space="preserve"> reagent</w:t>
      </w:r>
      <w:r>
        <w:rPr>
          <w:rFonts w:ascii="Arial" w:hAnsi="Arial"/>
          <w:sz w:val="24"/>
        </w:rPr>
        <w:t>.</w:t>
      </w:r>
    </w:p>
    <w:p w:rsidR="000E12DB" w:rsidRDefault="000E12DB">
      <w:pPr>
        <w:ind w:left="720"/>
        <w:rPr>
          <w:rFonts w:ascii="Arial" w:hAnsi="Arial"/>
          <w:sz w:val="24"/>
        </w:rPr>
      </w:pPr>
    </w:p>
    <w:p w:rsidR="000E12DB" w:rsidRDefault="000E12DB">
      <w:pPr>
        <w:numPr>
          <w:ilvl w:val="0"/>
          <w:numId w:val="1"/>
        </w:numPr>
        <w:rPr>
          <w:rFonts w:ascii="Arial" w:hAnsi="Arial"/>
          <w:b/>
          <w:sz w:val="28"/>
        </w:rPr>
      </w:pPr>
      <w:r>
        <w:rPr>
          <w:rFonts w:ascii="Arial" w:hAnsi="Arial"/>
          <w:b/>
          <w:sz w:val="28"/>
        </w:rPr>
        <w:t>Scope and Related Policies</w:t>
      </w:r>
    </w:p>
    <w:p w:rsidR="000E12DB" w:rsidRDefault="000E12DB">
      <w:pPr>
        <w:ind w:left="720"/>
        <w:rPr>
          <w:rFonts w:ascii="Arial" w:hAnsi="Arial"/>
          <w:sz w:val="24"/>
        </w:rPr>
      </w:pPr>
    </w:p>
    <w:p w:rsidR="000E12DB" w:rsidRDefault="000E12DB">
      <w:pPr>
        <w:ind w:left="720"/>
        <w:rPr>
          <w:rFonts w:ascii="Arial" w:hAnsi="Arial"/>
          <w:sz w:val="24"/>
        </w:rPr>
      </w:pPr>
      <w:r>
        <w:rPr>
          <w:rFonts w:ascii="Arial" w:hAnsi="Arial"/>
          <w:sz w:val="24"/>
        </w:rPr>
        <w:t>N</w:t>
      </w:r>
      <w:r w:rsidR="00411DF3">
        <w:rPr>
          <w:rFonts w:ascii="Arial" w:hAnsi="Arial"/>
          <w:sz w:val="24"/>
        </w:rPr>
        <w:t>ote:</w:t>
      </w:r>
      <w:r>
        <w:rPr>
          <w:rFonts w:ascii="Arial" w:hAnsi="Arial"/>
          <w:sz w:val="24"/>
        </w:rPr>
        <w:t xml:space="preserve"> ABO grouping, Rh typing and antibody screen together make up a group and screen procedure.</w:t>
      </w:r>
    </w:p>
    <w:p w:rsidR="000E12DB" w:rsidRDefault="000E12DB">
      <w:pPr>
        <w:ind w:left="720"/>
        <w:rPr>
          <w:rFonts w:ascii="Arial" w:hAnsi="Arial"/>
          <w:sz w:val="24"/>
        </w:rPr>
      </w:pPr>
    </w:p>
    <w:p w:rsidR="000E12DB" w:rsidRDefault="000E12DB">
      <w:pPr>
        <w:numPr>
          <w:ilvl w:val="1"/>
          <w:numId w:val="1"/>
        </w:numPr>
        <w:rPr>
          <w:rFonts w:ascii="Arial" w:hAnsi="Arial"/>
          <w:sz w:val="24"/>
        </w:rPr>
      </w:pPr>
      <w:r>
        <w:rPr>
          <w:rFonts w:ascii="Arial" w:hAnsi="Arial"/>
          <w:sz w:val="24"/>
        </w:rPr>
        <w:t xml:space="preserve">The Rh type shall be determined by testing the patient’s red cells with anti-D reagent. </w:t>
      </w:r>
      <w:r>
        <w:rPr>
          <w:rFonts w:ascii="Arial" w:hAnsi="Arial"/>
          <w:sz w:val="24"/>
          <w:vertAlign w:val="superscript"/>
        </w:rPr>
        <w:t>9.1</w:t>
      </w:r>
    </w:p>
    <w:p w:rsidR="000E12DB" w:rsidRDefault="000E12DB">
      <w:pPr>
        <w:ind w:left="720"/>
        <w:rPr>
          <w:rFonts w:ascii="Arial" w:hAnsi="Arial"/>
          <w:sz w:val="24"/>
        </w:rPr>
      </w:pPr>
    </w:p>
    <w:p w:rsidR="000E12DB" w:rsidRDefault="000E12DB">
      <w:pPr>
        <w:numPr>
          <w:ilvl w:val="1"/>
          <w:numId w:val="1"/>
        </w:numPr>
        <w:rPr>
          <w:rFonts w:ascii="Arial" w:hAnsi="Arial"/>
          <w:sz w:val="24"/>
        </w:rPr>
      </w:pPr>
      <w:r>
        <w:rPr>
          <w:rFonts w:ascii="Arial" w:hAnsi="Arial"/>
          <w:sz w:val="24"/>
        </w:rPr>
        <w:t>If an Rh typing problem is detected and transfusion is necessary before resolution, for pre-menopausal females and children Rh negative blood products must be issued until the problem is resolved. Other patients, in the absence of a known anti-D, may receive Rh positive blood in emergency situations when there is a shortage of Rh negative blood.</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When testing potential blood product recipients, the test for weak D is unnecessary except as stated in 2.7.1.</w:t>
      </w:r>
      <w:r>
        <w:rPr>
          <w:rFonts w:ascii="Arial" w:hAnsi="Arial"/>
          <w:sz w:val="24"/>
          <w:vertAlign w:val="superscript"/>
        </w:rPr>
        <w:t>9.1</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Obstetrical patients that type as Rh positive or weak D positive should be designated as Rh positive. Patients whose red cells type as Rh negative should be designated as Rh negative.</w:t>
      </w:r>
      <w:r>
        <w:rPr>
          <w:rFonts w:ascii="Arial" w:hAnsi="Arial"/>
          <w:sz w:val="24"/>
          <w:vertAlign w:val="superscript"/>
        </w:rPr>
        <w:t>9.1</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 xml:space="preserve">Previous transfusion records </w:t>
      </w:r>
      <w:r w:rsidR="00411DF3">
        <w:rPr>
          <w:rFonts w:ascii="Arial" w:hAnsi="Arial"/>
          <w:sz w:val="24"/>
        </w:rPr>
        <w:t>must</w:t>
      </w:r>
      <w:r>
        <w:rPr>
          <w:rFonts w:ascii="Arial" w:hAnsi="Arial"/>
          <w:sz w:val="24"/>
        </w:rPr>
        <w:t xml:space="preserve"> be reviewed. Previous results must be compared with current results.</w:t>
      </w:r>
      <w:r>
        <w:rPr>
          <w:rFonts w:ascii="Arial" w:hAnsi="Arial"/>
          <w:sz w:val="24"/>
          <w:vertAlign w:val="superscript"/>
        </w:rPr>
        <w:t>9.1</w:t>
      </w:r>
    </w:p>
    <w:p w:rsidR="000E12DB" w:rsidRDefault="000E12DB">
      <w:pPr>
        <w:rPr>
          <w:rFonts w:ascii="Arial" w:hAnsi="Arial"/>
          <w:sz w:val="24"/>
        </w:rPr>
      </w:pPr>
    </w:p>
    <w:p w:rsidR="000E12DB" w:rsidRDefault="00A00601">
      <w:pPr>
        <w:numPr>
          <w:ilvl w:val="1"/>
          <w:numId w:val="1"/>
        </w:numPr>
        <w:rPr>
          <w:rFonts w:ascii="Arial" w:hAnsi="Arial"/>
          <w:sz w:val="24"/>
        </w:rPr>
      </w:pPr>
      <w:r>
        <w:rPr>
          <w:rFonts w:ascii="Arial" w:hAnsi="Arial"/>
          <w:sz w:val="24"/>
        </w:rPr>
        <w:t>A control system, appropriate to the anti-D reagent in use, shall be included.</w:t>
      </w:r>
      <w:r w:rsidR="00DF6F28">
        <w:rPr>
          <w:rFonts w:ascii="Arial" w:hAnsi="Arial"/>
          <w:sz w:val="24"/>
          <w:vertAlign w:val="superscript"/>
        </w:rPr>
        <w:t>9.1</w:t>
      </w:r>
      <w:r>
        <w:rPr>
          <w:rFonts w:ascii="Arial" w:hAnsi="Arial"/>
          <w:sz w:val="24"/>
        </w:rPr>
        <w:t xml:space="preserve">  If this control is positive, the Rh typing must be repeated with an appropriate anti-D reagent and control</w:t>
      </w:r>
      <w:r>
        <w:rPr>
          <w:rFonts w:ascii="Arial" w:hAnsi="Arial"/>
          <w:sz w:val="24"/>
          <w:vertAlign w:val="superscript"/>
        </w:rPr>
        <w:t xml:space="preserve"> </w:t>
      </w:r>
    </w:p>
    <w:p w:rsidR="000E12DB" w:rsidRDefault="000E12DB">
      <w:pPr>
        <w:rPr>
          <w:rFonts w:ascii="Arial" w:hAnsi="Arial"/>
          <w:sz w:val="24"/>
        </w:rPr>
      </w:pPr>
    </w:p>
    <w:p w:rsidR="000E12DB" w:rsidRDefault="000E12DB" w:rsidP="00A00601">
      <w:pPr>
        <w:numPr>
          <w:ilvl w:val="2"/>
          <w:numId w:val="1"/>
        </w:numPr>
        <w:rPr>
          <w:rFonts w:ascii="Arial" w:hAnsi="Arial"/>
          <w:sz w:val="24"/>
        </w:rPr>
      </w:pPr>
      <w:r>
        <w:rPr>
          <w:rFonts w:ascii="Arial" w:hAnsi="Arial"/>
          <w:sz w:val="24"/>
        </w:rPr>
        <w:t xml:space="preserve">Although some manufacturers do not recommend an Rh control, all manufacturers list as a test limitation the possibility that false positive reactions may occur if the test red cells are strongly agglutinated prior to the addition of the reagent. This is also true with bacterial </w:t>
      </w:r>
      <w:r w:rsidR="00A00601">
        <w:rPr>
          <w:rFonts w:ascii="Arial" w:hAnsi="Arial"/>
          <w:sz w:val="24"/>
        </w:rPr>
        <w:t xml:space="preserve">contamination of the specimen. </w:t>
      </w:r>
      <w:r>
        <w:rPr>
          <w:rFonts w:ascii="Arial" w:hAnsi="Arial"/>
          <w:sz w:val="24"/>
        </w:rPr>
        <w:t>Therefore an Rh control should be tested concurrently with anti-D antisera. See Quality Control 5.3.</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For neonatal patients:</w:t>
      </w:r>
    </w:p>
    <w:p w:rsidR="000E12DB" w:rsidRDefault="000E12DB">
      <w:pPr>
        <w:ind w:left="720"/>
        <w:rPr>
          <w:rFonts w:ascii="Arial" w:hAnsi="Arial"/>
          <w:sz w:val="24"/>
        </w:rPr>
      </w:pPr>
    </w:p>
    <w:p w:rsidR="000E12DB" w:rsidRDefault="000E12DB">
      <w:pPr>
        <w:numPr>
          <w:ilvl w:val="2"/>
          <w:numId w:val="1"/>
        </w:numPr>
        <w:rPr>
          <w:rFonts w:ascii="Arial" w:hAnsi="Arial"/>
          <w:sz w:val="24"/>
        </w:rPr>
      </w:pPr>
      <w:r>
        <w:rPr>
          <w:rFonts w:ascii="Arial" w:hAnsi="Arial"/>
          <w:sz w:val="24"/>
        </w:rPr>
        <w:t xml:space="preserve">Testing for weak D </w:t>
      </w:r>
      <w:r w:rsidR="00DF6F28">
        <w:rPr>
          <w:rFonts w:ascii="Arial" w:hAnsi="Arial"/>
          <w:sz w:val="24"/>
        </w:rPr>
        <w:t xml:space="preserve">shall </w:t>
      </w:r>
      <w:r>
        <w:rPr>
          <w:rFonts w:ascii="Arial" w:hAnsi="Arial"/>
          <w:sz w:val="24"/>
        </w:rPr>
        <w:t xml:space="preserve"> be performed on infants who type as Rh negative if their mother is Rh negative and has no evidence of Rh alloimmunization.</w:t>
      </w:r>
      <w:r>
        <w:rPr>
          <w:rFonts w:ascii="Arial" w:hAnsi="Arial"/>
          <w:sz w:val="24"/>
          <w:vertAlign w:val="superscript"/>
        </w:rPr>
        <w:t>9.1</w:t>
      </w:r>
    </w:p>
    <w:p w:rsidR="000E12DB" w:rsidRDefault="000E12DB">
      <w:pPr>
        <w:ind w:left="1440"/>
        <w:rPr>
          <w:rFonts w:ascii="Arial" w:hAnsi="Arial"/>
          <w:sz w:val="24"/>
        </w:rPr>
      </w:pPr>
    </w:p>
    <w:p w:rsidR="000E12DB" w:rsidRDefault="000E12DB">
      <w:pPr>
        <w:numPr>
          <w:ilvl w:val="2"/>
          <w:numId w:val="1"/>
        </w:numPr>
        <w:rPr>
          <w:rFonts w:ascii="Arial" w:hAnsi="Arial"/>
          <w:sz w:val="24"/>
        </w:rPr>
      </w:pPr>
      <w:r>
        <w:rPr>
          <w:rFonts w:ascii="Arial" w:hAnsi="Arial"/>
          <w:sz w:val="24"/>
        </w:rPr>
        <w:t>A venous or capillary blood specimen should be used for all pre-transfusion testing. Cord blood must not be used for pre-transfusion testing.</w:t>
      </w:r>
      <w:r>
        <w:rPr>
          <w:rFonts w:ascii="Arial" w:hAnsi="Arial"/>
          <w:sz w:val="24"/>
          <w:vertAlign w:val="superscript"/>
        </w:rPr>
        <w:t>9.1</w:t>
      </w:r>
    </w:p>
    <w:p w:rsidR="000E12DB" w:rsidRDefault="000E12DB">
      <w:pPr>
        <w:rPr>
          <w:rFonts w:ascii="Arial" w:hAnsi="Arial"/>
          <w:sz w:val="24"/>
        </w:rPr>
      </w:pPr>
    </w:p>
    <w:p w:rsidR="000E12DB" w:rsidRDefault="000E12DB">
      <w:pPr>
        <w:numPr>
          <w:ilvl w:val="3"/>
          <w:numId w:val="1"/>
        </w:numPr>
        <w:rPr>
          <w:rFonts w:ascii="Arial" w:hAnsi="Arial"/>
          <w:sz w:val="24"/>
        </w:rPr>
      </w:pPr>
      <w:r>
        <w:rPr>
          <w:rFonts w:ascii="Arial" w:hAnsi="Arial"/>
          <w:sz w:val="24"/>
        </w:rPr>
        <w:t xml:space="preserve">For other purposes (e.g., investigation of Hemolytic Disease of the </w:t>
      </w:r>
      <w:r w:rsidR="00A00601">
        <w:rPr>
          <w:rFonts w:ascii="Arial" w:hAnsi="Arial"/>
          <w:sz w:val="24"/>
        </w:rPr>
        <w:t xml:space="preserve">Fetus and </w:t>
      </w:r>
      <w:r>
        <w:rPr>
          <w:rFonts w:ascii="Arial" w:hAnsi="Arial"/>
          <w:sz w:val="24"/>
        </w:rPr>
        <w:t xml:space="preserve">Newborn or to assess the need for injection of Rh Immune Globulin to the mother), a cord blood or a </w:t>
      </w:r>
      <w:r w:rsidR="00A00601">
        <w:rPr>
          <w:rFonts w:ascii="Arial" w:hAnsi="Arial"/>
          <w:sz w:val="24"/>
        </w:rPr>
        <w:t>venous</w:t>
      </w:r>
      <w:r>
        <w:rPr>
          <w:rFonts w:ascii="Arial" w:hAnsi="Arial"/>
          <w:sz w:val="24"/>
        </w:rPr>
        <w:t xml:space="preserve"> specimen may be used to determine Rh typing.</w:t>
      </w:r>
    </w:p>
    <w:p w:rsidR="000E12DB" w:rsidRDefault="000E12DB">
      <w:pPr>
        <w:ind w:left="2160"/>
        <w:rPr>
          <w:rFonts w:ascii="Arial" w:hAnsi="Arial"/>
          <w:sz w:val="24"/>
        </w:rPr>
      </w:pPr>
    </w:p>
    <w:p w:rsidR="000E12DB" w:rsidRDefault="000E12DB">
      <w:pPr>
        <w:numPr>
          <w:ilvl w:val="2"/>
          <w:numId w:val="1"/>
        </w:numPr>
        <w:rPr>
          <w:rFonts w:ascii="Arial" w:hAnsi="Arial"/>
          <w:sz w:val="24"/>
        </w:rPr>
      </w:pPr>
      <w:r>
        <w:rPr>
          <w:rFonts w:ascii="Arial" w:hAnsi="Arial"/>
          <w:sz w:val="24"/>
        </w:rPr>
        <w:t>The initial pre-transfusion blood specimen shall be tested for ABO and Rh antigens and for clinically significant antibodies.</w:t>
      </w:r>
      <w:r>
        <w:rPr>
          <w:rFonts w:ascii="Arial" w:hAnsi="Arial"/>
          <w:sz w:val="24"/>
          <w:vertAlign w:val="superscript"/>
        </w:rPr>
        <w:t>9.1</w:t>
      </w:r>
      <w:r>
        <w:rPr>
          <w:rFonts w:ascii="Arial" w:hAnsi="Arial"/>
          <w:sz w:val="24"/>
        </w:rPr>
        <w:t xml:space="preserve"> For neonatal patients these test</w:t>
      </w:r>
      <w:r w:rsidR="00A00601">
        <w:rPr>
          <w:rFonts w:ascii="Arial" w:hAnsi="Arial"/>
          <w:sz w:val="24"/>
        </w:rPr>
        <w:t>s</w:t>
      </w:r>
      <w:r>
        <w:rPr>
          <w:rFonts w:ascii="Arial" w:hAnsi="Arial"/>
          <w:sz w:val="24"/>
        </w:rPr>
        <w:t xml:space="preserve"> may be performed on the maternal sample for crossmatching and/or antibody screening.</w:t>
      </w:r>
    </w:p>
    <w:p w:rsidR="000E12DB" w:rsidRDefault="000E12DB">
      <w:pPr>
        <w:ind w:left="1440"/>
        <w:rPr>
          <w:rFonts w:ascii="Arial" w:hAnsi="Arial"/>
          <w:sz w:val="24"/>
        </w:rPr>
      </w:pPr>
    </w:p>
    <w:p w:rsidR="000E12DB" w:rsidRDefault="000E12DB">
      <w:pPr>
        <w:numPr>
          <w:ilvl w:val="2"/>
          <w:numId w:val="1"/>
        </w:numPr>
        <w:rPr>
          <w:rFonts w:ascii="Arial" w:hAnsi="Arial"/>
          <w:sz w:val="24"/>
        </w:rPr>
      </w:pPr>
      <w:r>
        <w:rPr>
          <w:rFonts w:ascii="Arial" w:hAnsi="Arial"/>
          <w:sz w:val="24"/>
        </w:rPr>
        <w:t>Repeat ABO and Rh typing may be omitted for the remainder of the neonatal period</w:t>
      </w:r>
      <w:r w:rsidR="00A00601">
        <w:rPr>
          <w:rFonts w:ascii="Arial" w:hAnsi="Arial"/>
          <w:sz w:val="24"/>
        </w:rPr>
        <w:t xml:space="preserve"> (up to four months)</w:t>
      </w:r>
      <w:r>
        <w:rPr>
          <w:rFonts w:ascii="Arial" w:hAnsi="Arial"/>
          <w:sz w:val="24"/>
        </w:rPr>
        <w:t xml:space="preserve"> during any one hospital admission.</w:t>
      </w:r>
      <w:r>
        <w:rPr>
          <w:rFonts w:ascii="Arial" w:hAnsi="Arial"/>
          <w:sz w:val="24"/>
          <w:vertAlign w:val="superscript"/>
        </w:rPr>
        <w:t>9.1</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 xml:space="preserve">For apparent Rh negative obstetrical patients testing for weak D </w:t>
      </w:r>
      <w:r w:rsidR="00A00601">
        <w:rPr>
          <w:rFonts w:ascii="Arial" w:hAnsi="Arial"/>
          <w:sz w:val="24"/>
        </w:rPr>
        <w:t>may be</w:t>
      </w:r>
      <w:r>
        <w:rPr>
          <w:rFonts w:ascii="Arial" w:hAnsi="Arial"/>
          <w:sz w:val="24"/>
        </w:rPr>
        <w:t xml:space="preserve"> performed</w:t>
      </w:r>
      <w:r w:rsidR="00A00601">
        <w:rPr>
          <w:rFonts w:ascii="Arial" w:hAnsi="Arial"/>
          <w:sz w:val="24"/>
        </w:rPr>
        <w:t xml:space="preserve"> as per facility policy</w:t>
      </w:r>
      <w:r>
        <w:rPr>
          <w:rFonts w:ascii="Arial" w:hAnsi="Arial"/>
          <w:sz w:val="24"/>
        </w:rPr>
        <w:t>.</w:t>
      </w:r>
    </w:p>
    <w:p w:rsidR="000E12DB" w:rsidRDefault="000E12DB">
      <w:pPr>
        <w:rPr>
          <w:rFonts w:ascii="Arial" w:hAnsi="Arial"/>
          <w:sz w:val="24"/>
        </w:rPr>
      </w:pPr>
    </w:p>
    <w:p w:rsidR="000E12DB" w:rsidRDefault="000E12DB">
      <w:pPr>
        <w:rPr>
          <w:rFonts w:ascii="Arial" w:hAnsi="Arial"/>
          <w:sz w:val="24"/>
        </w:rPr>
      </w:pPr>
    </w:p>
    <w:p w:rsidR="000E12DB" w:rsidRDefault="000E12DB">
      <w:pPr>
        <w:numPr>
          <w:ilvl w:val="0"/>
          <w:numId w:val="1"/>
        </w:numPr>
        <w:rPr>
          <w:rFonts w:ascii="Arial" w:hAnsi="Arial"/>
          <w:b/>
          <w:sz w:val="28"/>
        </w:rPr>
      </w:pPr>
      <w:r>
        <w:rPr>
          <w:rFonts w:ascii="Arial" w:hAnsi="Arial"/>
          <w:b/>
          <w:sz w:val="28"/>
        </w:rPr>
        <w:t>Specimens</w:t>
      </w:r>
    </w:p>
    <w:p w:rsidR="000E12DB" w:rsidRDefault="000E12DB">
      <w:pPr>
        <w:rPr>
          <w:rFonts w:ascii="Arial" w:hAnsi="Arial"/>
          <w:sz w:val="24"/>
        </w:rPr>
      </w:pPr>
    </w:p>
    <w:p w:rsidR="000E12DB" w:rsidRDefault="000E12DB">
      <w:pPr>
        <w:ind w:left="720"/>
        <w:rPr>
          <w:rFonts w:ascii="Arial" w:hAnsi="Arial"/>
          <w:sz w:val="24"/>
        </w:rPr>
      </w:pPr>
      <w:r>
        <w:rPr>
          <w:rFonts w:ascii="Arial" w:hAnsi="Arial"/>
          <w:sz w:val="24"/>
        </w:rPr>
        <w:t>EDTA anticoagulated whole blood</w:t>
      </w:r>
    </w:p>
    <w:p w:rsidR="000E12DB" w:rsidRDefault="000E12DB">
      <w:pPr>
        <w:ind w:left="720"/>
        <w:rPr>
          <w:rFonts w:ascii="Arial" w:hAnsi="Arial"/>
          <w:sz w:val="24"/>
        </w:rPr>
      </w:pPr>
    </w:p>
    <w:p w:rsidR="000E12DB" w:rsidRDefault="000E12DB">
      <w:pPr>
        <w:numPr>
          <w:ilvl w:val="0"/>
          <w:numId w:val="1"/>
        </w:numPr>
        <w:rPr>
          <w:rFonts w:ascii="Arial" w:hAnsi="Arial"/>
          <w:b/>
          <w:sz w:val="28"/>
        </w:rPr>
      </w:pPr>
      <w:r>
        <w:rPr>
          <w:rFonts w:ascii="Arial" w:hAnsi="Arial"/>
          <w:b/>
          <w:sz w:val="28"/>
        </w:rPr>
        <w:t>Materials</w:t>
      </w:r>
    </w:p>
    <w:p w:rsidR="000E12DB" w:rsidRDefault="000E12DB">
      <w:pPr>
        <w:rPr>
          <w:rFonts w:ascii="Arial" w:hAnsi="Arial"/>
          <w:sz w:val="24"/>
        </w:rPr>
      </w:pPr>
    </w:p>
    <w:p w:rsidR="000E12DB" w:rsidRDefault="000E12DB">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 centrifuge</w:t>
      </w:r>
    </w:p>
    <w:p w:rsidR="000E12DB" w:rsidRDefault="000E12DB">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0E12DB" w:rsidRDefault="000E12DB">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0E12DB" w:rsidRDefault="000E12DB">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A00601">
        <w:rPr>
          <w:rFonts w:ascii="Arial" w:hAnsi="Arial"/>
          <w:sz w:val="24"/>
        </w:rPr>
        <w:t xml:space="preserve"> </w:t>
      </w:r>
      <w:r>
        <w:rPr>
          <w:rFonts w:ascii="Arial" w:hAnsi="Arial"/>
          <w:sz w:val="24"/>
        </w:rPr>
        <w:t>mm</w:t>
      </w:r>
    </w:p>
    <w:p w:rsidR="000E12DB" w:rsidRDefault="000E12DB">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0E12DB" w:rsidRDefault="000E12DB">
      <w:pPr>
        <w:ind w:left="720"/>
        <w:rPr>
          <w:rFonts w:ascii="Arial" w:hAnsi="Arial"/>
          <w:sz w:val="24"/>
        </w:rPr>
      </w:pPr>
    </w:p>
    <w:p w:rsidR="000E12DB" w:rsidRDefault="000E12DB">
      <w:pPr>
        <w:pStyle w:val="Heading1"/>
        <w:ind w:left="2880" w:hanging="2160"/>
      </w:pPr>
      <w:r>
        <w:rPr>
          <w:b/>
        </w:rPr>
        <w:t>Reagents:</w:t>
      </w:r>
      <w:r>
        <w:tab/>
        <w:t xml:space="preserve">Anti-D </w:t>
      </w:r>
      <w:r w:rsidR="00A00601">
        <w:t>monoclonal IgM blended with polyclonal anti-D</w:t>
      </w:r>
      <w:r>
        <w:t xml:space="preserve"> polyclonal anti-D</w:t>
      </w:r>
    </w:p>
    <w:p w:rsidR="000E12DB" w:rsidRPr="009545F2" w:rsidRDefault="000E12DB">
      <w:pPr>
        <w:ind w:left="720"/>
        <w:rPr>
          <w:rFonts w:ascii="Arial" w:hAnsi="Arial"/>
          <w:sz w:val="24"/>
          <w:vertAlign w:val="superscript"/>
        </w:rPr>
      </w:pPr>
      <w:r>
        <w:rPr>
          <w:rFonts w:ascii="Arial" w:hAnsi="Arial"/>
          <w:sz w:val="24"/>
        </w:rPr>
        <w:tab/>
      </w:r>
      <w:r>
        <w:rPr>
          <w:rFonts w:ascii="Arial" w:hAnsi="Arial"/>
          <w:sz w:val="24"/>
        </w:rPr>
        <w:tab/>
      </w:r>
      <w:r w:rsidR="00A00601">
        <w:rPr>
          <w:rFonts w:ascii="Arial" w:hAnsi="Arial"/>
          <w:sz w:val="24"/>
        </w:rPr>
        <w:tab/>
        <w:t>Control for Rh typing</w:t>
      </w:r>
      <w:r w:rsidR="002301CE">
        <w:rPr>
          <w:rFonts w:ascii="Arial" w:hAnsi="Arial"/>
          <w:sz w:val="24"/>
        </w:rPr>
        <w:t xml:space="preserve"> (appropriate for reagent in use </w:t>
      </w:r>
      <w:r w:rsidR="00B778C8">
        <w:rPr>
          <w:rFonts w:ascii="Arial" w:hAnsi="Arial"/>
          <w:sz w:val="24"/>
        </w:rPr>
        <w:br/>
        <w:t xml:space="preserve">                                </w:t>
      </w:r>
      <w:r w:rsidR="002301CE">
        <w:rPr>
          <w:rFonts w:ascii="Arial" w:hAnsi="Arial"/>
          <w:sz w:val="24"/>
        </w:rPr>
        <w:t>according to manufacturer’s directions)</w:t>
      </w:r>
      <w:r w:rsidR="002301CE">
        <w:rPr>
          <w:rFonts w:ascii="Arial" w:hAnsi="Arial"/>
          <w:sz w:val="24"/>
          <w:vertAlign w:val="superscript"/>
        </w:rPr>
        <w:t>9.2</w:t>
      </w:r>
    </w:p>
    <w:p w:rsidR="000E12DB" w:rsidRDefault="000E12DB">
      <w:pPr>
        <w:pStyle w:val="Heading1"/>
      </w:pPr>
      <w:r>
        <w:tab/>
      </w:r>
      <w:r>
        <w:tab/>
      </w:r>
      <w:r>
        <w:tab/>
      </w:r>
      <w:r w:rsidR="00A00601">
        <w:t xml:space="preserve">Normal </w:t>
      </w:r>
      <w:r>
        <w:t>Saline</w:t>
      </w:r>
    </w:p>
    <w:p w:rsidR="000E12DB" w:rsidRDefault="000E12DB">
      <w:pPr>
        <w:ind w:left="720"/>
        <w:rPr>
          <w:rFonts w:ascii="Arial" w:hAnsi="Arial"/>
          <w:sz w:val="24"/>
        </w:rPr>
      </w:pPr>
    </w:p>
    <w:p w:rsidR="000E12DB" w:rsidRDefault="000E12DB">
      <w:pPr>
        <w:numPr>
          <w:ilvl w:val="0"/>
          <w:numId w:val="1"/>
        </w:numPr>
        <w:rPr>
          <w:rFonts w:ascii="Arial" w:hAnsi="Arial"/>
          <w:b/>
          <w:sz w:val="28"/>
        </w:rPr>
      </w:pPr>
      <w:r>
        <w:rPr>
          <w:rFonts w:ascii="Arial" w:hAnsi="Arial"/>
          <w:b/>
          <w:sz w:val="28"/>
        </w:rPr>
        <w:t>Quality Control</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See QCA.001 – Quality Control of Reagent Red Cells and Antisera.</w:t>
      </w:r>
    </w:p>
    <w:p w:rsidR="000E12DB" w:rsidRDefault="000E12DB">
      <w:pPr>
        <w:ind w:left="720"/>
        <w:rPr>
          <w:rFonts w:ascii="Arial" w:hAnsi="Arial"/>
          <w:sz w:val="24"/>
        </w:rPr>
      </w:pPr>
    </w:p>
    <w:p w:rsidR="000E12DB" w:rsidRDefault="000E12DB">
      <w:pPr>
        <w:numPr>
          <w:ilvl w:val="1"/>
          <w:numId w:val="1"/>
        </w:numPr>
        <w:rPr>
          <w:rFonts w:ascii="Arial" w:hAnsi="Arial"/>
          <w:sz w:val="24"/>
        </w:rPr>
      </w:pPr>
      <w:r>
        <w:rPr>
          <w:rFonts w:ascii="Arial" w:hAnsi="Arial"/>
          <w:sz w:val="24"/>
        </w:rPr>
        <w:t>If blood components are required STAT, Rh negative red blood cells (RBC) should be selected for pre-menopausa</w:t>
      </w:r>
      <w:r w:rsidR="00B720AA">
        <w:rPr>
          <w:rFonts w:ascii="Arial" w:hAnsi="Arial"/>
          <w:sz w:val="24"/>
        </w:rPr>
        <w:t xml:space="preserve">l females and children. </w:t>
      </w:r>
      <w:r>
        <w:rPr>
          <w:rFonts w:ascii="Arial" w:hAnsi="Arial"/>
          <w:sz w:val="24"/>
        </w:rPr>
        <w:t>Other patients, in the absence of a known anti-D, may receive Rh positive blood in emergency situations when there is a shortage of Rh negative blood.</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False positive results in the Rh control due to cold autoagglutinins or a protein imbalance may occur if testing with unwashed red cells.</w:t>
      </w:r>
    </w:p>
    <w:p w:rsidR="000E12DB" w:rsidRDefault="000E12DB">
      <w:pPr>
        <w:rPr>
          <w:rFonts w:ascii="Arial" w:hAnsi="Arial"/>
          <w:sz w:val="24"/>
        </w:rPr>
      </w:pPr>
    </w:p>
    <w:p w:rsidR="000E12DB" w:rsidRDefault="000E12DB">
      <w:pPr>
        <w:numPr>
          <w:ilvl w:val="2"/>
          <w:numId w:val="1"/>
        </w:numPr>
        <w:rPr>
          <w:rFonts w:ascii="Arial" w:hAnsi="Arial"/>
          <w:sz w:val="24"/>
        </w:rPr>
      </w:pPr>
      <w:r>
        <w:rPr>
          <w:rFonts w:ascii="Arial" w:hAnsi="Arial"/>
          <w:sz w:val="24"/>
        </w:rPr>
        <w:t>Absence of this spontaneous agglutination can usually be demonstrated by observing negative reactions in the forward ABO grouping (reactions with anti-A and/or anti-B).</w:t>
      </w:r>
    </w:p>
    <w:p w:rsidR="000E12DB" w:rsidRDefault="000E12DB">
      <w:pPr>
        <w:ind w:left="1440"/>
        <w:rPr>
          <w:rFonts w:ascii="Arial" w:hAnsi="Arial"/>
          <w:sz w:val="24"/>
        </w:rPr>
      </w:pPr>
    </w:p>
    <w:p w:rsidR="000E12DB" w:rsidRDefault="000E12DB">
      <w:pPr>
        <w:numPr>
          <w:ilvl w:val="2"/>
          <w:numId w:val="1"/>
        </w:numPr>
        <w:rPr>
          <w:rFonts w:ascii="Arial" w:hAnsi="Arial"/>
          <w:sz w:val="24"/>
        </w:rPr>
      </w:pPr>
      <w:r>
        <w:rPr>
          <w:rFonts w:ascii="Arial" w:hAnsi="Arial"/>
          <w:sz w:val="24"/>
        </w:rPr>
        <w:t>For specimens that show agglutination in all tubes (i.e., give the reactions of group AB, D positive), a concurrent control must be performed on the patient’s cells.  This is not required for donor unit confirmation.</w:t>
      </w:r>
    </w:p>
    <w:p w:rsidR="000E12DB" w:rsidRDefault="000E12DB">
      <w:pPr>
        <w:rPr>
          <w:rFonts w:ascii="Arial" w:hAnsi="Arial"/>
          <w:sz w:val="24"/>
        </w:rPr>
      </w:pPr>
    </w:p>
    <w:p w:rsidR="000E12DB" w:rsidRDefault="000E12DB">
      <w:pPr>
        <w:numPr>
          <w:ilvl w:val="2"/>
          <w:numId w:val="1"/>
        </w:numPr>
        <w:rPr>
          <w:rFonts w:ascii="Arial" w:hAnsi="Arial"/>
          <w:sz w:val="24"/>
        </w:rPr>
      </w:pPr>
      <w:r>
        <w:rPr>
          <w:rFonts w:ascii="Arial" w:hAnsi="Arial"/>
          <w:sz w:val="24"/>
        </w:rPr>
        <w:t>If a commercial control for low protein reagent (monoclonal/polyclonal blended) is not available, autologous plasma or a 6% bovine albumin control may be used.</w:t>
      </w:r>
    </w:p>
    <w:p w:rsidR="000E12DB" w:rsidRDefault="000E12DB">
      <w:pPr>
        <w:ind w:left="1440"/>
        <w:rPr>
          <w:rFonts w:ascii="Arial" w:hAnsi="Arial"/>
          <w:sz w:val="24"/>
        </w:rPr>
      </w:pPr>
    </w:p>
    <w:p w:rsidR="000E12DB" w:rsidRDefault="000E12DB">
      <w:pPr>
        <w:numPr>
          <w:ilvl w:val="0"/>
          <w:numId w:val="1"/>
        </w:numPr>
        <w:rPr>
          <w:rFonts w:ascii="Arial" w:hAnsi="Arial"/>
          <w:b/>
          <w:sz w:val="28"/>
        </w:rPr>
      </w:pPr>
      <w:r>
        <w:rPr>
          <w:rFonts w:ascii="Arial" w:hAnsi="Arial"/>
          <w:b/>
          <w:sz w:val="28"/>
        </w:rPr>
        <w:t>Procedure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8220"/>
      </w:tblGrid>
      <w:tr w:rsidR="00560AF2" w:rsidRPr="00594EA0" w:rsidTr="00594EA0">
        <w:tc>
          <w:tcPr>
            <w:tcW w:w="2553" w:type="dxa"/>
            <w:shd w:val="clear" w:color="auto" w:fill="D9D9D9"/>
          </w:tcPr>
          <w:p w:rsidR="00560AF2" w:rsidRPr="00594EA0" w:rsidRDefault="00560AF2" w:rsidP="00594EA0">
            <w:pPr>
              <w:ind w:left="460"/>
              <w:jc w:val="center"/>
              <w:rPr>
                <w:rFonts w:ascii="Arial" w:eastAsia="Calibri" w:hAnsi="Arial"/>
                <w:b/>
                <w:sz w:val="24"/>
                <w:szCs w:val="22"/>
                <w:lang w:val="en-CA"/>
              </w:rPr>
            </w:pPr>
            <w:r w:rsidRPr="00594EA0">
              <w:rPr>
                <w:rFonts w:ascii="Arial" w:eastAsia="Calibri" w:hAnsi="Arial"/>
                <w:b/>
                <w:sz w:val="24"/>
                <w:szCs w:val="22"/>
                <w:lang w:val="en-CA"/>
              </w:rPr>
              <w:t>STEP</w:t>
            </w:r>
          </w:p>
        </w:tc>
        <w:tc>
          <w:tcPr>
            <w:tcW w:w="8220" w:type="dxa"/>
            <w:shd w:val="clear" w:color="auto" w:fill="D9D9D9"/>
          </w:tcPr>
          <w:p w:rsidR="00560AF2" w:rsidRPr="00594EA0" w:rsidRDefault="00560AF2" w:rsidP="00594EA0">
            <w:pPr>
              <w:jc w:val="center"/>
              <w:rPr>
                <w:rFonts w:ascii="Arial" w:eastAsia="Calibri" w:hAnsi="Arial"/>
                <w:b/>
                <w:sz w:val="24"/>
                <w:szCs w:val="22"/>
                <w:lang w:val="en-CA"/>
              </w:rPr>
            </w:pPr>
            <w:r w:rsidRPr="00594EA0">
              <w:rPr>
                <w:rFonts w:ascii="Arial" w:eastAsia="Calibri" w:hAnsi="Arial"/>
                <w:b/>
                <w:sz w:val="24"/>
                <w:szCs w:val="22"/>
                <w:lang w:val="en-CA"/>
              </w:rPr>
              <w:t>ACTION</w:t>
            </w:r>
          </w:p>
        </w:tc>
      </w:tr>
      <w:tr w:rsidR="00560AF2" w:rsidRPr="00594EA0" w:rsidTr="00594EA0">
        <w:tc>
          <w:tcPr>
            <w:tcW w:w="2553" w:type="dxa"/>
          </w:tcPr>
          <w:p w:rsidR="00560AF2" w:rsidRPr="00594EA0" w:rsidRDefault="00560AF2" w:rsidP="00594EA0">
            <w:pPr>
              <w:numPr>
                <w:ilvl w:val="0"/>
                <w:numId w:val="9"/>
              </w:numPr>
              <w:ind w:left="460" w:hanging="426"/>
              <w:rPr>
                <w:rFonts w:ascii="Arial" w:eastAsia="Calibri" w:hAnsi="Arial"/>
                <w:sz w:val="24"/>
                <w:szCs w:val="22"/>
              </w:rPr>
            </w:pPr>
            <w:r w:rsidRPr="00594EA0">
              <w:rPr>
                <w:rFonts w:ascii="Arial" w:eastAsia="Calibri" w:hAnsi="Arial"/>
                <w:sz w:val="24"/>
                <w:szCs w:val="22"/>
                <w:lang w:val="en-CA"/>
              </w:rPr>
              <w:t>Perform a patient history check.</w:t>
            </w:r>
          </w:p>
        </w:tc>
        <w:tc>
          <w:tcPr>
            <w:tcW w:w="8220" w:type="dxa"/>
          </w:tcPr>
          <w:p w:rsidR="00560AF2" w:rsidRPr="00594EA0" w:rsidRDefault="00560AF2" w:rsidP="00594EA0">
            <w:pPr>
              <w:numPr>
                <w:ilvl w:val="0"/>
                <w:numId w:val="10"/>
              </w:numPr>
              <w:ind w:hanging="687"/>
              <w:rPr>
                <w:rFonts w:ascii="Arial" w:eastAsia="Calibri" w:hAnsi="Arial"/>
                <w:sz w:val="24"/>
                <w:szCs w:val="22"/>
              </w:rPr>
            </w:pPr>
            <w:r w:rsidRPr="00594EA0">
              <w:rPr>
                <w:rFonts w:ascii="Arial" w:eastAsia="Calibri" w:hAnsi="Arial"/>
                <w:sz w:val="24"/>
                <w:szCs w:val="22"/>
                <w:lang w:val="en-CA"/>
              </w:rPr>
              <w:t>See PA.003 – Patient History Check</w:t>
            </w:r>
          </w:p>
        </w:tc>
      </w:tr>
      <w:tr w:rsidR="00560AF2" w:rsidRPr="00594EA0" w:rsidTr="00594EA0">
        <w:tc>
          <w:tcPr>
            <w:tcW w:w="2553" w:type="dxa"/>
          </w:tcPr>
          <w:p w:rsidR="00560AF2" w:rsidRPr="00594EA0" w:rsidRDefault="00560AF2"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rPr>
              <w:t>Check the suitability of the specimen(s)</w:t>
            </w:r>
          </w:p>
        </w:tc>
        <w:tc>
          <w:tcPr>
            <w:tcW w:w="8220" w:type="dxa"/>
          </w:tcPr>
          <w:p w:rsidR="00560AF2" w:rsidRPr="00594EA0" w:rsidRDefault="00560AF2" w:rsidP="00594EA0">
            <w:pPr>
              <w:numPr>
                <w:ilvl w:val="0"/>
                <w:numId w:val="11"/>
              </w:numPr>
              <w:ind w:hanging="720"/>
              <w:rPr>
                <w:rFonts w:ascii="Arial" w:eastAsia="Calibri" w:hAnsi="Arial"/>
                <w:sz w:val="24"/>
                <w:szCs w:val="22"/>
                <w:lang w:val="en-CA"/>
              </w:rPr>
            </w:pPr>
            <w:r w:rsidRPr="00594EA0">
              <w:rPr>
                <w:rFonts w:ascii="Arial" w:eastAsia="Calibri" w:hAnsi="Arial"/>
                <w:sz w:val="24"/>
                <w:szCs w:val="22"/>
              </w:rPr>
              <w:t>See PA.002 –Determining Specimen Suitability steps 6.1 – 6.4. to ensure that the specimen information matches the request form</w:t>
            </w:r>
          </w:p>
          <w:p w:rsidR="00560AF2" w:rsidRPr="00594EA0" w:rsidRDefault="00560AF2" w:rsidP="00594EA0">
            <w:pPr>
              <w:numPr>
                <w:ilvl w:val="0"/>
                <w:numId w:val="11"/>
              </w:numPr>
              <w:ind w:hanging="720"/>
              <w:rPr>
                <w:rFonts w:ascii="Arial" w:eastAsia="Calibri" w:hAnsi="Arial"/>
                <w:sz w:val="24"/>
                <w:szCs w:val="22"/>
                <w:lang w:val="en-CA"/>
              </w:rPr>
            </w:pPr>
            <w:r w:rsidRPr="00594EA0">
              <w:rPr>
                <w:rFonts w:ascii="Arial" w:eastAsia="Calibri" w:hAnsi="Arial"/>
                <w:sz w:val="24"/>
                <w:szCs w:val="22"/>
              </w:rPr>
              <w:t>Centrifuge specimen for 5 minutes at 3500 rpm or equivalent.</w:t>
            </w:r>
          </w:p>
          <w:p w:rsidR="00560AF2" w:rsidRPr="00594EA0" w:rsidRDefault="00560AF2" w:rsidP="00594EA0">
            <w:pPr>
              <w:numPr>
                <w:ilvl w:val="0"/>
                <w:numId w:val="11"/>
              </w:numPr>
              <w:ind w:hanging="720"/>
              <w:rPr>
                <w:rFonts w:ascii="Arial" w:eastAsia="Calibri" w:hAnsi="Arial"/>
                <w:sz w:val="24"/>
                <w:szCs w:val="22"/>
                <w:lang w:val="en-CA"/>
              </w:rPr>
            </w:pPr>
            <w:r w:rsidRPr="00594EA0">
              <w:rPr>
                <w:rFonts w:ascii="Arial" w:eastAsia="Calibri" w:hAnsi="Arial"/>
                <w:sz w:val="24"/>
                <w:szCs w:val="22"/>
              </w:rPr>
              <w:t>Check the specimens for abnormal appearance. See PA.002 – Determining specimen Suitability steps 6.5 – 6.6</w:t>
            </w:r>
          </w:p>
        </w:tc>
      </w:tr>
      <w:tr w:rsidR="00560AF2" w:rsidRPr="00594EA0" w:rsidTr="00594EA0">
        <w:tc>
          <w:tcPr>
            <w:tcW w:w="2553" w:type="dxa"/>
          </w:tcPr>
          <w:p w:rsidR="00560AF2" w:rsidRPr="00594EA0" w:rsidRDefault="00560AF2" w:rsidP="00594EA0">
            <w:pPr>
              <w:numPr>
                <w:ilvl w:val="0"/>
                <w:numId w:val="9"/>
              </w:numPr>
              <w:ind w:left="460" w:hanging="426"/>
              <w:rPr>
                <w:rFonts w:ascii="Arial" w:eastAsia="Calibri" w:hAnsi="Arial"/>
                <w:sz w:val="24"/>
                <w:szCs w:val="22"/>
              </w:rPr>
            </w:pPr>
            <w:r w:rsidRPr="00594EA0">
              <w:rPr>
                <w:rFonts w:ascii="Arial" w:eastAsia="Calibri" w:hAnsi="Arial"/>
                <w:sz w:val="24"/>
                <w:szCs w:val="22"/>
              </w:rPr>
              <w:t>Label tubes</w:t>
            </w:r>
          </w:p>
        </w:tc>
        <w:tc>
          <w:tcPr>
            <w:tcW w:w="8220" w:type="dxa"/>
          </w:tcPr>
          <w:p w:rsidR="00560AF2" w:rsidRPr="00594EA0" w:rsidRDefault="00560AF2" w:rsidP="00594EA0">
            <w:pPr>
              <w:numPr>
                <w:ilvl w:val="0"/>
                <w:numId w:val="12"/>
              </w:numPr>
              <w:ind w:hanging="720"/>
              <w:rPr>
                <w:rFonts w:ascii="Arial" w:eastAsia="Calibri" w:hAnsi="Arial"/>
                <w:sz w:val="24"/>
                <w:szCs w:val="22"/>
              </w:rPr>
            </w:pPr>
            <w:r w:rsidRPr="00594EA0">
              <w:rPr>
                <w:rFonts w:ascii="Arial" w:eastAsia="Calibri" w:hAnsi="Arial"/>
                <w:sz w:val="24"/>
                <w:szCs w:val="22"/>
              </w:rPr>
              <w:t>Label tubes as per established facility procedure. Example PA.004 – Labeling of Test Tubes and Block Set Up for Compatibility Testing.  See Quality Control – 5.2 and Procedural Notes 8.1</w:t>
            </w:r>
          </w:p>
        </w:tc>
      </w:tr>
      <w:tr w:rsidR="00560AF2" w:rsidRPr="00594EA0" w:rsidTr="00594EA0">
        <w:tc>
          <w:tcPr>
            <w:tcW w:w="2553" w:type="dxa"/>
          </w:tcPr>
          <w:p w:rsidR="00560AF2" w:rsidRPr="00594EA0" w:rsidRDefault="00560AF2" w:rsidP="00594EA0">
            <w:pPr>
              <w:numPr>
                <w:ilvl w:val="0"/>
                <w:numId w:val="9"/>
              </w:numPr>
              <w:ind w:left="460" w:hanging="426"/>
              <w:rPr>
                <w:rFonts w:ascii="Arial" w:eastAsia="Calibri" w:hAnsi="Arial"/>
                <w:sz w:val="24"/>
                <w:szCs w:val="22"/>
              </w:rPr>
            </w:pPr>
            <w:r w:rsidRPr="00594EA0">
              <w:rPr>
                <w:rFonts w:ascii="Arial" w:eastAsia="Calibri" w:hAnsi="Arial"/>
                <w:sz w:val="24"/>
                <w:szCs w:val="22"/>
              </w:rPr>
              <w:t>Add reagents</w:t>
            </w:r>
          </w:p>
        </w:tc>
        <w:tc>
          <w:tcPr>
            <w:tcW w:w="8220" w:type="dxa"/>
          </w:tcPr>
          <w:p w:rsidR="00560AF2" w:rsidRPr="00594EA0" w:rsidRDefault="00560AF2" w:rsidP="00594EA0">
            <w:pPr>
              <w:numPr>
                <w:ilvl w:val="0"/>
                <w:numId w:val="13"/>
              </w:numPr>
              <w:ind w:hanging="720"/>
              <w:rPr>
                <w:rFonts w:ascii="Arial" w:eastAsia="Calibri" w:hAnsi="Arial"/>
                <w:sz w:val="24"/>
                <w:szCs w:val="22"/>
              </w:rPr>
            </w:pPr>
            <w:r w:rsidRPr="00594EA0">
              <w:rPr>
                <w:rFonts w:ascii="Arial" w:eastAsia="Calibri" w:hAnsi="Arial"/>
                <w:sz w:val="24"/>
                <w:szCs w:val="22"/>
                <w:lang w:val="en-CA"/>
              </w:rPr>
              <w:t>Add 1 drop of anti-D to the tube labeled D.</w:t>
            </w:r>
          </w:p>
          <w:p w:rsidR="00560AF2" w:rsidRPr="00594EA0" w:rsidRDefault="00560AF2" w:rsidP="00594EA0">
            <w:pPr>
              <w:numPr>
                <w:ilvl w:val="0"/>
                <w:numId w:val="13"/>
              </w:numPr>
              <w:ind w:hanging="720"/>
              <w:rPr>
                <w:rFonts w:ascii="Arial" w:eastAsia="Calibri" w:hAnsi="Arial"/>
                <w:sz w:val="24"/>
                <w:szCs w:val="22"/>
              </w:rPr>
            </w:pPr>
            <w:r w:rsidRPr="00594EA0">
              <w:rPr>
                <w:rFonts w:ascii="Arial" w:eastAsia="Calibri" w:hAnsi="Arial"/>
                <w:sz w:val="24"/>
                <w:szCs w:val="22"/>
                <w:lang w:val="en-CA"/>
              </w:rPr>
              <w:t>Add 1 drop of Rh control reagent (if applicable) to the tube labeled DC</w:t>
            </w:r>
          </w:p>
        </w:tc>
      </w:tr>
      <w:tr w:rsidR="00560AF2" w:rsidRPr="00594EA0" w:rsidTr="00594EA0">
        <w:tc>
          <w:tcPr>
            <w:tcW w:w="2553" w:type="dxa"/>
          </w:tcPr>
          <w:p w:rsidR="00560AF2" w:rsidRPr="00594EA0" w:rsidRDefault="00560AF2" w:rsidP="00594EA0">
            <w:pPr>
              <w:numPr>
                <w:ilvl w:val="0"/>
                <w:numId w:val="9"/>
              </w:numPr>
              <w:ind w:left="460" w:hanging="426"/>
              <w:rPr>
                <w:rFonts w:ascii="Arial" w:eastAsia="Calibri" w:hAnsi="Arial"/>
                <w:sz w:val="24"/>
                <w:szCs w:val="22"/>
              </w:rPr>
            </w:pPr>
            <w:r w:rsidRPr="00594EA0">
              <w:rPr>
                <w:rFonts w:ascii="Arial" w:eastAsia="Calibri" w:hAnsi="Arial"/>
                <w:sz w:val="24"/>
                <w:szCs w:val="22"/>
                <w:lang w:val="en-CA"/>
              </w:rPr>
              <w:t>Prepare a 3% patient red cell suspension</w:t>
            </w:r>
          </w:p>
        </w:tc>
        <w:tc>
          <w:tcPr>
            <w:tcW w:w="8220" w:type="dxa"/>
          </w:tcPr>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rPr>
              <w:t>Compare the patient name and identification number on each tube with the corresponding information on the request form (or computer screen) to ensure they are the same</w:t>
            </w:r>
          </w:p>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lang w:val="en-CA"/>
              </w:rPr>
              <w:t xml:space="preserve">See RT.003- Preparation of a 3% Red Cell Suspension. </w:t>
            </w:r>
          </w:p>
          <w:p w:rsidR="00560AF2" w:rsidRPr="00594EA0" w:rsidRDefault="004B2D66" w:rsidP="00594EA0">
            <w:pPr>
              <w:shd w:val="clear" w:color="auto" w:fill="D9D9D9"/>
              <w:jc w:val="center"/>
              <w:rPr>
                <w:rFonts w:ascii="Arial" w:eastAsia="Calibri" w:hAnsi="Arial"/>
                <w:sz w:val="24"/>
                <w:szCs w:val="22"/>
                <w:lang w:val="en-CA"/>
              </w:rPr>
            </w:pPr>
            <w:r w:rsidRPr="00594EA0">
              <w:rPr>
                <w:rFonts w:ascii="Arial" w:eastAsia="Calibri" w:hAnsi="Arial"/>
                <w:b/>
                <w:i/>
                <w:sz w:val="22"/>
                <w:szCs w:val="22"/>
                <w:lang w:val="en-CA"/>
              </w:rPr>
              <w:t>Note: It is not necessary to pre-wash the red cells, however, if a discrepancy is found the cells should be washed and the tests repeated</w:t>
            </w:r>
            <w:r w:rsidRPr="00594EA0">
              <w:rPr>
                <w:rFonts w:ascii="Arial" w:eastAsia="Calibri" w:hAnsi="Arial"/>
                <w:sz w:val="24"/>
                <w:szCs w:val="22"/>
                <w:lang w:val="en-CA"/>
              </w:rPr>
              <w:t>.</w:t>
            </w:r>
          </w:p>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lang w:val="en-CA"/>
              </w:rPr>
              <w:t>Add 1 drop of the 3% red cell suspension to the corresponding tubes labeled D and DC (if applicable).</w:t>
            </w:r>
          </w:p>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lang w:val="en-CA"/>
              </w:rPr>
              <w:t>Mix tubes</w:t>
            </w:r>
          </w:p>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lang w:val="en-CA"/>
              </w:rPr>
              <w:t>Centrifuge tubes at 3400 rpm for 10-15 seconds in a serologic centrifuge. See Procedural Notes 8.2.</w:t>
            </w:r>
          </w:p>
          <w:p w:rsidR="004B2D66" w:rsidRPr="00594EA0" w:rsidRDefault="004B2D66" w:rsidP="00594EA0">
            <w:pPr>
              <w:numPr>
                <w:ilvl w:val="0"/>
                <w:numId w:val="14"/>
              </w:numPr>
              <w:ind w:hanging="720"/>
              <w:rPr>
                <w:rFonts w:ascii="Arial" w:eastAsia="Calibri" w:hAnsi="Arial"/>
                <w:sz w:val="24"/>
                <w:szCs w:val="22"/>
                <w:lang w:val="en-CA"/>
              </w:rPr>
            </w:pPr>
            <w:r w:rsidRPr="00594EA0">
              <w:rPr>
                <w:rFonts w:ascii="Arial" w:eastAsia="Calibri" w:hAnsi="Arial"/>
                <w:sz w:val="24"/>
                <w:szCs w:val="22"/>
                <w:lang w:val="en-CA"/>
              </w:rPr>
              <w:t>Remove the tubes from the serologic centrifuge in the same order in which they were placed. If more than one patient is being tested at a time, remove only the tubes for one patient. Read and record results for one patient at a time</w:t>
            </w:r>
          </w:p>
        </w:tc>
      </w:tr>
      <w:tr w:rsidR="004B2D66" w:rsidRPr="00594EA0" w:rsidTr="00594EA0">
        <w:tc>
          <w:tcPr>
            <w:tcW w:w="2553" w:type="dxa"/>
          </w:tcPr>
          <w:p w:rsidR="004B2D66" w:rsidRPr="00594EA0" w:rsidRDefault="004B2D66"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lang w:val="en-CA"/>
              </w:rPr>
              <w:t>Read and grade results</w:t>
            </w:r>
          </w:p>
        </w:tc>
        <w:tc>
          <w:tcPr>
            <w:tcW w:w="8220" w:type="dxa"/>
          </w:tcPr>
          <w:p w:rsidR="004B2D66" w:rsidRPr="00594EA0" w:rsidRDefault="004B2D66" w:rsidP="00594EA0">
            <w:pPr>
              <w:numPr>
                <w:ilvl w:val="0"/>
                <w:numId w:val="15"/>
              </w:numPr>
              <w:ind w:hanging="687"/>
              <w:rPr>
                <w:rFonts w:ascii="Arial" w:eastAsia="Calibri" w:hAnsi="Arial"/>
                <w:sz w:val="24"/>
                <w:szCs w:val="22"/>
              </w:rPr>
            </w:pPr>
            <w:r w:rsidRPr="00594EA0">
              <w:rPr>
                <w:rFonts w:ascii="Arial" w:eastAsia="Calibri" w:hAnsi="Arial"/>
                <w:sz w:val="24"/>
                <w:szCs w:val="22"/>
                <w:lang w:val="en-CA"/>
              </w:rPr>
              <w:t>Read results as per established procedure. See RT.001 – Reading and Recording Hemagglutination Reactions.</w:t>
            </w:r>
          </w:p>
          <w:p w:rsidR="004B2D66" w:rsidRPr="00594EA0" w:rsidRDefault="004B2D66" w:rsidP="00594EA0">
            <w:pPr>
              <w:numPr>
                <w:ilvl w:val="0"/>
                <w:numId w:val="15"/>
              </w:numPr>
              <w:ind w:hanging="720"/>
              <w:rPr>
                <w:rFonts w:ascii="Arial" w:eastAsia="Calibri" w:hAnsi="Arial"/>
                <w:sz w:val="24"/>
                <w:szCs w:val="22"/>
              </w:rPr>
            </w:pPr>
            <w:r w:rsidRPr="00594EA0">
              <w:rPr>
                <w:rFonts w:ascii="Arial" w:eastAsia="Calibri" w:hAnsi="Arial"/>
                <w:sz w:val="24"/>
                <w:szCs w:val="22"/>
                <w:lang w:val="en-CA"/>
              </w:rPr>
              <w:t>Grade and record results</w:t>
            </w:r>
          </w:p>
        </w:tc>
      </w:tr>
      <w:tr w:rsidR="004B2D66" w:rsidRPr="00594EA0" w:rsidTr="00594EA0">
        <w:tc>
          <w:tcPr>
            <w:tcW w:w="2553" w:type="dxa"/>
          </w:tcPr>
          <w:p w:rsidR="004B2D66" w:rsidRPr="00594EA0" w:rsidRDefault="004B2D66"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lang w:val="en-CA"/>
              </w:rPr>
              <w:t>Incubate negative tubes</w:t>
            </w:r>
          </w:p>
        </w:tc>
        <w:tc>
          <w:tcPr>
            <w:tcW w:w="8220" w:type="dxa"/>
          </w:tcPr>
          <w:p w:rsidR="004B2D66" w:rsidRPr="00594EA0" w:rsidRDefault="004B2D66" w:rsidP="00594EA0">
            <w:pPr>
              <w:numPr>
                <w:ilvl w:val="0"/>
                <w:numId w:val="16"/>
              </w:numPr>
              <w:ind w:hanging="720"/>
              <w:rPr>
                <w:rFonts w:ascii="Arial" w:eastAsia="Calibri" w:hAnsi="Arial"/>
                <w:sz w:val="24"/>
                <w:szCs w:val="22"/>
                <w:lang w:val="en-CA"/>
              </w:rPr>
            </w:pPr>
            <w:r w:rsidRPr="00594EA0">
              <w:rPr>
                <w:rFonts w:ascii="Arial" w:eastAsia="Calibri" w:hAnsi="Arial"/>
                <w:sz w:val="24"/>
                <w:szCs w:val="22"/>
                <w:lang w:val="en-CA"/>
              </w:rPr>
              <w:t>Incubate negative results and repeat 6.5.5 to 6.6.2 if indicated in the manufacturer’s insert</w:t>
            </w:r>
          </w:p>
        </w:tc>
      </w:tr>
      <w:tr w:rsidR="004B2D66" w:rsidRPr="00594EA0" w:rsidTr="00594EA0">
        <w:tc>
          <w:tcPr>
            <w:tcW w:w="2553" w:type="dxa"/>
          </w:tcPr>
          <w:p w:rsidR="004B2D66" w:rsidRPr="00594EA0" w:rsidRDefault="004B2D66"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lang w:val="en-CA"/>
              </w:rPr>
              <w:t>Interpret results</w:t>
            </w:r>
          </w:p>
        </w:tc>
        <w:tc>
          <w:tcPr>
            <w:tcW w:w="8220" w:type="dxa"/>
          </w:tcPr>
          <w:p w:rsidR="004B2D66" w:rsidRPr="00594EA0" w:rsidRDefault="004B2D66" w:rsidP="00594EA0">
            <w:pPr>
              <w:numPr>
                <w:ilvl w:val="0"/>
                <w:numId w:val="17"/>
              </w:numPr>
              <w:ind w:hanging="720"/>
              <w:rPr>
                <w:rFonts w:ascii="Arial" w:eastAsia="Calibri" w:hAnsi="Arial"/>
                <w:sz w:val="24"/>
                <w:szCs w:val="22"/>
                <w:lang w:val="en-CA"/>
              </w:rPr>
            </w:pPr>
            <w:r w:rsidRPr="00594EA0">
              <w:rPr>
                <w:rFonts w:ascii="Arial" w:eastAsia="Calibri" w:hAnsi="Arial"/>
                <w:sz w:val="24"/>
                <w:szCs w:val="22"/>
                <w:lang w:val="en-CA"/>
              </w:rPr>
              <w:t>Interpret the Rh type. See 7.0 – Reporting.</w:t>
            </w:r>
          </w:p>
          <w:p w:rsidR="00CC162F" w:rsidRPr="00594EA0" w:rsidRDefault="00CC162F" w:rsidP="00594EA0">
            <w:pPr>
              <w:numPr>
                <w:ilvl w:val="0"/>
                <w:numId w:val="17"/>
              </w:numPr>
              <w:ind w:hanging="720"/>
              <w:rPr>
                <w:rFonts w:ascii="Arial" w:eastAsia="Calibri" w:hAnsi="Arial"/>
                <w:sz w:val="24"/>
                <w:szCs w:val="22"/>
                <w:lang w:val="en-CA"/>
              </w:rPr>
            </w:pPr>
            <w:r w:rsidRPr="00594EA0">
              <w:rPr>
                <w:rFonts w:ascii="Arial" w:eastAsia="Calibri" w:hAnsi="Arial"/>
                <w:sz w:val="24"/>
                <w:szCs w:val="22"/>
                <w:lang w:val="en-CA"/>
              </w:rPr>
              <w:t>Compare the Rh group obtained with previous (historical) Rh typing interpretation, if available. If there is a discrepancy see NRT.004 – Rh Typing Problem Solving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003"/>
            </w:tblGrid>
            <w:tr w:rsidR="004B2D66" w:rsidRPr="00594EA0" w:rsidTr="00594EA0">
              <w:tc>
                <w:tcPr>
                  <w:tcW w:w="4066" w:type="dxa"/>
                  <w:shd w:val="clear" w:color="auto" w:fill="D9D9D9"/>
                </w:tcPr>
                <w:p w:rsidR="004B2D66" w:rsidRPr="00594EA0" w:rsidRDefault="004B2D66" w:rsidP="00594EA0">
                  <w:pPr>
                    <w:jc w:val="center"/>
                    <w:rPr>
                      <w:rFonts w:ascii="Arial" w:eastAsia="Calibri" w:hAnsi="Arial"/>
                      <w:b/>
                      <w:i/>
                      <w:sz w:val="24"/>
                      <w:szCs w:val="22"/>
                      <w:lang w:val="en-CA"/>
                    </w:rPr>
                  </w:pPr>
                  <w:r w:rsidRPr="00594EA0">
                    <w:rPr>
                      <w:rFonts w:ascii="Arial" w:eastAsia="Calibri" w:hAnsi="Arial"/>
                      <w:b/>
                      <w:i/>
                      <w:sz w:val="24"/>
                      <w:szCs w:val="22"/>
                      <w:lang w:val="en-CA"/>
                    </w:rPr>
                    <w:t>If</w:t>
                  </w:r>
                </w:p>
              </w:tc>
              <w:tc>
                <w:tcPr>
                  <w:tcW w:w="4066" w:type="dxa"/>
                  <w:shd w:val="clear" w:color="auto" w:fill="D9D9D9"/>
                </w:tcPr>
                <w:p w:rsidR="004B2D66" w:rsidRPr="00594EA0" w:rsidRDefault="004B2D66" w:rsidP="00594EA0">
                  <w:pPr>
                    <w:jc w:val="center"/>
                    <w:rPr>
                      <w:rFonts w:ascii="Arial" w:eastAsia="Calibri" w:hAnsi="Arial"/>
                      <w:b/>
                      <w:i/>
                      <w:sz w:val="24"/>
                      <w:szCs w:val="22"/>
                      <w:lang w:val="en-CA"/>
                    </w:rPr>
                  </w:pPr>
                  <w:r w:rsidRPr="00594EA0">
                    <w:rPr>
                      <w:rFonts w:ascii="Arial" w:eastAsia="Calibri" w:hAnsi="Arial"/>
                      <w:b/>
                      <w:i/>
                      <w:sz w:val="24"/>
                      <w:szCs w:val="22"/>
                      <w:lang w:val="en-CA"/>
                    </w:rPr>
                    <w:t>Then</w:t>
                  </w:r>
                </w:p>
              </w:tc>
            </w:tr>
            <w:tr w:rsidR="004B2D66" w:rsidRPr="00594EA0" w:rsidTr="00594EA0">
              <w:tc>
                <w:tcPr>
                  <w:tcW w:w="4066" w:type="dxa"/>
                </w:tcPr>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 xml:space="preserve">patient cells react as described in </w:t>
                  </w:r>
                </w:p>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7.0 - Reporting</w:t>
                  </w:r>
                </w:p>
              </w:tc>
              <w:tc>
                <w:tcPr>
                  <w:tcW w:w="4066" w:type="dxa"/>
                </w:tcPr>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Record the Rh typing on the request form or in the computer as      per established facility procedure.</w:t>
                  </w:r>
                </w:p>
              </w:tc>
            </w:tr>
            <w:tr w:rsidR="004B2D66" w:rsidRPr="00594EA0" w:rsidTr="00594EA0">
              <w:tc>
                <w:tcPr>
                  <w:tcW w:w="4066" w:type="dxa"/>
                </w:tcPr>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patient cells do not react as described in 7.0 – Reporting</w:t>
                  </w:r>
                </w:p>
              </w:tc>
              <w:tc>
                <w:tcPr>
                  <w:tcW w:w="4066" w:type="dxa"/>
                </w:tcPr>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A discrepancy exists and must be resolved before reporting the Rh type. See NRT.004 –Rh Typing Problem Solving. If crossmatched blood products are required STAT, before the discrepancy is resolved, select only Rh negative RBC units until the problem is resolved.</w:t>
                  </w:r>
                </w:p>
                <w:p w:rsidR="004B2D66" w:rsidRPr="00594EA0" w:rsidRDefault="004B2D66" w:rsidP="004B2D66">
                  <w:pPr>
                    <w:rPr>
                      <w:rFonts w:ascii="Arial" w:eastAsia="Calibri" w:hAnsi="Arial"/>
                      <w:sz w:val="24"/>
                      <w:szCs w:val="22"/>
                      <w:lang w:val="en-CA"/>
                    </w:rPr>
                  </w:pPr>
                </w:p>
                <w:p w:rsidR="004B2D66" w:rsidRPr="00594EA0" w:rsidRDefault="004B2D66" w:rsidP="004B2D66">
                  <w:pPr>
                    <w:rPr>
                      <w:rFonts w:ascii="Arial" w:eastAsia="Calibri" w:hAnsi="Arial"/>
                      <w:sz w:val="24"/>
                      <w:szCs w:val="22"/>
                      <w:lang w:val="en-CA"/>
                    </w:rPr>
                  </w:pPr>
                  <w:r w:rsidRPr="00594EA0">
                    <w:rPr>
                      <w:rFonts w:ascii="Arial" w:eastAsia="Calibri" w:hAnsi="Arial"/>
                      <w:sz w:val="24"/>
                      <w:szCs w:val="22"/>
                      <w:lang w:val="en-CA"/>
                    </w:rPr>
                    <w:t>See Scope and Related Policies 2.2 and Quality Control 5.2.</w:t>
                  </w:r>
                </w:p>
              </w:tc>
            </w:tr>
          </w:tbl>
          <w:p w:rsidR="004B2D66" w:rsidRPr="00594EA0" w:rsidRDefault="004B2D66" w:rsidP="004B2D66">
            <w:pPr>
              <w:rPr>
                <w:rFonts w:ascii="Arial" w:eastAsia="Calibri" w:hAnsi="Arial"/>
                <w:sz w:val="24"/>
                <w:szCs w:val="22"/>
                <w:lang w:val="en-CA"/>
              </w:rPr>
            </w:pPr>
          </w:p>
        </w:tc>
      </w:tr>
      <w:tr w:rsidR="00CC162F" w:rsidRPr="00594EA0" w:rsidTr="00594EA0">
        <w:tc>
          <w:tcPr>
            <w:tcW w:w="2553" w:type="dxa"/>
          </w:tcPr>
          <w:p w:rsidR="00CC162F" w:rsidRPr="00594EA0" w:rsidRDefault="00CC162F"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lang w:val="en-CA"/>
              </w:rPr>
              <w:t>Perform a clerical check</w:t>
            </w:r>
          </w:p>
        </w:tc>
        <w:tc>
          <w:tcPr>
            <w:tcW w:w="8220" w:type="dxa"/>
          </w:tcPr>
          <w:p w:rsidR="00CC162F" w:rsidRPr="00594EA0" w:rsidRDefault="00CC162F" w:rsidP="00594EA0">
            <w:pPr>
              <w:numPr>
                <w:ilvl w:val="0"/>
                <w:numId w:val="18"/>
              </w:numPr>
              <w:ind w:hanging="720"/>
              <w:rPr>
                <w:rFonts w:ascii="Arial" w:eastAsia="Calibri" w:hAnsi="Arial"/>
                <w:sz w:val="24"/>
                <w:szCs w:val="22"/>
                <w:lang w:val="en-CA"/>
              </w:rPr>
            </w:pPr>
            <w:r w:rsidRPr="00594EA0">
              <w:rPr>
                <w:rFonts w:ascii="Arial" w:eastAsia="Calibri" w:hAnsi="Arial"/>
                <w:sz w:val="24"/>
                <w:szCs w:val="22"/>
                <w:lang w:val="en-CA"/>
              </w:rPr>
              <w:t>Check when the procedure is complete that:</w:t>
            </w:r>
          </w:p>
          <w:p w:rsidR="00CC162F" w:rsidRPr="00594EA0" w:rsidRDefault="00CC162F" w:rsidP="00594EA0">
            <w:pPr>
              <w:numPr>
                <w:ilvl w:val="0"/>
                <w:numId w:val="8"/>
              </w:numPr>
              <w:contextualSpacing/>
              <w:rPr>
                <w:rFonts w:ascii="Arial" w:eastAsia="Calibri" w:hAnsi="Arial"/>
                <w:sz w:val="24"/>
                <w:szCs w:val="22"/>
                <w:lang w:val="en-CA"/>
              </w:rPr>
            </w:pPr>
            <w:r w:rsidRPr="00594EA0">
              <w:rPr>
                <w:rFonts w:ascii="Arial" w:eastAsia="Calibri" w:hAnsi="Arial"/>
                <w:sz w:val="24"/>
                <w:szCs w:val="22"/>
                <w:lang w:val="en-CA"/>
              </w:rPr>
              <w:t>The patient name and identification number are identical on all specimens and on the request form</w:t>
            </w:r>
          </w:p>
          <w:p w:rsidR="00CC162F" w:rsidRPr="00594EA0" w:rsidRDefault="00CC162F" w:rsidP="00594EA0">
            <w:pPr>
              <w:numPr>
                <w:ilvl w:val="0"/>
                <w:numId w:val="8"/>
              </w:numPr>
              <w:contextualSpacing/>
              <w:rPr>
                <w:rFonts w:ascii="Arial" w:eastAsia="Calibri" w:hAnsi="Arial"/>
                <w:sz w:val="24"/>
                <w:szCs w:val="22"/>
                <w:lang w:val="en-CA"/>
              </w:rPr>
            </w:pPr>
            <w:r w:rsidRPr="00594EA0">
              <w:rPr>
                <w:rFonts w:ascii="Arial" w:eastAsia="Calibri" w:hAnsi="Arial"/>
                <w:sz w:val="24"/>
                <w:szCs w:val="22"/>
                <w:lang w:val="en-CA"/>
              </w:rPr>
              <w:t>The patient name is the same on all test tubes and on the request form or in the computer</w:t>
            </w:r>
          </w:p>
          <w:p w:rsidR="00CC162F" w:rsidRPr="00594EA0" w:rsidRDefault="00CC162F" w:rsidP="00594EA0">
            <w:pPr>
              <w:numPr>
                <w:ilvl w:val="0"/>
                <w:numId w:val="8"/>
              </w:numPr>
              <w:contextualSpacing/>
              <w:rPr>
                <w:rFonts w:ascii="Arial" w:eastAsia="Calibri" w:hAnsi="Arial"/>
                <w:sz w:val="24"/>
                <w:szCs w:val="22"/>
                <w:lang w:val="en-CA"/>
              </w:rPr>
            </w:pPr>
            <w:r w:rsidRPr="00594EA0">
              <w:rPr>
                <w:rFonts w:ascii="Arial" w:eastAsia="Calibri" w:hAnsi="Arial"/>
                <w:sz w:val="24"/>
                <w:szCs w:val="22"/>
                <w:lang w:val="en-CA"/>
              </w:rPr>
              <w:t>Verify that the test results have been interpreted correctly</w:t>
            </w:r>
          </w:p>
        </w:tc>
      </w:tr>
      <w:tr w:rsidR="00CC162F" w:rsidRPr="00594EA0" w:rsidTr="00594EA0">
        <w:tc>
          <w:tcPr>
            <w:tcW w:w="2553" w:type="dxa"/>
          </w:tcPr>
          <w:p w:rsidR="00CC162F" w:rsidRPr="00594EA0" w:rsidRDefault="00CC162F" w:rsidP="00594EA0">
            <w:pPr>
              <w:numPr>
                <w:ilvl w:val="0"/>
                <w:numId w:val="9"/>
              </w:numPr>
              <w:ind w:left="460" w:hanging="426"/>
              <w:rPr>
                <w:rFonts w:ascii="Arial" w:eastAsia="Calibri" w:hAnsi="Arial"/>
                <w:sz w:val="24"/>
                <w:szCs w:val="22"/>
                <w:lang w:val="en-CA"/>
              </w:rPr>
            </w:pPr>
            <w:r w:rsidRPr="00594EA0">
              <w:rPr>
                <w:rFonts w:ascii="Arial" w:eastAsia="Calibri" w:hAnsi="Arial"/>
                <w:sz w:val="24"/>
                <w:szCs w:val="22"/>
              </w:rPr>
              <w:t>Complete paperwork</w:t>
            </w:r>
          </w:p>
        </w:tc>
        <w:tc>
          <w:tcPr>
            <w:tcW w:w="8220" w:type="dxa"/>
          </w:tcPr>
          <w:p w:rsidR="00CC162F" w:rsidRPr="00594EA0" w:rsidRDefault="00CC162F" w:rsidP="00594EA0">
            <w:pPr>
              <w:numPr>
                <w:ilvl w:val="0"/>
                <w:numId w:val="20"/>
              </w:numPr>
              <w:ind w:left="1026" w:hanging="993"/>
              <w:rPr>
                <w:rFonts w:ascii="Arial" w:eastAsia="Calibri" w:hAnsi="Arial"/>
                <w:sz w:val="24"/>
                <w:szCs w:val="22"/>
                <w:lang w:val="en-CA"/>
              </w:rPr>
            </w:pPr>
            <w:r w:rsidRPr="00594EA0">
              <w:rPr>
                <w:rFonts w:ascii="Arial" w:eastAsia="Calibri" w:hAnsi="Arial"/>
                <w:sz w:val="24"/>
                <w:szCs w:val="22"/>
                <w:lang w:val="en-CA"/>
              </w:rPr>
              <w:t>Initial or sign and record the completion time and date on the appropriate request form or in the computer.</w:t>
            </w:r>
          </w:p>
          <w:p w:rsidR="00CC162F" w:rsidRPr="00594EA0" w:rsidRDefault="00CC162F" w:rsidP="00594EA0">
            <w:pPr>
              <w:numPr>
                <w:ilvl w:val="0"/>
                <w:numId w:val="20"/>
              </w:numPr>
              <w:ind w:left="1026" w:hanging="993"/>
              <w:rPr>
                <w:rFonts w:ascii="Arial" w:eastAsia="Calibri" w:hAnsi="Arial"/>
                <w:sz w:val="24"/>
                <w:szCs w:val="22"/>
                <w:lang w:val="en-CA"/>
              </w:rPr>
            </w:pPr>
            <w:r w:rsidRPr="00594EA0">
              <w:rPr>
                <w:rFonts w:ascii="Arial" w:eastAsia="Calibri" w:hAnsi="Arial"/>
                <w:sz w:val="24"/>
                <w:szCs w:val="22"/>
                <w:lang w:val="en-CA"/>
              </w:rPr>
              <w:t>Verification of results must be recorded. See 7.0 Reporting.</w:t>
            </w:r>
          </w:p>
        </w:tc>
      </w:tr>
    </w:tbl>
    <w:p w:rsidR="009545F2" w:rsidRDefault="009545F2">
      <w:pPr>
        <w:rPr>
          <w:rFonts w:ascii="Arial" w:hAnsi="Arial"/>
          <w:b/>
          <w:sz w:val="24"/>
        </w:rPr>
      </w:pPr>
    </w:p>
    <w:p w:rsidR="000E12DB" w:rsidRDefault="000E12DB">
      <w:pPr>
        <w:numPr>
          <w:ilvl w:val="0"/>
          <w:numId w:val="1"/>
        </w:numPr>
        <w:rPr>
          <w:rFonts w:ascii="Arial" w:hAnsi="Arial"/>
          <w:b/>
          <w:sz w:val="28"/>
        </w:rPr>
      </w:pPr>
      <w:r>
        <w:rPr>
          <w:rFonts w:ascii="Arial" w:hAnsi="Arial"/>
          <w:b/>
          <w:sz w:val="28"/>
        </w:rPr>
        <w:t>Reporting</w:t>
      </w:r>
    </w:p>
    <w:p w:rsidR="000E12DB" w:rsidRDefault="000E12DB">
      <w:pPr>
        <w:rPr>
          <w:rFonts w:ascii="Arial" w:hAnsi="Arial"/>
          <w:sz w:val="24"/>
        </w:rPr>
      </w:pPr>
    </w:p>
    <w:p w:rsidR="000E12DB" w:rsidRDefault="000E12DB">
      <w:pPr>
        <w:numPr>
          <w:ilvl w:val="1"/>
          <w:numId w:val="1"/>
        </w:numPr>
        <w:rPr>
          <w:rFonts w:ascii="Arial" w:hAnsi="Arial"/>
          <w:sz w:val="24"/>
        </w:rPr>
      </w:pPr>
      <w:r>
        <w:rPr>
          <w:rFonts w:ascii="Arial" w:hAnsi="Arial"/>
          <w:sz w:val="24"/>
        </w:rPr>
        <w:t xml:space="preserve">For valid Rh type, </w:t>
      </w:r>
      <w:r w:rsidR="00B720AA">
        <w:rPr>
          <w:rFonts w:ascii="Arial" w:hAnsi="Arial"/>
          <w:sz w:val="24"/>
        </w:rPr>
        <w:t>if a control is required, the control tube result must be negative. Rh type should be reported as follows</w:t>
      </w:r>
      <w:r>
        <w:rPr>
          <w:rFonts w:ascii="Arial" w:hAnsi="Arial"/>
          <w:sz w:val="24"/>
        </w:rPr>
        <w:t>:</w:t>
      </w:r>
      <w:r w:rsidR="004E1812" w:rsidRPr="004E1812">
        <w:rPr>
          <w:rFonts w:ascii="Arial" w:hAnsi="Arial"/>
          <w:sz w:val="24"/>
          <w:vertAlign w:val="superscript"/>
        </w:rPr>
        <w:t xml:space="preserve"> </w:t>
      </w:r>
      <w:r w:rsidR="004E1812">
        <w:rPr>
          <w:rFonts w:ascii="Arial" w:hAnsi="Arial"/>
          <w:sz w:val="24"/>
          <w:vertAlign w:val="superscript"/>
        </w:rPr>
        <w:t>9.3, 9.4</w:t>
      </w:r>
    </w:p>
    <w:p w:rsidR="000E12DB" w:rsidRDefault="000E12DB">
      <w:pPr>
        <w:ind w:left="720"/>
        <w:rPr>
          <w:rFonts w:ascii="Arial" w:hAnsi="Arial"/>
          <w:sz w:val="24"/>
        </w:rPr>
      </w:pPr>
    </w:p>
    <w:p w:rsidR="000E12DB" w:rsidRPr="002301CE" w:rsidRDefault="000E12DB">
      <w:pPr>
        <w:numPr>
          <w:ilvl w:val="2"/>
          <w:numId w:val="1"/>
        </w:numPr>
        <w:rPr>
          <w:rFonts w:ascii="Arial" w:hAnsi="Arial"/>
          <w:sz w:val="24"/>
        </w:rPr>
      </w:pPr>
      <w:r>
        <w:rPr>
          <w:rFonts w:ascii="Arial" w:hAnsi="Arial"/>
          <w:sz w:val="24"/>
        </w:rPr>
        <w:t>Agglutination (grade 2 or stronger) with anti-D indicates the presence of the D antigen. Report as Rh positive.</w:t>
      </w:r>
    </w:p>
    <w:p w:rsidR="000E12DB" w:rsidRDefault="000E12DB">
      <w:pPr>
        <w:ind w:left="1440"/>
        <w:rPr>
          <w:rFonts w:ascii="Arial" w:hAnsi="Arial"/>
          <w:sz w:val="24"/>
        </w:rPr>
      </w:pPr>
    </w:p>
    <w:p w:rsidR="000E12DB" w:rsidRDefault="000E12DB">
      <w:pPr>
        <w:numPr>
          <w:ilvl w:val="2"/>
          <w:numId w:val="1"/>
        </w:numPr>
        <w:rPr>
          <w:rFonts w:ascii="Arial" w:hAnsi="Arial"/>
          <w:sz w:val="24"/>
        </w:rPr>
      </w:pPr>
      <w:r>
        <w:rPr>
          <w:rFonts w:ascii="Arial" w:hAnsi="Arial"/>
          <w:sz w:val="24"/>
        </w:rPr>
        <w:t>No agglutination with anti-D indicates the absence of the D antigen. Report as Rh negative.</w:t>
      </w:r>
    </w:p>
    <w:p w:rsidR="000E12DB" w:rsidRDefault="000E12DB">
      <w:pPr>
        <w:ind w:left="1440"/>
        <w:rPr>
          <w:rFonts w:ascii="Arial" w:hAnsi="Arial"/>
          <w:sz w:val="24"/>
        </w:rPr>
      </w:pPr>
    </w:p>
    <w:p w:rsidR="000E12DB" w:rsidRDefault="000E12DB">
      <w:pPr>
        <w:numPr>
          <w:ilvl w:val="1"/>
          <w:numId w:val="1"/>
        </w:numPr>
        <w:rPr>
          <w:rFonts w:ascii="Arial" w:hAnsi="Arial"/>
          <w:sz w:val="24"/>
        </w:rPr>
      </w:pPr>
      <w:r w:rsidRPr="00B720AA">
        <w:rPr>
          <w:rFonts w:ascii="Arial" w:hAnsi="Arial"/>
          <w:sz w:val="24"/>
        </w:rPr>
        <w:t xml:space="preserve">If </w:t>
      </w:r>
      <w:r w:rsidR="00B720AA">
        <w:rPr>
          <w:rFonts w:ascii="Arial" w:hAnsi="Arial"/>
          <w:sz w:val="24"/>
        </w:rPr>
        <w:t>a</w:t>
      </w:r>
      <w:r w:rsidRPr="00B720AA">
        <w:rPr>
          <w:rFonts w:ascii="Arial" w:hAnsi="Arial"/>
          <w:sz w:val="24"/>
        </w:rPr>
        <w:t xml:space="preserve"> control is </w:t>
      </w:r>
      <w:r w:rsidR="00B720AA">
        <w:rPr>
          <w:rFonts w:ascii="Arial" w:hAnsi="Arial"/>
          <w:sz w:val="24"/>
        </w:rPr>
        <w:t>required and is positive or if the reaction with anti-D is weak, mixed field or grade 1, do not report the Rh type</w:t>
      </w:r>
      <w:r>
        <w:rPr>
          <w:rFonts w:ascii="Arial" w:hAnsi="Arial"/>
          <w:sz w:val="24"/>
        </w:rPr>
        <w:t>.</w:t>
      </w:r>
    </w:p>
    <w:p w:rsidR="000E12DB" w:rsidRDefault="000E12DB">
      <w:pPr>
        <w:ind w:left="720"/>
        <w:rPr>
          <w:rFonts w:ascii="Arial" w:hAnsi="Arial"/>
          <w:sz w:val="24"/>
        </w:rPr>
      </w:pPr>
    </w:p>
    <w:p w:rsidR="000E12DB" w:rsidRDefault="000E12DB">
      <w:pPr>
        <w:numPr>
          <w:ilvl w:val="2"/>
          <w:numId w:val="1"/>
        </w:numPr>
        <w:rPr>
          <w:rFonts w:ascii="Arial" w:hAnsi="Arial"/>
          <w:sz w:val="24"/>
        </w:rPr>
      </w:pPr>
      <w:r>
        <w:rPr>
          <w:rFonts w:ascii="Arial" w:hAnsi="Arial"/>
          <w:sz w:val="24"/>
        </w:rPr>
        <w:t>Additional work is required to investigate the positive control or the weak reaction with anti-D. See NRT.004 – Rh Typing Problem Solving.</w:t>
      </w:r>
    </w:p>
    <w:p w:rsidR="000E12DB" w:rsidRDefault="000E12DB">
      <w:pPr>
        <w:ind w:left="1440"/>
        <w:rPr>
          <w:rFonts w:ascii="Arial" w:hAnsi="Arial"/>
          <w:sz w:val="24"/>
        </w:rPr>
      </w:pPr>
    </w:p>
    <w:p w:rsidR="000E12DB" w:rsidRDefault="000E12DB">
      <w:pPr>
        <w:numPr>
          <w:ilvl w:val="0"/>
          <w:numId w:val="1"/>
        </w:numPr>
        <w:rPr>
          <w:rFonts w:ascii="Arial" w:hAnsi="Arial"/>
          <w:b/>
          <w:sz w:val="28"/>
        </w:rPr>
      </w:pPr>
      <w:r>
        <w:rPr>
          <w:rFonts w:ascii="Arial" w:hAnsi="Arial"/>
          <w:b/>
          <w:sz w:val="28"/>
        </w:rPr>
        <w:t>Procedural Notes</w:t>
      </w:r>
    </w:p>
    <w:p w:rsidR="000E12DB" w:rsidRDefault="000E12DB">
      <w:pPr>
        <w:rPr>
          <w:rFonts w:ascii="Arial" w:hAnsi="Arial"/>
          <w:sz w:val="24"/>
        </w:rPr>
      </w:pPr>
    </w:p>
    <w:p w:rsidR="000E12DB" w:rsidRDefault="002301CE">
      <w:pPr>
        <w:numPr>
          <w:ilvl w:val="1"/>
          <w:numId w:val="1"/>
        </w:numPr>
        <w:rPr>
          <w:rFonts w:ascii="Arial" w:hAnsi="Arial"/>
          <w:sz w:val="24"/>
        </w:rPr>
      </w:pPr>
      <w:r>
        <w:rPr>
          <w:rFonts w:ascii="Arial" w:hAnsi="Arial"/>
          <w:sz w:val="24"/>
        </w:rPr>
        <w:t xml:space="preserve">If using a high protein antisera (slide and modified tube anti-D), </w:t>
      </w:r>
      <w:r w:rsidR="000E12DB">
        <w:rPr>
          <w:rFonts w:ascii="Arial" w:hAnsi="Arial"/>
          <w:sz w:val="24"/>
        </w:rPr>
        <w:t xml:space="preserve"> to facilitate the detection of false positive reactions with the anti-D reagent, a control should be set up when performing an Rh typing.</w:t>
      </w:r>
      <w:r>
        <w:rPr>
          <w:rFonts w:ascii="Arial" w:hAnsi="Arial"/>
          <w:sz w:val="24"/>
          <w:vertAlign w:val="superscript"/>
        </w:rPr>
        <w:t>9.2</w:t>
      </w:r>
    </w:p>
    <w:p w:rsidR="000E12DB" w:rsidRDefault="000E12DB">
      <w:pPr>
        <w:ind w:left="720"/>
        <w:rPr>
          <w:rFonts w:ascii="Arial" w:hAnsi="Arial"/>
          <w:sz w:val="24"/>
        </w:rPr>
      </w:pPr>
    </w:p>
    <w:p w:rsidR="000E12DB" w:rsidRDefault="000E12DB">
      <w:pPr>
        <w:numPr>
          <w:ilvl w:val="1"/>
          <w:numId w:val="1"/>
        </w:numPr>
        <w:rPr>
          <w:rFonts w:ascii="Arial" w:hAnsi="Arial"/>
          <w:sz w:val="24"/>
        </w:rPr>
      </w:pPr>
      <w:r>
        <w:rPr>
          <w:rFonts w:ascii="Arial" w:hAnsi="Arial"/>
          <w:sz w:val="24"/>
        </w:rPr>
        <w:t>Centrifug</w:t>
      </w:r>
      <w:r w:rsidR="00362E6F">
        <w:rPr>
          <w:rFonts w:ascii="Arial" w:hAnsi="Arial"/>
          <w:sz w:val="24"/>
        </w:rPr>
        <w:t>e</w:t>
      </w:r>
      <w:r>
        <w:rPr>
          <w:rFonts w:ascii="Arial" w:hAnsi="Arial"/>
          <w:sz w:val="24"/>
        </w:rPr>
        <w:t xml:space="preserve"> the tubes.</w:t>
      </w:r>
    </w:p>
    <w:p w:rsidR="000E12DB" w:rsidRDefault="000E12DB">
      <w:pPr>
        <w:ind w:left="720"/>
        <w:rPr>
          <w:rFonts w:ascii="Arial" w:hAnsi="Arial"/>
          <w:sz w:val="24"/>
        </w:rPr>
      </w:pPr>
    </w:p>
    <w:p w:rsidR="000E12DB" w:rsidRDefault="000E12DB">
      <w:pPr>
        <w:numPr>
          <w:ilvl w:val="2"/>
          <w:numId w:val="1"/>
        </w:numPr>
        <w:rPr>
          <w:rFonts w:ascii="Arial" w:hAnsi="Arial"/>
          <w:sz w:val="24"/>
        </w:rPr>
      </w:pPr>
      <w:r>
        <w:rPr>
          <w:rFonts w:ascii="Arial" w:hAnsi="Arial"/>
          <w:sz w:val="24"/>
        </w:rPr>
        <w:t xml:space="preserve">If only one patient specimen is being tested, balance the </w:t>
      </w:r>
      <w:r w:rsidR="00411DF3">
        <w:rPr>
          <w:rFonts w:ascii="Arial" w:hAnsi="Arial"/>
          <w:sz w:val="24"/>
        </w:rPr>
        <w:t>one</w:t>
      </w:r>
      <w:r>
        <w:rPr>
          <w:rFonts w:ascii="Arial" w:hAnsi="Arial"/>
          <w:sz w:val="24"/>
        </w:rPr>
        <w:t xml:space="preserve"> tube in the centrifuge </w:t>
      </w:r>
      <w:r w:rsidR="00362E6F">
        <w:rPr>
          <w:rFonts w:ascii="Arial" w:hAnsi="Arial"/>
          <w:sz w:val="24"/>
        </w:rPr>
        <w:t>with using</w:t>
      </w:r>
      <w:r>
        <w:rPr>
          <w:rFonts w:ascii="Arial" w:hAnsi="Arial"/>
          <w:sz w:val="24"/>
        </w:rPr>
        <w:t xml:space="preserve"> a blank extra tube for balance.</w:t>
      </w:r>
    </w:p>
    <w:p w:rsidR="000E12DB" w:rsidRDefault="000E12DB">
      <w:pPr>
        <w:ind w:left="1440"/>
        <w:rPr>
          <w:rFonts w:ascii="Arial" w:hAnsi="Arial"/>
          <w:sz w:val="24"/>
        </w:rPr>
      </w:pPr>
    </w:p>
    <w:p w:rsidR="000E12DB" w:rsidRDefault="000E12DB">
      <w:pPr>
        <w:numPr>
          <w:ilvl w:val="2"/>
          <w:numId w:val="1"/>
        </w:numPr>
        <w:rPr>
          <w:rFonts w:ascii="Arial" w:hAnsi="Arial"/>
          <w:sz w:val="24"/>
        </w:rPr>
      </w:pPr>
      <w:r>
        <w:rPr>
          <w:rFonts w:ascii="Arial" w:hAnsi="Arial"/>
          <w:sz w:val="24"/>
        </w:rPr>
        <w:t xml:space="preserve">If more than one patient is being tested, </w:t>
      </w:r>
      <w:r w:rsidR="00362E6F">
        <w:rPr>
          <w:rFonts w:ascii="Arial" w:hAnsi="Arial"/>
          <w:sz w:val="24"/>
        </w:rPr>
        <w:t>place each tube opposite to each other to balance the serologic centrifuge</w:t>
      </w:r>
      <w:r>
        <w:rPr>
          <w:rFonts w:ascii="Arial" w:hAnsi="Arial"/>
          <w:sz w:val="24"/>
        </w:rPr>
        <w:t>.</w:t>
      </w:r>
    </w:p>
    <w:p w:rsidR="000E12DB" w:rsidRDefault="000E12DB">
      <w:pPr>
        <w:numPr>
          <w:ilvl w:val="0"/>
          <w:numId w:val="1"/>
        </w:numPr>
        <w:rPr>
          <w:rFonts w:ascii="Arial" w:hAnsi="Arial"/>
          <w:b/>
          <w:sz w:val="28"/>
        </w:rPr>
      </w:pPr>
      <w:r>
        <w:rPr>
          <w:rFonts w:ascii="Arial" w:hAnsi="Arial"/>
          <w:b/>
          <w:sz w:val="28"/>
        </w:rPr>
        <w:t>References</w:t>
      </w:r>
    </w:p>
    <w:p w:rsidR="000E12DB" w:rsidRDefault="000E12DB">
      <w:pPr>
        <w:rPr>
          <w:rFonts w:ascii="Arial" w:hAnsi="Arial"/>
          <w:sz w:val="24"/>
        </w:rPr>
      </w:pPr>
    </w:p>
    <w:p w:rsidR="000E12DB" w:rsidRDefault="00362E6F">
      <w:pPr>
        <w:numPr>
          <w:ilvl w:val="1"/>
          <w:numId w:val="1"/>
        </w:numPr>
        <w:rPr>
          <w:rFonts w:ascii="Arial" w:hAnsi="Arial"/>
          <w:sz w:val="24"/>
        </w:rPr>
      </w:pPr>
      <w:r>
        <w:rPr>
          <w:rFonts w:ascii="Arial" w:hAnsi="Arial"/>
          <w:sz w:val="24"/>
        </w:rPr>
        <w:t>Standards for Hospital Transfusion Services Vers</w:t>
      </w:r>
      <w:r w:rsidR="00DF6F28">
        <w:rPr>
          <w:rFonts w:ascii="Arial" w:hAnsi="Arial"/>
          <w:sz w:val="24"/>
        </w:rPr>
        <w:t>ion 3</w:t>
      </w:r>
      <w:r>
        <w:rPr>
          <w:rFonts w:ascii="Arial" w:hAnsi="Arial"/>
          <w:sz w:val="24"/>
        </w:rPr>
        <w:t xml:space="preserve"> – </w:t>
      </w:r>
      <w:r w:rsidR="00DF6F28">
        <w:rPr>
          <w:rFonts w:ascii="Arial" w:hAnsi="Arial"/>
          <w:sz w:val="24"/>
        </w:rPr>
        <w:t>February 2011</w:t>
      </w:r>
      <w:r>
        <w:rPr>
          <w:rFonts w:ascii="Arial" w:hAnsi="Arial"/>
          <w:sz w:val="24"/>
        </w:rPr>
        <w:t xml:space="preserve">. Canadian Society for Transfusion Medicine, </w:t>
      </w:r>
      <w:r w:rsidR="002301CE">
        <w:rPr>
          <w:rFonts w:ascii="Arial" w:hAnsi="Arial"/>
          <w:sz w:val="24"/>
        </w:rPr>
        <w:t xml:space="preserve">5.3.1.4, </w:t>
      </w:r>
      <w:r>
        <w:rPr>
          <w:rFonts w:ascii="Arial" w:hAnsi="Arial"/>
          <w:sz w:val="24"/>
        </w:rPr>
        <w:t>5.3.3.1, 5.3.3.3</w:t>
      </w:r>
      <w:r w:rsidR="008B0B7D">
        <w:rPr>
          <w:rFonts w:ascii="Arial" w:hAnsi="Arial"/>
          <w:sz w:val="24"/>
        </w:rPr>
        <w:t>,</w:t>
      </w:r>
      <w:r>
        <w:rPr>
          <w:rFonts w:ascii="Arial" w:hAnsi="Arial"/>
          <w:sz w:val="24"/>
        </w:rPr>
        <w:t xml:space="preserve"> 5.3.3.2, 5.9.2.1-5.9.2.4</w:t>
      </w:r>
      <w:r w:rsidR="000E12DB">
        <w:rPr>
          <w:rFonts w:ascii="Arial" w:hAnsi="Arial"/>
          <w:sz w:val="24"/>
        </w:rPr>
        <w:t>.</w:t>
      </w:r>
    </w:p>
    <w:p w:rsidR="002301CE" w:rsidRDefault="002301CE">
      <w:pPr>
        <w:numPr>
          <w:ilvl w:val="1"/>
          <w:numId w:val="1"/>
        </w:numPr>
        <w:rPr>
          <w:rFonts w:ascii="Arial" w:hAnsi="Arial"/>
          <w:sz w:val="24"/>
        </w:rPr>
      </w:pPr>
      <w:r>
        <w:rPr>
          <w:rFonts w:ascii="Arial" w:hAnsi="Arial"/>
          <w:sz w:val="24"/>
        </w:rPr>
        <w:t>Transfusion Medicine Review – Rh Typing. QMPLS ver 1 2013-10-10: 1-7.</w:t>
      </w:r>
    </w:p>
    <w:p w:rsidR="000E12DB" w:rsidRDefault="000E12DB">
      <w:pPr>
        <w:ind w:left="720"/>
        <w:rPr>
          <w:rFonts w:ascii="Arial" w:hAnsi="Arial"/>
          <w:sz w:val="24"/>
        </w:rPr>
      </w:pPr>
    </w:p>
    <w:p w:rsidR="000E12DB" w:rsidRDefault="00362E6F">
      <w:pPr>
        <w:numPr>
          <w:ilvl w:val="1"/>
          <w:numId w:val="1"/>
        </w:numPr>
        <w:rPr>
          <w:rFonts w:ascii="Arial" w:hAnsi="Arial"/>
          <w:sz w:val="24"/>
        </w:rPr>
      </w:pPr>
      <w:r>
        <w:rPr>
          <w:rFonts w:ascii="Arial" w:hAnsi="Arial"/>
          <w:sz w:val="24"/>
        </w:rPr>
        <w:t>Roback JD, ed.</w:t>
      </w:r>
      <w:r w:rsidR="00DF6F28">
        <w:rPr>
          <w:rFonts w:ascii="Arial" w:hAnsi="Arial"/>
          <w:sz w:val="24"/>
        </w:rPr>
        <w:t xml:space="preserve"> AABB</w:t>
      </w:r>
      <w:r>
        <w:rPr>
          <w:rFonts w:ascii="Arial" w:hAnsi="Arial"/>
          <w:sz w:val="24"/>
        </w:rPr>
        <w:t xml:space="preserve"> Technical Manual, 1</w:t>
      </w:r>
      <w:r w:rsidR="00DF6F28">
        <w:rPr>
          <w:rFonts w:ascii="Arial" w:hAnsi="Arial"/>
          <w:sz w:val="24"/>
        </w:rPr>
        <w:t>7</w:t>
      </w:r>
      <w:r>
        <w:rPr>
          <w:rFonts w:ascii="Arial" w:hAnsi="Arial"/>
          <w:sz w:val="24"/>
          <w:vertAlign w:val="superscript"/>
        </w:rPr>
        <w:t>th</w:t>
      </w:r>
      <w:r>
        <w:rPr>
          <w:rFonts w:ascii="Arial" w:hAnsi="Arial"/>
          <w:sz w:val="24"/>
        </w:rPr>
        <w:t xml:space="preserve"> ed. Bethesda, MD:  </w:t>
      </w:r>
      <w:r w:rsidR="002301CE">
        <w:rPr>
          <w:rFonts w:ascii="Arial" w:hAnsi="Arial"/>
          <w:sz w:val="24"/>
        </w:rPr>
        <w:t>AABB</w:t>
      </w:r>
      <w:r>
        <w:rPr>
          <w:rFonts w:ascii="Arial" w:hAnsi="Arial"/>
          <w:sz w:val="24"/>
        </w:rPr>
        <w:t xml:space="preserve">, </w:t>
      </w:r>
      <w:r w:rsidR="002301CE">
        <w:rPr>
          <w:rFonts w:ascii="Arial" w:hAnsi="Arial"/>
          <w:sz w:val="24"/>
        </w:rPr>
        <w:t>2011</w:t>
      </w:r>
      <w:r>
        <w:rPr>
          <w:rFonts w:ascii="Arial" w:hAnsi="Arial"/>
          <w:sz w:val="24"/>
        </w:rPr>
        <w:t>: 44</w:t>
      </w:r>
      <w:r w:rsidR="00DF6F28">
        <w:rPr>
          <w:rFonts w:ascii="Arial" w:hAnsi="Arial"/>
          <w:sz w:val="24"/>
        </w:rPr>
        <w:t>5</w:t>
      </w:r>
      <w:r w:rsidR="002301CE">
        <w:rPr>
          <w:rFonts w:ascii="Arial" w:hAnsi="Arial"/>
          <w:sz w:val="24"/>
        </w:rPr>
        <w:t>-448</w:t>
      </w:r>
      <w:r>
        <w:rPr>
          <w:rFonts w:ascii="Arial" w:hAnsi="Arial"/>
          <w:sz w:val="24"/>
        </w:rPr>
        <w:t>-, 88</w:t>
      </w:r>
      <w:r w:rsidR="00DF6F28">
        <w:rPr>
          <w:rFonts w:ascii="Arial" w:hAnsi="Arial"/>
          <w:sz w:val="24"/>
        </w:rPr>
        <w:t>5-886</w:t>
      </w:r>
      <w:r w:rsidR="000E12DB">
        <w:rPr>
          <w:rFonts w:ascii="Arial" w:hAnsi="Arial"/>
          <w:sz w:val="24"/>
        </w:rPr>
        <w:t>.</w:t>
      </w:r>
    </w:p>
    <w:p w:rsidR="000E12DB" w:rsidRDefault="000E12DB">
      <w:pPr>
        <w:ind w:left="720"/>
        <w:rPr>
          <w:rFonts w:ascii="Arial" w:hAnsi="Arial"/>
          <w:sz w:val="24"/>
        </w:rPr>
      </w:pPr>
    </w:p>
    <w:p w:rsidR="000E12DB" w:rsidRDefault="00362E6F">
      <w:pPr>
        <w:numPr>
          <w:ilvl w:val="1"/>
          <w:numId w:val="1"/>
        </w:numPr>
        <w:rPr>
          <w:rFonts w:ascii="Arial" w:hAnsi="Arial"/>
          <w:sz w:val="24"/>
        </w:rPr>
      </w:pPr>
      <w:r>
        <w:rPr>
          <w:rFonts w:ascii="Arial" w:hAnsi="Arial"/>
          <w:sz w:val="24"/>
        </w:rPr>
        <w:t>Judd WJ. Methods in Immunohematology, 3</w:t>
      </w:r>
      <w:r w:rsidRPr="00BE66B0">
        <w:rPr>
          <w:rFonts w:ascii="Arial" w:hAnsi="Arial"/>
          <w:sz w:val="24"/>
          <w:vertAlign w:val="superscript"/>
        </w:rPr>
        <w:t>rd</w:t>
      </w:r>
      <w:r>
        <w:rPr>
          <w:rFonts w:ascii="Arial" w:hAnsi="Arial"/>
          <w:sz w:val="24"/>
        </w:rPr>
        <w:t xml:space="preserve"> ed. Bethesda, MD: American Association of Blood Banks, 2008</w:t>
      </w:r>
      <w:r w:rsidR="004E1812">
        <w:rPr>
          <w:rFonts w:ascii="Arial" w:hAnsi="Arial"/>
          <w:sz w:val="24"/>
        </w:rPr>
        <w:t>:</w:t>
      </w:r>
      <w:r>
        <w:rPr>
          <w:rFonts w:ascii="Arial" w:hAnsi="Arial"/>
          <w:sz w:val="24"/>
        </w:rPr>
        <w:t xml:space="preserve"> 2-6</w:t>
      </w:r>
      <w:r w:rsidR="000E12DB">
        <w:rPr>
          <w:rFonts w:ascii="Arial" w:hAnsi="Arial"/>
          <w:sz w:val="24"/>
        </w:rPr>
        <w:t>.</w:t>
      </w:r>
    </w:p>
    <w:p w:rsidR="002301CE" w:rsidRDefault="002301CE" w:rsidP="009545F2">
      <w:pPr>
        <w:pStyle w:val="ListParagraph"/>
        <w:rPr>
          <w:rFonts w:ascii="Arial" w:hAnsi="Arial"/>
          <w:sz w:val="24"/>
        </w:rPr>
      </w:pPr>
    </w:p>
    <w:p w:rsidR="00B778C8" w:rsidRPr="00862B6F" w:rsidRDefault="002301CE" w:rsidP="00862B6F">
      <w:pPr>
        <w:numPr>
          <w:ilvl w:val="1"/>
          <w:numId w:val="1"/>
        </w:numPr>
        <w:rPr>
          <w:rFonts w:ascii="Arial" w:hAnsi="Arial"/>
          <w:sz w:val="24"/>
        </w:rPr>
      </w:pPr>
      <w:r>
        <w:rPr>
          <w:rFonts w:ascii="Arial" w:hAnsi="Arial"/>
          <w:sz w:val="24"/>
        </w:rPr>
        <w:t>Standards for Blood Banks and Transfusion Service, 28</w:t>
      </w:r>
      <w:r w:rsidRPr="009545F2">
        <w:rPr>
          <w:rFonts w:ascii="Arial" w:hAnsi="Arial"/>
          <w:sz w:val="24"/>
          <w:vertAlign w:val="superscript"/>
        </w:rPr>
        <w:t>th</w:t>
      </w:r>
      <w:r>
        <w:rPr>
          <w:rFonts w:ascii="Arial" w:hAnsi="Arial"/>
          <w:sz w:val="24"/>
        </w:rPr>
        <w:t xml:space="preserve"> ed. Bethesda, MD AABB. 2012:</w:t>
      </w:r>
      <w:r w:rsidR="004E1812">
        <w:rPr>
          <w:rFonts w:ascii="Arial" w:hAnsi="Arial"/>
          <w:sz w:val="24"/>
        </w:rPr>
        <w:t xml:space="preserve"> 5.13.2.</w:t>
      </w:r>
    </w:p>
    <w:p w:rsidR="00B778C8" w:rsidRDefault="00B778C8" w:rsidP="009545F2">
      <w:pPr>
        <w:ind w:left="1440"/>
        <w:rPr>
          <w:rFonts w:ascii="Arial" w:hAnsi="Arial"/>
          <w:sz w:val="24"/>
        </w:rPr>
      </w:pPr>
    </w:p>
    <w:p w:rsidR="001C371B" w:rsidRDefault="001C371B" w:rsidP="009B604C">
      <w:pPr>
        <w:numPr>
          <w:ilvl w:val="0"/>
          <w:numId w:val="1"/>
        </w:numPr>
        <w:rPr>
          <w:rFonts w:ascii="Arial" w:hAnsi="Arial"/>
          <w:b/>
          <w:sz w:val="28"/>
          <w:szCs w:val="28"/>
        </w:rPr>
      </w:pPr>
      <w:r>
        <w:rPr>
          <w:rFonts w:ascii="Arial" w:hAnsi="Arial"/>
          <w:b/>
          <w:sz w:val="28"/>
          <w:szCs w:val="28"/>
        </w:rPr>
        <w:t xml:space="preserve">Revision History </w:t>
      </w:r>
    </w:p>
    <w:p w:rsidR="001C371B" w:rsidRDefault="001C371B" w:rsidP="001C371B">
      <w:pP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C371B" w:rsidTr="00787FB0">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1C371B" w:rsidRDefault="001C371B">
            <w:pPr>
              <w:jc w:val="center"/>
              <w:rPr>
                <w:rFonts w:ascii="Arial" w:hAnsi="Arial"/>
                <w:b/>
                <w:sz w:val="22"/>
                <w:szCs w:val="22"/>
              </w:rPr>
            </w:pPr>
            <w:r>
              <w:rPr>
                <w:rFonts w:ascii="Arial" w:hAnsi="Arial"/>
                <w:b/>
                <w:sz w:val="22"/>
                <w:szCs w:val="22"/>
              </w:rPr>
              <w:t>Revision Date</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rsidR="001C371B" w:rsidRDefault="001C371B">
            <w:pPr>
              <w:jc w:val="center"/>
              <w:rPr>
                <w:rFonts w:ascii="Arial" w:hAnsi="Arial"/>
                <w:b/>
                <w:sz w:val="22"/>
                <w:szCs w:val="22"/>
              </w:rPr>
            </w:pPr>
            <w:r>
              <w:rPr>
                <w:rFonts w:ascii="Arial" w:hAnsi="Arial"/>
                <w:b/>
                <w:sz w:val="22"/>
                <w:szCs w:val="22"/>
              </w:rPr>
              <w:t>Summary of Revisions</w:t>
            </w:r>
          </w:p>
        </w:tc>
      </w:tr>
      <w:tr w:rsidR="001C371B" w:rsidTr="001C371B">
        <w:tc>
          <w:tcPr>
            <w:tcW w:w="4428" w:type="dxa"/>
            <w:tcBorders>
              <w:top w:val="single" w:sz="4" w:space="0" w:color="auto"/>
              <w:left w:val="single" w:sz="4" w:space="0" w:color="auto"/>
              <w:bottom w:val="single" w:sz="4" w:space="0" w:color="auto"/>
              <w:right w:val="single" w:sz="4" w:space="0" w:color="auto"/>
            </w:tcBorders>
            <w:hideMark/>
          </w:tcPr>
          <w:p w:rsidR="001C371B" w:rsidRDefault="001C371B">
            <w:pPr>
              <w:rPr>
                <w:rFonts w:ascii="Arial" w:hAnsi="Arial"/>
                <w:sz w:val="22"/>
                <w:szCs w:val="22"/>
              </w:rPr>
            </w:pPr>
            <w:r>
              <w:rPr>
                <w:rFonts w:ascii="Arial" w:hAnsi="Arial"/>
                <w:sz w:val="22"/>
                <w:szCs w:val="22"/>
              </w:rPr>
              <w:t>January 31, 2014</w:t>
            </w:r>
          </w:p>
        </w:tc>
        <w:tc>
          <w:tcPr>
            <w:tcW w:w="4428" w:type="dxa"/>
            <w:tcBorders>
              <w:top w:val="single" w:sz="4" w:space="0" w:color="auto"/>
              <w:left w:val="single" w:sz="4" w:space="0" w:color="auto"/>
              <w:bottom w:val="single" w:sz="4" w:space="0" w:color="auto"/>
              <w:right w:val="single" w:sz="4" w:space="0" w:color="auto"/>
            </w:tcBorders>
            <w:hideMark/>
          </w:tcPr>
          <w:p w:rsidR="009545F2" w:rsidRDefault="001B300F" w:rsidP="001C371B">
            <w:pPr>
              <w:numPr>
                <w:ilvl w:val="0"/>
                <w:numId w:val="6"/>
              </w:numPr>
              <w:rPr>
                <w:rFonts w:ascii="Arial" w:hAnsi="Arial"/>
                <w:sz w:val="22"/>
                <w:szCs w:val="22"/>
              </w:rPr>
            </w:pPr>
            <w:r>
              <w:rPr>
                <w:rFonts w:ascii="Arial" w:hAnsi="Arial"/>
                <w:sz w:val="22"/>
                <w:szCs w:val="22"/>
              </w:rPr>
              <w:t xml:space="preserve">Revised </w:t>
            </w:r>
            <w:r w:rsidR="009545F2">
              <w:rPr>
                <w:rFonts w:ascii="Arial" w:hAnsi="Arial"/>
                <w:sz w:val="22"/>
                <w:szCs w:val="22"/>
              </w:rPr>
              <w:t>name of manual</w:t>
            </w:r>
          </w:p>
          <w:p w:rsidR="001C371B" w:rsidRDefault="001C371B" w:rsidP="001C371B">
            <w:pPr>
              <w:numPr>
                <w:ilvl w:val="0"/>
                <w:numId w:val="6"/>
              </w:numPr>
              <w:rPr>
                <w:rFonts w:ascii="Arial" w:hAnsi="Arial"/>
                <w:sz w:val="22"/>
                <w:szCs w:val="22"/>
              </w:rPr>
            </w:pPr>
            <w:r>
              <w:rPr>
                <w:rFonts w:ascii="Arial" w:hAnsi="Arial"/>
                <w:sz w:val="22"/>
                <w:szCs w:val="22"/>
              </w:rPr>
              <w:t>Section 4.0 – added to control for Rh Typing ‘appropriate for reagent in use according to manufacturer’s directions’</w:t>
            </w:r>
          </w:p>
          <w:p w:rsidR="009B604C" w:rsidRDefault="001C371B" w:rsidP="009B604C">
            <w:pPr>
              <w:numPr>
                <w:ilvl w:val="0"/>
                <w:numId w:val="6"/>
              </w:numPr>
              <w:rPr>
                <w:rFonts w:ascii="Arial" w:hAnsi="Arial"/>
                <w:sz w:val="22"/>
                <w:szCs w:val="22"/>
              </w:rPr>
            </w:pPr>
            <w:r>
              <w:rPr>
                <w:rFonts w:ascii="Arial" w:hAnsi="Arial"/>
                <w:sz w:val="22"/>
                <w:szCs w:val="22"/>
              </w:rPr>
              <w:t>Section 6.0 – 6.8 RT.014 changed to RT.003; 6.14 PA.006 changed to RT.001.</w:t>
            </w:r>
          </w:p>
          <w:p w:rsidR="009B604C" w:rsidRPr="009B604C" w:rsidRDefault="009B604C" w:rsidP="009B604C">
            <w:pPr>
              <w:numPr>
                <w:ilvl w:val="0"/>
                <w:numId w:val="6"/>
              </w:numPr>
              <w:rPr>
                <w:rFonts w:ascii="Arial" w:hAnsi="Arial"/>
                <w:sz w:val="22"/>
                <w:szCs w:val="22"/>
              </w:rPr>
            </w:pPr>
            <w:r>
              <w:rPr>
                <w:rFonts w:ascii="Arial" w:hAnsi="Arial"/>
                <w:sz w:val="22"/>
                <w:szCs w:val="22"/>
              </w:rPr>
              <w:t xml:space="preserve">Revised the list of </w:t>
            </w:r>
            <w:r w:rsidRPr="009B604C">
              <w:rPr>
                <w:rFonts w:ascii="Arial" w:hAnsi="Arial"/>
                <w:sz w:val="22"/>
                <w:szCs w:val="22"/>
              </w:rPr>
              <w:t>reference</w:t>
            </w:r>
            <w:r>
              <w:rPr>
                <w:rFonts w:ascii="Arial" w:hAnsi="Arial"/>
                <w:sz w:val="22"/>
                <w:szCs w:val="22"/>
              </w:rPr>
              <w:t>s</w:t>
            </w:r>
            <w:r w:rsidRPr="009B604C">
              <w:rPr>
                <w:rFonts w:ascii="Arial" w:hAnsi="Arial"/>
                <w:sz w:val="22"/>
                <w:szCs w:val="22"/>
              </w:rPr>
              <w:t xml:space="preserve"> and updated to </w:t>
            </w:r>
            <w:r>
              <w:rPr>
                <w:rFonts w:ascii="Arial" w:hAnsi="Arial"/>
                <w:sz w:val="22"/>
                <w:szCs w:val="22"/>
              </w:rPr>
              <w:t>include most</w:t>
            </w:r>
            <w:r w:rsidRPr="009B604C">
              <w:rPr>
                <w:rFonts w:ascii="Arial" w:hAnsi="Arial"/>
                <w:sz w:val="22"/>
                <w:szCs w:val="22"/>
              </w:rPr>
              <w:t xml:space="preserve"> recent version/ edition. Added QMPLS reference.</w:t>
            </w:r>
          </w:p>
          <w:p w:rsidR="001C371B" w:rsidRDefault="001C371B" w:rsidP="009B604C">
            <w:pPr>
              <w:ind w:left="360"/>
              <w:rPr>
                <w:rFonts w:ascii="Arial" w:hAnsi="Arial"/>
                <w:sz w:val="22"/>
                <w:szCs w:val="22"/>
              </w:rPr>
            </w:pPr>
          </w:p>
        </w:tc>
      </w:tr>
    </w:tbl>
    <w:p w:rsidR="001C371B" w:rsidRDefault="001C371B">
      <w:pPr>
        <w:rPr>
          <w:rFonts w:ascii="Arial" w:hAnsi="Arial"/>
          <w:sz w:val="24"/>
        </w:rPr>
      </w:pPr>
    </w:p>
    <w:sectPr w:rsidR="001C371B" w:rsidSect="00560AF2">
      <w:headerReference w:type="default" r:id="rId7"/>
      <w:footerReference w:type="default" r:id="rId8"/>
      <w:headerReference w:type="first" r:id="rId9"/>
      <w:footerReference w:type="first" r:id="rId10"/>
      <w:pgSz w:w="12240" w:h="15840" w:code="1"/>
      <w:pgMar w:top="1267" w:right="900" w:bottom="245" w:left="1134"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62" w:rsidRDefault="00BC2062">
      <w:r>
        <w:separator/>
      </w:r>
    </w:p>
  </w:endnote>
  <w:endnote w:type="continuationSeparator" w:id="0">
    <w:p w:rsidR="00BC2062" w:rsidRDefault="00B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B2D66">
      <w:trPr>
        <w:trHeight w:val="720"/>
      </w:trPr>
      <w:tc>
        <w:tcPr>
          <w:tcW w:w="1368" w:type="dxa"/>
        </w:tcPr>
        <w:p w:rsidR="004B2D66" w:rsidRDefault="004B2D66">
          <w:pPr>
            <w:pStyle w:val="Footer"/>
            <w:jc w:val="center"/>
            <w:rPr>
              <w:sz w:val="8"/>
            </w:rPr>
          </w:pPr>
        </w:p>
        <w:p w:rsidR="004B2D66" w:rsidRDefault="001F58C5">
          <w:pPr>
            <w:pStyle w:val="Footer"/>
            <w:jc w:val="center"/>
            <w:rPr>
              <w:rFonts w:ascii="Verdana" w:hAnsi="Verdana"/>
              <w:sz w:val="8"/>
            </w:rPr>
          </w:pPr>
          <w:r>
            <w:rPr>
              <w:noProof/>
            </w:rPr>
            <w:drawing>
              <wp:inline distT="0" distB="0" distL="0" distR="0">
                <wp:extent cx="723900" cy="295275"/>
                <wp:effectExtent l="19050" t="0" r="0" b="0"/>
                <wp:docPr id="2" name="Picture 2"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4B2D66" w:rsidRDefault="004B2D66">
          <w:pPr>
            <w:pStyle w:val="Footer"/>
            <w:jc w:val="center"/>
            <w:rPr>
              <w:rFonts w:ascii="Arial" w:hAnsi="Arial"/>
              <w:sz w:val="18"/>
            </w:rPr>
          </w:pPr>
        </w:p>
        <w:p w:rsidR="004B2D66" w:rsidRDefault="004B2D66">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4B2D66" w:rsidRDefault="004B2D66">
          <w:pPr>
            <w:pStyle w:val="Footer"/>
            <w:jc w:val="center"/>
            <w:rPr>
              <w:rFonts w:ascii="Arial" w:hAnsi="Arial"/>
              <w:sz w:val="18"/>
            </w:rPr>
          </w:pPr>
          <w:r>
            <w:rPr>
              <w:rFonts w:ascii="Arial" w:hAnsi="Arial"/>
              <w:sz w:val="18"/>
            </w:rPr>
            <w:t>Transfusion Technical Resource  Manual</w:t>
          </w:r>
        </w:p>
        <w:p w:rsidR="004B2D66" w:rsidRDefault="004B2D66">
          <w:pPr>
            <w:pStyle w:val="Footer"/>
            <w:jc w:val="center"/>
            <w:rPr>
              <w:rFonts w:ascii="Arial" w:hAnsi="Arial"/>
              <w:sz w:val="18"/>
            </w:rPr>
          </w:pPr>
        </w:p>
      </w:tc>
      <w:tc>
        <w:tcPr>
          <w:tcW w:w="1494" w:type="dxa"/>
        </w:tcPr>
        <w:p w:rsidR="004B2D66" w:rsidRDefault="004B2D66">
          <w:pPr>
            <w:pStyle w:val="Footer"/>
            <w:jc w:val="right"/>
            <w:rPr>
              <w:rFonts w:ascii="Arial" w:hAnsi="Arial"/>
              <w:sz w:val="18"/>
            </w:rPr>
          </w:pPr>
        </w:p>
        <w:p w:rsidR="004B2D66" w:rsidRDefault="004B2D66">
          <w:pPr>
            <w:pStyle w:val="Footer"/>
            <w:jc w:val="right"/>
            <w:rPr>
              <w:rFonts w:ascii="Arial" w:hAnsi="Arial"/>
              <w:sz w:val="18"/>
            </w:rPr>
          </w:pPr>
          <w:r>
            <w:rPr>
              <w:rFonts w:ascii="Arial" w:hAnsi="Arial"/>
              <w:sz w:val="18"/>
            </w:rPr>
            <w:t>RT.005</w:t>
          </w:r>
          <w:r>
            <w:rPr>
              <w:rFonts w:ascii="Arial" w:hAnsi="Arial"/>
              <w:sz w:val="18"/>
            </w:rPr>
            <w:br/>
          </w:r>
        </w:p>
        <w:p w:rsidR="004B2D66" w:rsidRDefault="004B2D6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64EEF">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64EEF">
            <w:rPr>
              <w:rFonts w:ascii="Arial" w:hAnsi="Arial"/>
              <w:noProof/>
              <w:snapToGrid w:val="0"/>
              <w:sz w:val="18"/>
            </w:rPr>
            <w:t>6</w:t>
          </w:r>
          <w:r>
            <w:rPr>
              <w:rFonts w:ascii="Arial" w:hAnsi="Arial"/>
              <w:snapToGrid w:val="0"/>
              <w:sz w:val="18"/>
            </w:rPr>
            <w:fldChar w:fldCharType="end"/>
          </w:r>
        </w:p>
      </w:tc>
    </w:tr>
  </w:tbl>
  <w:p w:rsidR="004B2D66" w:rsidRDefault="004B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B2D66">
      <w:trPr>
        <w:trHeight w:val="720"/>
      </w:trPr>
      <w:tc>
        <w:tcPr>
          <w:tcW w:w="1368" w:type="dxa"/>
        </w:tcPr>
        <w:p w:rsidR="004B2D66" w:rsidRDefault="004B2D66">
          <w:pPr>
            <w:pStyle w:val="Footer"/>
            <w:jc w:val="center"/>
            <w:rPr>
              <w:rFonts w:ascii="Verdana" w:hAnsi="Verdana"/>
              <w:sz w:val="8"/>
            </w:rPr>
          </w:pPr>
        </w:p>
        <w:p w:rsidR="004B2D66" w:rsidRDefault="001F58C5">
          <w:pPr>
            <w:pStyle w:val="Footer"/>
            <w:jc w:val="center"/>
            <w:rPr>
              <w:rFonts w:ascii="Verdana" w:hAnsi="Verdana"/>
              <w:sz w:val="8"/>
            </w:rPr>
          </w:pPr>
          <w:r>
            <w:rPr>
              <w:noProof/>
            </w:rPr>
            <w:drawing>
              <wp:inline distT="0" distB="0" distL="0" distR="0">
                <wp:extent cx="723900" cy="295275"/>
                <wp:effectExtent l="19050" t="0" r="0" b="0"/>
                <wp:docPr id="3" name="Picture 3"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4B2D66" w:rsidRDefault="004B2D66">
          <w:pPr>
            <w:pStyle w:val="Footer"/>
            <w:jc w:val="center"/>
            <w:rPr>
              <w:rFonts w:ascii="Arial" w:hAnsi="Arial"/>
              <w:sz w:val="18"/>
            </w:rPr>
          </w:pPr>
        </w:p>
        <w:p w:rsidR="004B2D66" w:rsidRDefault="004B2D66">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4B2D66" w:rsidRDefault="004B2D66">
          <w:pPr>
            <w:pStyle w:val="Footer"/>
            <w:jc w:val="center"/>
            <w:rPr>
              <w:rFonts w:ascii="Arial" w:hAnsi="Arial"/>
              <w:sz w:val="18"/>
            </w:rPr>
          </w:pPr>
          <w:r>
            <w:rPr>
              <w:rFonts w:ascii="Arial" w:hAnsi="Arial"/>
              <w:sz w:val="18"/>
            </w:rPr>
            <w:t>Transfusion Technical Resource  Manual</w:t>
          </w:r>
        </w:p>
        <w:p w:rsidR="004B2D66" w:rsidRDefault="004B2D66">
          <w:pPr>
            <w:pStyle w:val="Footer"/>
            <w:jc w:val="center"/>
            <w:rPr>
              <w:rFonts w:ascii="Arial" w:hAnsi="Arial"/>
              <w:sz w:val="18"/>
            </w:rPr>
          </w:pPr>
        </w:p>
      </w:tc>
      <w:tc>
        <w:tcPr>
          <w:tcW w:w="1494" w:type="dxa"/>
        </w:tcPr>
        <w:p w:rsidR="004B2D66" w:rsidRDefault="004B2D66">
          <w:pPr>
            <w:pStyle w:val="Footer"/>
            <w:jc w:val="right"/>
            <w:rPr>
              <w:rFonts w:ascii="Arial" w:hAnsi="Arial"/>
              <w:sz w:val="18"/>
            </w:rPr>
          </w:pPr>
        </w:p>
        <w:p w:rsidR="004B2D66" w:rsidRDefault="004B2D66">
          <w:pPr>
            <w:pStyle w:val="Footer"/>
            <w:jc w:val="right"/>
            <w:rPr>
              <w:rFonts w:ascii="Arial" w:hAnsi="Arial"/>
              <w:sz w:val="18"/>
            </w:rPr>
          </w:pPr>
          <w:r>
            <w:rPr>
              <w:rFonts w:ascii="Arial" w:hAnsi="Arial"/>
              <w:sz w:val="18"/>
            </w:rPr>
            <w:t>RT.005</w:t>
          </w:r>
          <w:r>
            <w:rPr>
              <w:rFonts w:ascii="Arial" w:hAnsi="Arial"/>
              <w:sz w:val="18"/>
            </w:rPr>
            <w:br/>
          </w:r>
        </w:p>
        <w:p w:rsidR="004B2D66" w:rsidRDefault="004B2D6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64EEF">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64EEF">
            <w:rPr>
              <w:rFonts w:ascii="Arial" w:hAnsi="Arial"/>
              <w:noProof/>
              <w:snapToGrid w:val="0"/>
              <w:sz w:val="18"/>
            </w:rPr>
            <w:t>3</w:t>
          </w:r>
          <w:r>
            <w:rPr>
              <w:rFonts w:ascii="Arial" w:hAnsi="Arial"/>
              <w:snapToGrid w:val="0"/>
              <w:sz w:val="18"/>
            </w:rPr>
            <w:fldChar w:fldCharType="end"/>
          </w:r>
        </w:p>
      </w:tc>
    </w:tr>
  </w:tbl>
  <w:p w:rsidR="004B2D66" w:rsidRDefault="004B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62" w:rsidRDefault="00BC2062">
      <w:r>
        <w:separator/>
      </w:r>
    </w:p>
  </w:footnote>
  <w:footnote w:type="continuationSeparator" w:id="0">
    <w:p w:rsidR="00BC2062" w:rsidRDefault="00BC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D66" w:rsidRDefault="004B2D66">
    <w:pPr>
      <w:pStyle w:val="Header"/>
      <w:jc w:val="center"/>
      <w:rPr>
        <w:rFonts w:ascii="Arial" w:hAnsi="Arial"/>
        <w:b/>
        <w:sz w:val="28"/>
      </w:rPr>
    </w:pPr>
    <w:r>
      <w:rPr>
        <w:rFonts w:ascii="Arial" w:hAnsi="Arial"/>
        <w:b/>
        <w:sz w:val="28"/>
      </w:rPr>
      <w:t>Rh Typing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D66" w:rsidRDefault="001F58C5">
    <w:pPr>
      <w:pStyle w:val="Header"/>
      <w:tabs>
        <w:tab w:val="clear" w:pos="8640"/>
        <w:tab w:val="left" w:pos="4783"/>
      </w:tabs>
    </w:pPr>
    <w:r>
      <w:rPr>
        <w:noProof/>
      </w:rPr>
      <w:drawing>
        <wp:inline distT="0" distB="0" distL="0" distR="0">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4B2D66" w:rsidRDefault="004B2D66">
    <w:pPr>
      <w:pStyle w:val="Header"/>
      <w:tabs>
        <w:tab w:val="clear" w:pos="8640"/>
        <w:tab w:val="left" w:pos="4783"/>
      </w:tabs>
      <w:rPr>
        <w:rFonts w:ascii="Arial" w:hAnsi="Arial" w:cs="Arial"/>
        <w:b/>
        <w:bCs/>
        <w:sz w:val="22"/>
      </w:rPr>
    </w:pPr>
  </w:p>
  <w:p w:rsidR="004B2D66" w:rsidRDefault="004B2D66">
    <w:pPr>
      <w:pStyle w:val="Header"/>
      <w:jc w:val="center"/>
      <w:rPr>
        <w:rFonts w:ascii="Arial" w:hAnsi="Arial" w:cs="Arial"/>
        <w:b/>
        <w:bCs/>
        <w:sz w:val="22"/>
      </w:rPr>
    </w:pPr>
    <w:r>
      <w:rPr>
        <w:rFonts w:ascii="Arial" w:hAnsi="Arial" w:cs="Arial"/>
        <w:b/>
        <w:bCs/>
        <w:sz w:val="22"/>
      </w:rPr>
      <w:t xml:space="preserve">Ontario Regional Blood Coordinating Network </w:t>
    </w:r>
  </w:p>
  <w:p w:rsidR="004B2D66" w:rsidRDefault="004B2D66">
    <w:pPr>
      <w:pStyle w:val="Header"/>
      <w:jc w:val="center"/>
      <w:rPr>
        <w:rFonts w:ascii="Arial" w:hAnsi="Arial" w:cs="Arial"/>
        <w:b/>
        <w:bCs/>
        <w:sz w:val="22"/>
      </w:rPr>
    </w:pPr>
    <w:r>
      <w:rPr>
        <w:rFonts w:ascii="Arial" w:hAnsi="Arial" w:cs="Arial"/>
        <w:b/>
        <w:bCs/>
        <w:sz w:val="22"/>
      </w:rPr>
      <w:t>Transfusion Technical Resource Manual</w:t>
    </w:r>
  </w:p>
  <w:p w:rsidR="004B2D66" w:rsidRDefault="004B2D66">
    <w:pPr>
      <w:pStyle w:val="Header"/>
      <w:jc w:val="center"/>
      <w:rPr>
        <w:rFonts w:ascii="Arial" w:hAnsi="Arial" w:cs="Arial"/>
        <w:b/>
        <w:bCs/>
        <w:sz w:val="22"/>
      </w:rPr>
    </w:pPr>
  </w:p>
  <w:p w:rsidR="004B2D66" w:rsidRDefault="004B2D66">
    <w:pPr>
      <w:pStyle w:val="Header"/>
      <w:jc w:val="center"/>
      <w:rPr>
        <w:rFonts w:ascii="Arial" w:hAnsi="Arial"/>
        <w:b/>
        <w:sz w:val="28"/>
      </w:rPr>
    </w:pPr>
    <w:r>
      <w:rPr>
        <w:rFonts w:ascii="Arial" w:hAnsi="Arial"/>
        <w:b/>
        <w:sz w:val="28"/>
      </w:rPr>
      <w:t>Rh Typing</w:t>
    </w:r>
  </w:p>
  <w:p w:rsidR="004B2D66" w:rsidRDefault="004B2D66">
    <w:pPr>
      <w:pStyle w:val="Header"/>
      <w:jc w:val="center"/>
      <w:rPr>
        <w:rFonts w:ascii="Arial" w:hAnsi="Arial"/>
        <w:b/>
        <w:sz w:val="28"/>
      </w:rPr>
    </w:pPr>
  </w:p>
  <w:p w:rsidR="004B2D66" w:rsidRDefault="004B2D66">
    <w:pPr>
      <w:pStyle w:val="Header"/>
      <w:jc w:val="center"/>
      <w:rPr>
        <w:rFonts w:ascii="Arial" w:hAnsi="Arial" w:cs="Arial"/>
        <w:b/>
        <w:bCs/>
      </w:rPr>
    </w:pPr>
    <w:r>
      <w:rPr>
        <w:rFonts w:ascii="Arial" w:hAnsi="Arial" w:cs="Arial"/>
        <w:b/>
        <w:bCs/>
      </w:rPr>
      <w:tab/>
    </w:r>
    <w:r w:rsidR="00164EEF">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56D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28"/>
      <w:gridCol w:w="4428"/>
    </w:tblGrid>
    <w:tr w:rsidR="004B2D66">
      <w:tc>
        <w:tcPr>
          <w:tcW w:w="4428" w:type="dxa"/>
        </w:tcPr>
        <w:p w:rsidR="004B2D66" w:rsidRDefault="004B2D66">
          <w:pPr>
            <w:pStyle w:val="Header"/>
            <w:rPr>
              <w:rFonts w:ascii="Arial" w:hAnsi="Arial" w:cs="Arial"/>
            </w:rPr>
          </w:pPr>
          <w:r>
            <w:rPr>
              <w:rFonts w:ascii="Arial" w:hAnsi="Arial" w:cs="Arial"/>
            </w:rPr>
            <w:t xml:space="preserve">Approved By:  </w:t>
          </w:r>
        </w:p>
      </w:tc>
      <w:tc>
        <w:tcPr>
          <w:tcW w:w="4428" w:type="dxa"/>
        </w:tcPr>
        <w:p w:rsidR="004B2D66" w:rsidRDefault="004B2D66">
          <w:pPr>
            <w:pStyle w:val="Header"/>
            <w:rPr>
              <w:rFonts w:ascii="Arial" w:hAnsi="Arial" w:cs="Arial"/>
              <w:lang w:val="fr-CA"/>
            </w:rPr>
          </w:pPr>
          <w:r>
            <w:rPr>
              <w:rFonts w:ascii="Arial" w:hAnsi="Arial" w:cs="Arial"/>
              <w:lang w:val="fr-CA"/>
            </w:rPr>
            <w:t>Document No: RT.005</w:t>
          </w:r>
        </w:p>
      </w:tc>
    </w:tr>
    <w:tr w:rsidR="004B2D66">
      <w:tc>
        <w:tcPr>
          <w:tcW w:w="4428" w:type="dxa"/>
        </w:tcPr>
        <w:p w:rsidR="004B2D66" w:rsidRDefault="004B2D66">
          <w:pPr>
            <w:pStyle w:val="Header"/>
            <w:rPr>
              <w:rFonts w:ascii="Arial" w:hAnsi="Arial" w:cs="Arial"/>
            </w:rPr>
          </w:pPr>
          <w:r>
            <w:rPr>
              <w:rFonts w:ascii="Arial" w:hAnsi="Arial" w:cs="Arial"/>
            </w:rPr>
            <w:t>Date Issued:  2004/04/05</w:t>
          </w:r>
        </w:p>
      </w:tc>
      <w:tc>
        <w:tcPr>
          <w:tcW w:w="4428" w:type="dxa"/>
        </w:tcPr>
        <w:p w:rsidR="004B2D66" w:rsidRDefault="004B2D66">
          <w:pPr>
            <w:pStyle w:val="Header"/>
            <w:rPr>
              <w:rFonts w:ascii="Arial" w:hAnsi="Arial" w:cs="Arial"/>
            </w:rPr>
          </w:pPr>
          <w:r>
            <w:rPr>
              <w:rFonts w:ascii="Arial" w:hAnsi="Arial" w:cs="Arial"/>
            </w:rPr>
            <w:t>Category:  Routine Testing</w:t>
          </w:r>
        </w:p>
      </w:tc>
    </w:tr>
    <w:tr w:rsidR="004B2D66">
      <w:tc>
        <w:tcPr>
          <w:tcW w:w="4428" w:type="dxa"/>
        </w:tcPr>
        <w:p w:rsidR="004B2D66" w:rsidRDefault="004B2D66">
          <w:pPr>
            <w:pStyle w:val="Header"/>
            <w:rPr>
              <w:rFonts w:ascii="Arial" w:hAnsi="Arial" w:cs="Arial"/>
            </w:rPr>
          </w:pPr>
          <w:r>
            <w:rPr>
              <w:rFonts w:ascii="Arial" w:hAnsi="Arial" w:cs="Arial"/>
            </w:rPr>
            <w:t>Date Revised:  2009/09/01, 2014/01/31</w:t>
          </w:r>
        </w:p>
      </w:tc>
      <w:tc>
        <w:tcPr>
          <w:tcW w:w="4428" w:type="dxa"/>
        </w:tcPr>
        <w:p w:rsidR="004B2D66" w:rsidRDefault="004B2D6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64EE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64EEF">
            <w:rPr>
              <w:rFonts w:ascii="Arial" w:hAnsi="Arial" w:cs="Arial"/>
              <w:noProof/>
            </w:rPr>
            <w:t>3</w:t>
          </w:r>
          <w:r>
            <w:rPr>
              <w:rFonts w:ascii="Arial" w:hAnsi="Arial" w:cs="Arial"/>
            </w:rPr>
            <w:fldChar w:fldCharType="end"/>
          </w:r>
        </w:p>
      </w:tc>
    </w:tr>
  </w:tbl>
  <w:p w:rsidR="004B2D66" w:rsidRDefault="00164EEF">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91D0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4B2D66">
      <w:rPr>
        <w:rFonts w:ascii="Arial" w:hAnsi="Arial" w:cs="Arial"/>
      </w:rPr>
      <w:tab/>
    </w:r>
    <w:r w:rsidR="004B2D66">
      <w:rPr>
        <w:rFonts w:ascii="Arial" w:hAnsi="Arial" w:cs="Arial"/>
      </w:rPr>
      <w:tab/>
    </w:r>
  </w:p>
  <w:p w:rsidR="004B2D66" w:rsidRDefault="004B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436"/>
    <w:multiLevelType w:val="hybridMultilevel"/>
    <w:tmpl w:val="FB38504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1C831782"/>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32249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8A7CA1"/>
    <w:multiLevelType w:val="hybridMultilevel"/>
    <w:tmpl w:val="B6DEE19C"/>
    <w:lvl w:ilvl="0" w:tplc="9C40DD42">
      <w:start w:val="1"/>
      <w:numFmt w:val="decimal"/>
      <w:lvlText w:val="6.2.%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F67DD"/>
    <w:multiLevelType w:val="hybridMultilevel"/>
    <w:tmpl w:val="0990218C"/>
    <w:lvl w:ilvl="0" w:tplc="73CA8184">
      <w:start w:val="1"/>
      <w:numFmt w:val="decimal"/>
      <w:lvlText w:val="6.1.%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32CB521B"/>
    <w:multiLevelType w:val="hybridMultilevel"/>
    <w:tmpl w:val="2D8497EE"/>
    <w:lvl w:ilvl="0" w:tplc="DA081E3A">
      <w:start w:val="1"/>
      <w:numFmt w:val="decimal"/>
      <w:lvlText w:val="6.%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B442C"/>
    <w:multiLevelType w:val="hybridMultilevel"/>
    <w:tmpl w:val="F964FD7A"/>
    <w:lvl w:ilvl="0" w:tplc="31FCD910">
      <w:start w:val="1"/>
      <w:numFmt w:val="decimal"/>
      <w:lvlText w:val="6.9.%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574C9"/>
    <w:multiLevelType w:val="hybridMultilevel"/>
    <w:tmpl w:val="708AE79C"/>
    <w:lvl w:ilvl="0" w:tplc="F84C17AC">
      <w:start w:val="1"/>
      <w:numFmt w:val="decimal"/>
      <w:lvlText w:val="6.10.%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C7A01"/>
    <w:multiLevelType w:val="hybridMultilevel"/>
    <w:tmpl w:val="D3284FDA"/>
    <w:lvl w:ilvl="0" w:tplc="EE8864FE">
      <w:start w:val="1"/>
      <w:numFmt w:val="decimal"/>
      <w:lvlText w:val="6.3.%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D086A"/>
    <w:multiLevelType w:val="hybridMultilevel"/>
    <w:tmpl w:val="FC4A6612"/>
    <w:lvl w:ilvl="0" w:tplc="B1E2BE9C">
      <w:start w:val="1"/>
      <w:numFmt w:val="decimal"/>
      <w:lvlText w:val="6.4.%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A62AB"/>
    <w:multiLevelType w:val="multilevel"/>
    <w:tmpl w:val="E6248176"/>
    <w:lvl w:ilvl="0">
      <w:start w:val="6"/>
      <w:numFmt w:val="decimal"/>
      <w:lvlText w:val="%1.1"/>
      <w:lvlJc w:val="left"/>
      <w:pPr>
        <w:ind w:left="360" w:hanging="360"/>
      </w:pPr>
      <w:rPr>
        <w:rFonts w:ascii="Arial" w:hAnsi="Arial" w:hint="default"/>
      </w:rPr>
    </w:lvl>
    <w:lvl w:ilvl="1">
      <w:start w:val="1"/>
      <w:numFmt w:val="decimal"/>
      <w:lvlText w:val="%1.%2"/>
      <w:lvlJc w:val="left"/>
      <w:pPr>
        <w:tabs>
          <w:tab w:val="num" w:pos="720"/>
        </w:tabs>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E115DE"/>
    <w:multiLevelType w:val="multilevel"/>
    <w:tmpl w:val="17EAAF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61F0726"/>
    <w:multiLevelType w:val="hybridMultilevel"/>
    <w:tmpl w:val="00BC989C"/>
    <w:lvl w:ilvl="0" w:tplc="BE60074A">
      <w:start w:val="1"/>
      <w:numFmt w:val="decimal"/>
      <w:lvlText w:val="6.5.%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B4C80"/>
    <w:multiLevelType w:val="hybridMultilevel"/>
    <w:tmpl w:val="CEB0B8FA"/>
    <w:lvl w:ilvl="0" w:tplc="7A0A73B2">
      <w:start w:val="1"/>
      <w:numFmt w:val="decimal"/>
      <w:lvlText w:val="6.7.%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C62C0"/>
    <w:multiLevelType w:val="hybridMultilevel"/>
    <w:tmpl w:val="75E8D2F6"/>
    <w:lvl w:ilvl="0" w:tplc="0D4C798C">
      <w:start w:val="1"/>
      <w:numFmt w:val="decimal"/>
      <w:lvlText w:val="6.8.%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B0563"/>
    <w:multiLevelType w:val="hybridMultilevel"/>
    <w:tmpl w:val="AF1EBFB0"/>
    <w:lvl w:ilvl="0" w:tplc="31248070">
      <w:start w:val="1"/>
      <w:numFmt w:val="bullet"/>
      <w:suff w:val="space"/>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76741D7C"/>
    <w:multiLevelType w:val="hybridMultilevel"/>
    <w:tmpl w:val="4D1230FC"/>
    <w:lvl w:ilvl="0" w:tplc="38B02F42">
      <w:start w:val="1"/>
      <w:numFmt w:val="decimal"/>
      <w:lvlText w:val="6.6.%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46CD2"/>
    <w:multiLevelType w:val="hybridMultilevel"/>
    <w:tmpl w:val="FA7E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6"/>
  </w:num>
  <w:num w:numId="10">
    <w:abstractNumId w:val="4"/>
  </w:num>
  <w:num w:numId="11">
    <w:abstractNumId w:val="3"/>
  </w:num>
  <w:num w:numId="12">
    <w:abstractNumId w:val="9"/>
  </w:num>
  <w:num w:numId="13">
    <w:abstractNumId w:val="10"/>
  </w:num>
  <w:num w:numId="14">
    <w:abstractNumId w:val="13"/>
  </w:num>
  <w:num w:numId="15">
    <w:abstractNumId w:val="17"/>
  </w:num>
  <w:num w:numId="16">
    <w:abstractNumId w:val="14"/>
  </w:num>
  <w:num w:numId="17">
    <w:abstractNumId w:val="15"/>
  </w:num>
  <w:num w:numId="18">
    <w:abstractNumId w:val="7"/>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B"/>
    <w:rsid w:val="000E12DB"/>
    <w:rsid w:val="000F34EF"/>
    <w:rsid w:val="00164EEF"/>
    <w:rsid w:val="001B300F"/>
    <w:rsid w:val="001C371B"/>
    <w:rsid w:val="001F58C5"/>
    <w:rsid w:val="002301CE"/>
    <w:rsid w:val="002E2A81"/>
    <w:rsid w:val="00316AD2"/>
    <w:rsid w:val="00360C06"/>
    <w:rsid w:val="00362E6F"/>
    <w:rsid w:val="0040199E"/>
    <w:rsid w:val="00411DF3"/>
    <w:rsid w:val="004542FF"/>
    <w:rsid w:val="004B2D66"/>
    <w:rsid w:val="004E1812"/>
    <w:rsid w:val="00560AF2"/>
    <w:rsid w:val="00594EA0"/>
    <w:rsid w:val="006D1202"/>
    <w:rsid w:val="0074094F"/>
    <w:rsid w:val="00787FB0"/>
    <w:rsid w:val="007D34AE"/>
    <w:rsid w:val="00815E01"/>
    <w:rsid w:val="00862B6F"/>
    <w:rsid w:val="008777CE"/>
    <w:rsid w:val="008B0B7D"/>
    <w:rsid w:val="00916F5C"/>
    <w:rsid w:val="009451E9"/>
    <w:rsid w:val="009545F2"/>
    <w:rsid w:val="009B604C"/>
    <w:rsid w:val="00A00601"/>
    <w:rsid w:val="00A419FF"/>
    <w:rsid w:val="00AF7A00"/>
    <w:rsid w:val="00B47769"/>
    <w:rsid w:val="00B720AA"/>
    <w:rsid w:val="00B778C8"/>
    <w:rsid w:val="00BC2062"/>
    <w:rsid w:val="00CA1B16"/>
    <w:rsid w:val="00CB33CC"/>
    <w:rsid w:val="00CC162F"/>
    <w:rsid w:val="00CD30A6"/>
    <w:rsid w:val="00CD7644"/>
    <w:rsid w:val="00CE272D"/>
    <w:rsid w:val="00D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D31D7688-3721-4009-A72F-9E840210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AF7A00"/>
    <w:rPr>
      <w:rFonts w:ascii="Tahoma" w:hAnsi="Tahoma"/>
      <w:sz w:val="16"/>
      <w:szCs w:val="16"/>
    </w:rPr>
  </w:style>
  <w:style w:type="character" w:customStyle="1" w:styleId="BalloonTextChar">
    <w:name w:val="Balloon Text Char"/>
    <w:link w:val="BalloonText"/>
    <w:rsid w:val="00AF7A00"/>
    <w:rPr>
      <w:rFonts w:ascii="Tahoma" w:hAnsi="Tahoma" w:cs="Tahoma"/>
      <w:sz w:val="16"/>
      <w:szCs w:val="16"/>
    </w:rPr>
  </w:style>
  <w:style w:type="character" w:styleId="CommentReference">
    <w:name w:val="annotation reference"/>
    <w:rsid w:val="00AF7A00"/>
    <w:rPr>
      <w:sz w:val="16"/>
      <w:szCs w:val="16"/>
    </w:rPr>
  </w:style>
  <w:style w:type="paragraph" w:styleId="CommentText">
    <w:name w:val="annotation text"/>
    <w:basedOn w:val="Normal"/>
    <w:link w:val="CommentTextChar"/>
    <w:rsid w:val="00AF7A00"/>
  </w:style>
  <w:style w:type="character" w:customStyle="1" w:styleId="CommentTextChar">
    <w:name w:val="Comment Text Char"/>
    <w:basedOn w:val="DefaultParagraphFont"/>
    <w:link w:val="CommentText"/>
    <w:rsid w:val="00AF7A00"/>
  </w:style>
  <w:style w:type="paragraph" w:styleId="CommentSubject">
    <w:name w:val="annotation subject"/>
    <w:basedOn w:val="CommentText"/>
    <w:next w:val="CommentText"/>
    <w:link w:val="CommentSubjectChar"/>
    <w:rsid w:val="00AF7A00"/>
    <w:rPr>
      <w:b/>
      <w:bCs/>
    </w:rPr>
  </w:style>
  <w:style w:type="character" w:customStyle="1" w:styleId="CommentSubjectChar">
    <w:name w:val="Comment Subject Char"/>
    <w:link w:val="CommentSubject"/>
    <w:rsid w:val="00AF7A00"/>
    <w:rPr>
      <w:b/>
      <w:bCs/>
    </w:rPr>
  </w:style>
  <w:style w:type="paragraph" w:styleId="ListParagraph">
    <w:name w:val="List Paragraph"/>
    <w:basedOn w:val="Normal"/>
    <w:uiPriority w:val="34"/>
    <w:qFormat/>
    <w:rsid w:val="002301CE"/>
    <w:pPr>
      <w:ind w:left="720"/>
    </w:pPr>
  </w:style>
  <w:style w:type="table" w:styleId="TableGrid">
    <w:name w:val="Table Grid"/>
    <w:basedOn w:val="TableNormal"/>
    <w:uiPriority w:val="59"/>
    <w:rsid w:val="00954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RT.002 Rh Typing</vt:lpstr>
    </vt:vector>
  </TitlesOfParts>
  <Company>The Ottawa Hospital</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RT.002 Rh Typing</dc:title>
  <dc:creator>Transfusion Ontario Program Office</dc:creator>
  <cp:lastModifiedBy>Nesrallah, Heather</cp:lastModifiedBy>
  <cp:revision>2</cp:revision>
  <cp:lastPrinted>2014-03-13T13:22:00Z</cp:lastPrinted>
  <dcterms:created xsi:type="dcterms:W3CDTF">2020-08-10T17:24:00Z</dcterms:created>
  <dcterms:modified xsi:type="dcterms:W3CDTF">2020-08-10T17:24:00Z</dcterms:modified>
</cp:coreProperties>
</file>