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892" w:rsidRDefault="00E50892">
      <w:pPr>
        <w:numPr>
          <w:ilvl w:val="0"/>
          <w:numId w:val="1"/>
        </w:numPr>
        <w:rPr>
          <w:rFonts w:ascii="Arial" w:hAnsi="Arial"/>
          <w:b/>
          <w:sz w:val="28"/>
        </w:rPr>
      </w:pPr>
      <w:bookmarkStart w:id="0" w:name="_GoBack"/>
      <w:bookmarkEnd w:id="0"/>
      <w:r>
        <w:rPr>
          <w:rFonts w:ascii="Arial" w:hAnsi="Arial"/>
          <w:b/>
          <w:sz w:val="28"/>
        </w:rPr>
        <w:t>Principle</w:t>
      </w:r>
    </w:p>
    <w:p w:rsidR="00E50892" w:rsidRDefault="00E50892">
      <w:pPr>
        <w:rPr>
          <w:rFonts w:ascii="Arial" w:hAnsi="Arial"/>
          <w:sz w:val="24"/>
        </w:rPr>
      </w:pPr>
    </w:p>
    <w:p w:rsidR="00E50892" w:rsidRDefault="00E50892">
      <w:pPr>
        <w:ind w:left="720"/>
        <w:rPr>
          <w:rFonts w:ascii="Arial" w:hAnsi="Arial"/>
          <w:sz w:val="24"/>
        </w:rPr>
      </w:pPr>
      <w:r>
        <w:rPr>
          <w:rFonts w:ascii="Arial" w:hAnsi="Arial"/>
          <w:sz w:val="24"/>
        </w:rPr>
        <w:t>To determine the ABO group in human blood.</w:t>
      </w:r>
    </w:p>
    <w:p w:rsidR="00E50892" w:rsidRDefault="00E50892">
      <w:pPr>
        <w:ind w:left="720"/>
        <w:rPr>
          <w:rFonts w:ascii="Arial" w:hAnsi="Arial"/>
          <w:sz w:val="24"/>
        </w:rPr>
      </w:pPr>
    </w:p>
    <w:p w:rsidR="00E50892" w:rsidRDefault="00E50892">
      <w:pPr>
        <w:ind w:left="720"/>
        <w:rPr>
          <w:rFonts w:ascii="Arial" w:hAnsi="Arial"/>
          <w:sz w:val="24"/>
        </w:rPr>
      </w:pPr>
      <w:r>
        <w:rPr>
          <w:rFonts w:ascii="Arial" w:hAnsi="Arial"/>
          <w:sz w:val="24"/>
        </w:rPr>
        <w:t>ABO blood groups are determined by the presence or absence of A and B antigens on the red cells and by the presence or absence of anti-A and anti-B in the plasma.</w:t>
      </w:r>
    </w:p>
    <w:p w:rsidR="00E50892" w:rsidRDefault="00E50892">
      <w:pPr>
        <w:ind w:left="720"/>
        <w:rPr>
          <w:rFonts w:ascii="Arial" w:hAnsi="Arial"/>
          <w:sz w:val="24"/>
        </w:rPr>
      </w:pPr>
    </w:p>
    <w:p w:rsidR="00E50892" w:rsidRDefault="00E50892">
      <w:pPr>
        <w:ind w:left="720"/>
        <w:rPr>
          <w:rFonts w:ascii="Arial" w:hAnsi="Arial"/>
          <w:sz w:val="24"/>
        </w:rPr>
      </w:pPr>
      <w:r>
        <w:rPr>
          <w:rFonts w:ascii="Arial" w:hAnsi="Arial"/>
          <w:sz w:val="24"/>
        </w:rPr>
        <w:t>In adults, there is a reciprocal relationship between antigen on red cells and antibody in the plasma:</w:t>
      </w:r>
    </w:p>
    <w:p w:rsidR="00E50892" w:rsidRDefault="00E50892">
      <w:pPr>
        <w:ind w:left="720"/>
        <w:rPr>
          <w:rFonts w:ascii="Arial" w:hAnsi="Arial"/>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161"/>
        <w:gridCol w:w="3130"/>
      </w:tblGrid>
      <w:tr w:rsidR="005944DF" w:rsidRPr="00FB3E4E" w:rsidTr="00FB3E4E">
        <w:tc>
          <w:tcPr>
            <w:tcW w:w="1656" w:type="dxa"/>
          </w:tcPr>
          <w:p w:rsidR="005944DF" w:rsidRPr="00FB3E4E" w:rsidRDefault="005944DF">
            <w:pPr>
              <w:rPr>
                <w:rFonts w:ascii="Arial" w:hAnsi="Arial"/>
                <w:sz w:val="24"/>
              </w:rPr>
            </w:pPr>
            <w:r w:rsidRPr="00FB3E4E">
              <w:rPr>
                <w:rFonts w:ascii="Arial" w:hAnsi="Arial"/>
                <w:sz w:val="24"/>
              </w:rPr>
              <w:t>ABO Group</w:t>
            </w:r>
          </w:p>
        </w:tc>
        <w:tc>
          <w:tcPr>
            <w:tcW w:w="3261" w:type="dxa"/>
          </w:tcPr>
          <w:p w:rsidR="005944DF" w:rsidRPr="00FB3E4E" w:rsidRDefault="005944DF">
            <w:pPr>
              <w:rPr>
                <w:rFonts w:ascii="Arial" w:hAnsi="Arial"/>
                <w:sz w:val="24"/>
              </w:rPr>
            </w:pPr>
            <w:r w:rsidRPr="00FB3E4E">
              <w:rPr>
                <w:rFonts w:ascii="Arial" w:hAnsi="Arial"/>
                <w:sz w:val="24"/>
              </w:rPr>
              <w:t>Antigens present on red cells</w:t>
            </w:r>
          </w:p>
        </w:tc>
        <w:tc>
          <w:tcPr>
            <w:tcW w:w="3219" w:type="dxa"/>
          </w:tcPr>
          <w:p w:rsidR="005944DF" w:rsidRPr="00FB3E4E" w:rsidRDefault="005944DF">
            <w:pPr>
              <w:rPr>
                <w:rFonts w:ascii="Arial" w:hAnsi="Arial"/>
                <w:sz w:val="24"/>
              </w:rPr>
            </w:pPr>
            <w:r w:rsidRPr="00FB3E4E">
              <w:rPr>
                <w:rFonts w:ascii="Arial" w:hAnsi="Arial"/>
                <w:sz w:val="24"/>
              </w:rPr>
              <w:t>Antibodies present in plasma</w:t>
            </w:r>
          </w:p>
        </w:tc>
      </w:tr>
      <w:tr w:rsidR="005944DF" w:rsidRPr="00FB3E4E" w:rsidTr="00FB3E4E">
        <w:tc>
          <w:tcPr>
            <w:tcW w:w="1656" w:type="dxa"/>
          </w:tcPr>
          <w:p w:rsidR="005944DF" w:rsidRPr="00FB3E4E" w:rsidRDefault="005944DF">
            <w:pPr>
              <w:rPr>
                <w:rFonts w:ascii="Arial" w:hAnsi="Arial"/>
                <w:sz w:val="24"/>
              </w:rPr>
            </w:pPr>
            <w:r w:rsidRPr="00FB3E4E">
              <w:rPr>
                <w:rFonts w:ascii="Arial" w:hAnsi="Arial"/>
                <w:sz w:val="24"/>
              </w:rPr>
              <w:t>O</w:t>
            </w:r>
          </w:p>
        </w:tc>
        <w:tc>
          <w:tcPr>
            <w:tcW w:w="3261" w:type="dxa"/>
          </w:tcPr>
          <w:p w:rsidR="005944DF" w:rsidRPr="00FB3E4E" w:rsidRDefault="005944DF">
            <w:pPr>
              <w:rPr>
                <w:rFonts w:ascii="Arial" w:hAnsi="Arial"/>
                <w:sz w:val="24"/>
              </w:rPr>
            </w:pPr>
            <w:r w:rsidRPr="00FB3E4E">
              <w:rPr>
                <w:rFonts w:ascii="Arial" w:hAnsi="Arial"/>
                <w:sz w:val="24"/>
              </w:rPr>
              <w:t>Neither A nor B</w:t>
            </w:r>
          </w:p>
        </w:tc>
        <w:tc>
          <w:tcPr>
            <w:tcW w:w="3219" w:type="dxa"/>
          </w:tcPr>
          <w:p w:rsidR="005944DF" w:rsidRPr="00FB3E4E" w:rsidRDefault="005944DF">
            <w:pPr>
              <w:rPr>
                <w:rFonts w:ascii="Arial" w:hAnsi="Arial"/>
                <w:sz w:val="24"/>
              </w:rPr>
            </w:pPr>
            <w:r w:rsidRPr="00FB3E4E">
              <w:rPr>
                <w:rFonts w:ascii="Arial" w:hAnsi="Arial"/>
                <w:sz w:val="24"/>
              </w:rPr>
              <w:t>Both anti-A and anti-B</w:t>
            </w:r>
          </w:p>
        </w:tc>
      </w:tr>
      <w:tr w:rsidR="005944DF" w:rsidRPr="00FB3E4E" w:rsidTr="00FB3E4E">
        <w:tc>
          <w:tcPr>
            <w:tcW w:w="1656" w:type="dxa"/>
          </w:tcPr>
          <w:p w:rsidR="005944DF" w:rsidRPr="00FB3E4E" w:rsidRDefault="005944DF">
            <w:pPr>
              <w:rPr>
                <w:rFonts w:ascii="Arial" w:hAnsi="Arial"/>
                <w:sz w:val="24"/>
              </w:rPr>
            </w:pPr>
            <w:r w:rsidRPr="00FB3E4E">
              <w:rPr>
                <w:rFonts w:ascii="Arial" w:hAnsi="Arial"/>
                <w:sz w:val="24"/>
              </w:rPr>
              <w:t>A</w:t>
            </w:r>
          </w:p>
        </w:tc>
        <w:tc>
          <w:tcPr>
            <w:tcW w:w="3261" w:type="dxa"/>
          </w:tcPr>
          <w:p w:rsidR="005944DF" w:rsidRPr="00FB3E4E" w:rsidRDefault="005944DF">
            <w:pPr>
              <w:rPr>
                <w:rFonts w:ascii="Arial" w:hAnsi="Arial"/>
                <w:sz w:val="24"/>
              </w:rPr>
            </w:pPr>
            <w:r w:rsidRPr="00FB3E4E">
              <w:rPr>
                <w:rFonts w:ascii="Arial" w:hAnsi="Arial"/>
                <w:sz w:val="24"/>
              </w:rPr>
              <w:t>A only</w:t>
            </w:r>
          </w:p>
        </w:tc>
        <w:tc>
          <w:tcPr>
            <w:tcW w:w="3219" w:type="dxa"/>
          </w:tcPr>
          <w:p w:rsidR="005944DF" w:rsidRPr="00FB3E4E" w:rsidRDefault="005944DF">
            <w:pPr>
              <w:rPr>
                <w:rFonts w:ascii="Arial" w:hAnsi="Arial"/>
                <w:sz w:val="24"/>
              </w:rPr>
            </w:pPr>
            <w:r w:rsidRPr="00FB3E4E">
              <w:rPr>
                <w:rFonts w:ascii="Arial" w:hAnsi="Arial"/>
                <w:sz w:val="24"/>
              </w:rPr>
              <w:t>Anti- B only</w:t>
            </w:r>
          </w:p>
        </w:tc>
      </w:tr>
      <w:tr w:rsidR="005944DF" w:rsidRPr="00FB3E4E" w:rsidTr="00FB3E4E">
        <w:tc>
          <w:tcPr>
            <w:tcW w:w="1656" w:type="dxa"/>
          </w:tcPr>
          <w:p w:rsidR="005944DF" w:rsidRPr="00FB3E4E" w:rsidRDefault="005944DF">
            <w:pPr>
              <w:rPr>
                <w:rFonts w:ascii="Arial" w:hAnsi="Arial"/>
                <w:sz w:val="24"/>
              </w:rPr>
            </w:pPr>
            <w:r w:rsidRPr="00FB3E4E">
              <w:rPr>
                <w:rFonts w:ascii="Arial" w:hAnsi="Arial"/>
                <w:sz w:val="24"/>
              </w:rPr>
              <w:t>B</w:t>
            </w:r>
          </w:p>
        </w:tc>
        <w:tc>
          <w:tcPr>
            <w:tcW w:w="3261" w:type="dxa"/>
          </w:tcPr>
          <w:p w:rsidR="005944DF" w:rsidRPr="00FB3E4E" w:rsidRDefault="005944DF">
            <w:pPr>
              <w:rPr>
                <w:rFonts w:ascii="Arial" w:hAnsi="Arial"/>
                <w:sz w:val="24"/>
              </w:rPr>
            </w:pPr>
            <w:r w:rsidRPr="00FB3E4E">
              <w:rPr>
                <w:rFonts w:ascii="Arial" w:hAnsi="Arial"/>
                <w:sz w:val="24"/>
              </w:rPr>
              <w:t>B only</w:t>
            </w:r>
          </w:p>
        </w:tc>
        <w:tc>
          <w:tcPr>
            <w:tcW w:w="3219" w:type="dxa"/>
          </w:tcPr>
          <w:p w:rsidR="005944DF" w:rsidRPr="00FB3E4E" w:rsidRDefault="005944DF">
            <w:pPr>
              <w:rPr>
                <w:rFonts w:ascii="Arial" w:hAnsi="Arial"/>
                <w:sz w:val="24"/>
              </w:rPr>
            </w:pPr>
            <w:r w:rsidRPr="00FB3E4E">
              <w:rPr>
                <w:rFonts w:ascii="Arial" w:hAnsi="Arial"/>
                <w:sz w:val="24"/>
              </w:rPr>
              <w:t>Anti-A only</w:t>
            </w:r>
          </w:p>
        </w:tc>
      </w:tr>
      <w:tr w:rsidR="005944DF" w:rsidRPr="00FB3E4E" w:rsidTr="00FB3E4E">
        <w:tc>
          <w:tcPr>
            <w:tcW w:w="1656" w:type="dxa"/>
          </w:tcPr>
          <w:p w:rsidR="005944DF" w:rsidRPr="00FB3E4E" w:rsidRDefault="005944DF">
            <w:pPr>
              <w:rPr>
                <w:rFonts w:ascii="Arial" w:hAnsi="Arial"/>
                <w:sz w:val="24"/>
              </w:rPr>
            </w:pPr>
            <w:r w:rsidRPr="00FB3E4E">
              <w:rPr>
                <w:rFonts w:ascii="Arial" w:hAnsi="Arial"/>
                <w:sz w:val="24"/>
              </w:rPr>
              <w:t>AB</w:t>
            </w:r>
          </w:p>
        </w:tc>
        <w:tc>
          <w:tcPr>
            <w:tcW w:w="3261" w:type="dxa"/>
          </w:tcPr>
          <w:p w:rsidR="005944DF" w:rsidRPr="00FB3E4E" w:rsidRDefault="005944DF">
            <w:pPr>
              <w:rPr>
                <w:rFonts w:ascii="Arial" w:hAnsi="Arial"/>
                <w:sz w:val="24"/>
              </w:rPr>
            </w:pPr>
            <w:r w:rsidRPr="00FB3E4E">
              <w:rPr>
                <w:rFonts w:ascii="Arial" w:hAnsi="Arial"/>
                <w:sz w:val="24"/>
              </w:rPr>
              <w:t>Both A and B</w:t>
            </w:r>
          </w:p>
        </w:tc>
        <w:tc>
          <w:tcPr>
            <w:tcW w:w="3219" w:type="dxa"/>
          </w:tcPr>
          <w:p w:rsidR="005944DF" w:rsidRPr="00FB3E4E" w:rsidRDefault="005944DF">
            <w:pPr>
              <w:rPr>
                <w:rFonts w:ascii="Arial" w:hAnsi="Arial"/>
                <w:sz w:val="24"/>
              </w:rPr>
            </w:pPr>
            <w:r w:rsidRPr="00FB3E4E">
              <w:rPr>
                <w:rFonts w:ascii="Arial" w:hAnsi="Arial"/>
                <w:sz w:val="24"/>
              </w:rPr>
              <w:t>Neither anti-A nor anti-B</w:t>
            </w:r>
          </w:p>
        </w:tc>
      </w:tr>
    </w:tbl>
    <w:p w:rsidR="00E50892" w:rsidRDefault="00E50892">
      <w:pPr>
        <w:ind w:left="720"/>
        <w:rPr>
          <w:rFonts w:ascii="Arial" w:hAnsi="Arial"/>
          <w:sz w:val="24"/>
        </w:rPr>
      </w:pPr>
    </w:p>
    <w:p w:rsidR="00E50892" w:rsidRDefault="00E50892">
      <w:pPr>
        <w:ind w:left="720"/>
        <w:rPr>
          <w:rFonts w:ascii="Arial" w:hAnsi="Arial"/>
          <w:sz w:val="24"/>
        </w:rPr>
      </w:pPr>
      <w:r>
        <w:rPr>
          <w:rFonts w:ascii="Arial" w:hAnsi="Arial"/>
          <w:sz w:val="24"/>
        </w:rPr>
        <w:t>A and B antigens are detected on red cells by direct agglutination tests with commercial anti-A and anti-B blood typing reagents (forward grouping); anti-A and anti-B in plasma are detected using direct agglutination test</w:t>
      </w:r>
      <w:r w:rsidR="00AE0CF6">
        <w:rPr>
          <w:rFonts w:ascii="Arial" w:hAnsi="Arial"/>
          <w:sz w:val="24"/>
        </w:rPr>
        <w:t>s</w:t>
      </w:r>
      <w:r>
        <w:rPr>
          <w:rFonts w:ascii="Arial" w:hAnsi="Arial"/>
          <w:sz w:val="24"/>
        </w:rPr>
        <w:t xml:space="preserve"> with known A</w:t>
      </w:r>
      <w:r>
        <w:rPr>
          <w:rFonts w:ascii="Arial" w:hAnsi="Arial"/>
          <w:sz w:val="24"/>
          <w:vertAlign w:val="subscript"/>
        </w:rPr>
        <w:t>1</w:t>
      </w:r>
      <w:r>
        <w:rPr>
          <w:rFonts w:ascii="Arial" w:hAnsi="Arial"/>
          <w:sz w:val="24"/>
        </w:rPr>
        <w:t xml:space="preserve"> and B cells (reverse grouping).</w:t>
      </w:r>
    </w:p>
    <w:p w:rsidR="00E50892" w:rsidRDefault="00E50892">
      <w:pPr>
        <w:ind w:left="720"/>
        <w:rPr>
          <w:rFonts w:ascii="Arial" w:hAnsi="Arial"/>
          <w:sz w:val="24"/>
        </w:rPr>
      </w:pPr>
    </w:p>
    <w:p w:rsidR="00E50892" w:rsidRDefault="00E50892">
      <w:pPr>
        <w:numPr>
          <w:ilvl w:val="0"/>
          <w:numId w:val="1"/>
        </w:numPr>
        <w:rPr>
          <w:rFonts w:ascii="Arial" w:hAnsi="Arial"/>
          <w:b/>
          <w:sz w:val="28"/>
        </w:rPr>
      </w:pPr>
      <w:r>
        <w:rPr>
          <w:rFonts w:ascii="Arial" w:hAnsi="Arial"/>
          <w:b/>
          <w:sz w:val="28"/>
        </w:rPr>
        <w:t>Scope and Related Policies</w:t>
      </w:r>
    </w:p>
    <w:p w:rsidR="00E50892" w:rsidRDefault="00E50892">
      <w:pPr>
        <w:rPr>
          <w:rFonts w:ascii="Arial" w:hAnsi="Arial"/>
          <w:sz w:val="24"/>
        </w:rPr>
      </w:pPr>
    </w:p>
    <w:p w:rsidR="00E50892" w:rsidRPr="00767CE6" w:rsidRDefault="009A148F">
      <w:pPr>
        <w:ind w:left="720"/>
        <w:rPr>
          <w:rFonts w:ascii="Arial" w:hAnsi="Arial"/>
          <w:i/>
          <w:sz w:val="24"/>
        </w:rPr>
      </w:pPr>
      <w:r w:rsidRPr="00767CE6">
        <w:rPr>
          <w:rFonts w:ascii="Arial" w:hAnsi="Arial"/>
          <w:i/>
          <w:sz w:val="24"/>
        </w:rPr>
        <w:t>Note:</w:t>
      </w:r>
      <w:r w:rsidR="00E50892" w:rsidRPr="00767CE6">
        <w:rPr>
          <w:rFonts w:ascii="Arial" w:hAnsi="Arial"/>
          <w:i/>
          <w:sz w:val="24"/>
        </w:rPr>
        <w:t xml:space="preserve"> ABO grouping, Rh typing and antibody screen together make up a group and screen procedure.</w:t>
      </w:r>
    </w:p>
    <w:p w:rsidR="00E50892" w:rsidRDefault="00E50892">
      <w:pPr>
        <w:ind w:left="720"/>
        <w:rPr>
          <w:rFonts w:ascii="Arial" w:hAnsi="Arial"/>
          <w:sz w:val="24"/>
        </w:rPr>
      </w:pPr>
    </w:p>
    <w:p w:rsidR="00E50892" w:rsidRDefault="00E50892">
      <w:pPr>
        <w:numPr>
          <w:ilvl w:val="1"/>
          <w:numId w:val="1"/>
        </w:numPr>
        <w:rPr>
          <w:rFonts w:ascii="Arial" w:hAnsi="Arial"/>
          <w:sz w:val="24"/>
        </w:rPr>
      </w:pPr>
      <w:r>
        <w:rPr>
          <w:rFonts w:ascii="Arial" w:hAnsi="Arial"/>
          <w:sz w:val="24"/>
        </w:rPr>
        <w:t>The ABO group shall be determined by testing the patient’s red cells with anti-A and anti-B reagents.</w:t>
      </w:r>
      <w:r>
        <w:rPr>
          <w:rFonts w:ascii="Arial" w:hAnsi="Arial"/>
          <w:sz w:val="24"/>
          <w:vertAlign w:val="superscript"/>
        </w:rPr>
        <w:t>9.1</w:t>
      </w:r>
    </w:p>
    <w:p w:rsidR="00E50892" w:rsidRDefault="00E50892">
      <w:pPr>
        <w:ind w:left="720"/>
        <w:rPr>
          <w:rFonts w:ascii="Arial" w:hAnsi="Arial"/>
          <w:sz w:val="24"/>
        </w:rPr>
      </w:pPr>
    </w:p>
    <w:p w:rsidR="00E50892" w:rsidRDefault="00E50892">
      <w:pPr>
        <w:numPr>
          <w:ilvl w:val="1"/>
          <w:numId w:val="1"/>
        </w:numPr>
        <w:rPr>
          <w:rFonts w:ascii="Arial" w:hAnsi="Arial"/>
          <w:sz w:val="24"/>
        </w:rPr>
      </w:pPr>
      <w:r>
        <w:rPr>
          <w:rFonts w:ascii="Arial" w:hAnsi="Arial"/>
          <w:sz w:val="24"/>
        </w:rPr>
        <w:t>The patient’s plasma shall be tested with A</w:t>
      </w:r>
      <w:r>
        <w:rPr>
          <w:rFonts w:ascii="Arial" w:hAnsi="Arial"/>
          <w:sz w:val="24"/>
          <w:vertAlign w:val="subscript"/>
        </w:rPr>
        <w:t>1</w:t>
      </w:r>
      <w:r>
        <w:rPr>
          <w:rFonts w:ascii="Arial" w:hAnsi="Arial"/>
          <w:sz w:val="24"/>
        </w:rPr>
        <w:t xml:space="preserve"> and B reagent red cells.</w:t>
      </w:r>
      <w:r w:rsidR="00583F9E">
        <w:rPr>
          <w:rFonts w:ascii="Arial" w:hAnsi="Arial"/>
          <w:sz w:val="24"/>
        </w:rPr>
        <w:t xml:space="preserve"> </w:t>
      </w:r>
      <w:r>
        <w:rPr>
          <w:rFonts w:ascii="Arial" w:hAnsi="Arial"/>
          <w:sz w:val="24"/>
        </w:rPr>
        <w:t>This test should be omitted in neonates.</w:t>
      </w:r>
      <w:r>
        <w:rPr>
          <w:rFonts w:ascii="Arial" w:hAnsi="Arial"/>
          <w:sz w:val="24"/>
          <w:vertAlign w:val="superscript"/>
        </w:rPr>
        <w:t>9.1</w:t>
      </w:r>
    </w:p>
    <w:p w:rsidR="00E50892" w:rsidRDefault="00E50892">
      <w:pPr>
        <w:rPr>
          <w:rFonts w:ascii="Arial" w:hAnsi="Arial"/>
          <w:sz w:val="24"/>
        </w:rPr>
      </w:pPr>
    </w:p>
    <w:p w:rsidR="00E50892" w:rsidRDefault="00E50892">
      <w:pPr>
        <w:numPr>
          <w:ilvl w:val="1"/>
          <w:numId w:val="1"/>
        </w:numPr>
        <w:rPr>
          <w:rFonts w:ascii="Arial" w:hAnsi="Arial"/>
          <w:sz w:val="24"/>
        </w:rPr>
      </w:pPr>
      <w:r>
        <w:rPr>
          <w:rFonts w:ascii="Arial" w:hAnsi="Arial"/>
          <w:sz w:val="24"/>
        </w:rPr>
        <w:t>The result of the red cell and plasma tests should agree. Any discrepancy should be investigated and resolved with appropriate documentation before issuing red cells.</w:t>
      </w:r>
      <w:r w:rsidR="00583F9E">
        <w:rPr>
          <w:rFonts w:ascii="Arial" w:hAnsi="Arial"/>
          <w:sz w:val="24"/>
          <w:vertAlign w:val="superscript"/>
        </w:rPr>
        <w:t xml:space="preserve">9.1 </w:t>
      </w:r>
      <w:r>
        <w:rPr>
          <w:rFonts w:ascii="Arial" w:hAnsi="Arial"/>
          <w:sz w:val="24"/>
        </w:rPr>
        <w:t>See NRT.003 – ABO Group Problem Solving.</w:t>
      </w:r>
    </w:p>
    <w:p w:rsidR="00E50892" w:rsidRDefault="00E50892">
      <w:pPr>
        <w:rPr>
          <w:rFonts w:ascii="Arial" w:hAnsi="Arial"/>
          <w:sz w:val="24"/>
        </w:rPr>
      </w:pPr>
    </w:p>
    <w:p w:rsidR="00E50892" w:rsidRDefault="00E50892">
      <w:pPr>
        <w:numPr>
          <w:ilvl w:val="1"/>
          <w:numId w:val="1"/>
        </w:numPr>
        <w:rPr>
          <w:rFonts w:ascii="Arial" w:hAnsi="Arial"/>
          <w:sz w:val="24"/>
        </w:rPr>
      </w:pPr>
      <w:r>
        <w:rPr>
          <w:rFonts w:ascii="Arial" w:hAnsi="Arial"/>
          <w:sz w:val="24"/>
        </w:rPr>
        <w:t>Previous transfusion records shall be reviewed. Previous results must be compared with current results.</w:t>
      </w:r>
      <w:r>
        <w:rPr>
          <w:rFonts w:ascii="Arial" w:hAnsi="Arial"/>
          <w:sz w:val="24"/>
          <w:vertAlign w:val="superscript"/>
        </w:rPr>
        <w:t>9.1</w:t>
      </w:r>
    </w:p>
    <w:p w:rsidR="00E50892" w:rsidRDefault="00E50892">
      <w:pPr>
        <w:ind w:left="720"/>
        <w:rPr>
          <w:rFonts w:ascii="Arial" w:hAnsi="Arial"/>
          <w:sz w:val="24"/>
        </w:rPr>
      </w:pPr>
    </w:p>
    <w:p w:rsidR="00E50892" w:rsidRDefault="00E50892">
      <w:pPr>
        <w:numPr>
          <w:ilvl w:val="1"/>
          <w:numId w:val="1"/>
        </w:numPr>
        <w:rPr>
          <w:rFonts w:ascii="Arial" w:hAnsi="Arial"/>
          <w:sz w:val="24"/>
        </w:rPr>
      </w:pPr>
      <w:r>
        <w:rPr>
          <w:rFonts w:ascii="Arial" w:hAnsi="Arial"/>
          <w:sz w:val="24"/>
        </w:rPr>
        <w:t>All reagents shall be used and controlled according to the supplier’s recommendations and procedures.</w:t>
      </w:r>
      <w:r>
        <w:rPr>
          <w:rFonts w:ascii="Arial" w:hAnsi="Arial"/>
          <w:sz w:val="24"/>
          <w:vertAlign w:val="superscript"/>
        </w:rPr>
        <w:t>9.1</w:t>
      </w:r>
    </w:p>
    <w:p w:rsidR="00E50892" w:rsidRDefault="00E50892">
      <w:pPr>
        <w:ind w:left="720"/>
        <w:rPr>
          <w:rFonts w:ascii="Arial" w:hAnsi="Arial"/>
          <w:sz w:val="24"/>
        </w:rPr>
      </w:pPr>
    </w:p>
    <w:p w:rsidR="00E50892" w:rsidRDefault="00E50892">
      <w:pPr>
        <w:numPr>
          <w:ilvl w:val="1"/>
          <w:numId w:val="1"/>
        </w:numPr>
        <w:rPr>
          <w:rFonts w:ascii="Arial" w:hAnsi="Arial"/>
          <w:sz w:val="24"/>
        </w:rPr>
      </w:pPr>
      <w:r>
        <w:rPr>
          <w:rFonts w:ascii="Arial" w:hAnsi="Arial"/>
          <w:sz w:val="24"/>
        </w:rPr>
        <w:t>If a discrepancy is detected and transfusion is necessary before resolution, only group O red cells shall be issued.</w:t>
      </w:r>
      <w:r>
        <w:rPr>
          <w:rFonts w:ascii="Arial" w:hAnsi="Arial"/>
          <w:sz w:val="24"/>
          <w:vertAlign w:val="superscript"/>
        </w:rPr>
        <w:t xml:space="preserve">9.2 </w:t>
      </w:r>
    </w:p>
    <w:p w:rsidR="00E50892" w:rsidRDefault="00E50892">
      <w:pPr>
        <w:rPr>
          <w:rFonts w:ascii="Arial" w:hAnsi="Arial"/>
          <w:sz w:val="24"/>
        </w:rPr>
      </w:pPr>
    </w:p>
    <w:p w:rsidR="00E50892" w:rsidRDefault="00E50892">
      <w:pPr>
        <w:numPr>
          <w:ilvl w:val="1"/>
          <w:numId w:val="1"/>
        </w:numPr>
        <w:rPr>
          <w:rFonts w:ascii="Arial" w:hAnsi="Arial"/>
          <w:sz w:val="24"/>
        </w:rPr>
      </w:pPr>
      <w:r>
        <w:rPr>
          <w:rFonts w:ascii="Arial" w:hAnsi="Arial"/>
          <w:sz w:val="24"/>
        </w:rPr>
        <w:t>For neonatal patients</w:t>
      </w:r>
      <w:r w:rsidR="003B1ABF">
        <w:rPr>
          <w:rFonts w:ascii="Arial" w:hAnsi="Arial"/>
          <w:sz w:val="24"/>
        </w:rPr>
        <w:t xml:space="preserve"> (up to four months of age)</w:t>
      </w:r>
      <w:r>
        <w:rPr>
          <w:rFonts w:ascii="Arial" w:hAnsi="Arial"/>
          <w:sz w:val="24"/>
        </w:rPr>
        <w:t>:</w:t>
      </w:r>
    </w:p>
    <w:p w:rsidR="00E50892" w:rsidRDefault="00E50892">
      <w:pPr>
        <w:rPr>
          <w:rFonts w:ascii="Arial" w:hAnsi="Arial"/>
          <w:sz w:val="24"/>
        </w:rPr>
      </w:pPr>
    </w:p>
    <w:p w:rsidR="00E50892" w:rsidRDefault="00E50892">
      <w:pPr>
        <w:numPr>
          <w:ilvl w:val="2"/>
          <w:numId w:val="1"/>
        </w:numPr>
        <w:rPr>
          <w:rFonts w:ascii="Arial" w:hAnsi="Arial"/>
          <w:sz w:val="24"/>
        </w:rPr>
      </w:pPr>
      <w:r>
        <w:rPr>
          <w:rFonts w:ascii="Arial" w:hAnsi="Arial"/>
          <w:sz w:val="24"/>
        </w:rPr>
        <w:t>A venous or capillary blood specimen should be used for all pre-transfusion testing. Cord blood must not be used for pre-transfusion testing.</w:t>
      </w:r>
      <w:r>
        <w:rPr>
          <w:rFonts w:ascii="Arial" w:hAnsi="Arial"/>
          <w:sz w:val="24"/>
          <w:vertAlign w:val="superscript"/>
        </w:rPr>
        <w:t>9.1</w:t>
      </w:r>
    </w:p>
    <w:p w:rsidR="00E50892" w:rsidRDefault="00E50892">
      <w:pPr>
        <w:ind w:left="1440"/>
        <w:rPr>
          <w:rFonts w:ascii="Arial" w:hAnsi="Arial"/>
          <w:sz w:val="24"/>
        </w:rPr>
      </w:pPr>
    </w:p>
    <w:p w:rsidR="00E50892" w:rsidRDefault="00E50892">
      <w:pPr>
        <w:pStyle w:val="BodyTextIndent"/>
        <w:numPr>
          <w:ilvl w:val="3"/>
          <w:numId w:val="1"/>
        </w:numPr>
      </w:pPr>
      <w:r>
        <w:t xml:space="preserve">For investigation of Hemolytic Disease of the </w:t>
      </w:r>
      <w:r w:rsidR="003B1ABF">
        <w:t xml:space="preserve">Fetus and </w:t>
      </w:r>
      <w:r>
        <w:t>Newborn (HD</w:t>
      </w:r>
      <w:r w:rsidR="003B1ABF">
        <w:t>F</w:t>
      </w:r>
      <w:r>
        <w:t xml:space="preserve">N), a cord blood or a </w:t>
      </w:r>
      <w:r w:rsidR="009D5046">
        <w:t>venous</w:t>
      </w:r>
      <w:r>
        <w:t xml:space="preserve"> specimen may be used to determine ABO grouping.</w:t>
      </w:r>
    </w:p>
    <w:p w:rsidR="00E50892" w:rsidRDefault="00E50892">
      <w:pPr>
        <w:ind w:left="2160"/>
        <w:rPr>
          <w:rFonts w:ascii="Arial" w:hAnsi="Arial"/>
          <w:sz w:val="24"/>
        </w:rPr>
      </w:pPr>
    </w:p>
    <w:p w:rsidR="00E50892" w:rsidRDefault="00E50892">
      <w:pPr>
        <w:numPr>
          <w:ilvl w:val="2"/>
          <w:numId w:val="1"/>
        </w:numPr>
        <w:rPr>
          <w:rFonts w:ascii="Arial" w:hAnsi="Arial"/>
          <w:sz w:val="24"/>
        </w:rPr>
      </w:pPr>
      <w:r>
        <w:rPr>
          <w:rFonts w:ascii="Arial" w:hAnsi="Arial"/>
          <w:sz w:val="24"/>
        </w:rPr>
        <w:t>The initial pre-transfusion blood specimen shall be tested for ABO and Rh antigens and for clinically significant antibodies.</w:t>
      </w:r>
      <w:r>
        <w:rPr>
          <w:rFonts w:ascii="Arial" w:hAnsi="Arial"/>
          <w:sz w:val="24"/>
          <w:vertAlign w:val="superscript"/>
        </w:rPr>
        <w:t>9.1</w:t>
      </w:r>
      <w:r>
        <w:rPr>
          <w:rFonts w:ascii="Arial" w:hAnsi="Arial"/>
          <w:sz w:val="24"/>
        </w:rPr>
        <w:t xml:space="preserve"> If a neonatal sample is not available, a maternal sample may be used for crossmatching and/or antibody screening.</w:t>
      </w:r>
    </w:p>
    <w:p w:rsidR="00E50892" w:rsidRDefault="00E50892">
      <w:pPr>
        <w:rPr>
          <w:rFonts w:ascii="Arial" w:hAnsi="Arial"/>
          <w:sz w:val="24"/>
        </w:rPr>
      </w:pPr>
    </w:p>
    <w:p w:rsidR="00E50892" w:rsidRDefault="00E50892">
      <w:pPr>
        <w:numPr>
          <w:ilvl w:val="2"/>
          <w:numId w:val="1"/>
        </w:numPr>
        <w:rPr>
          <w:rFonts w:ascii="Arial" w:hAnsi="Arial"/>
          <w:sz w:val="24"/>
        </w:rPr>
      </w:pPr>
      <w:r>
        <w:rPr>
          <w:rFonts w:ascii="Arial" w:hAnsi="Arial"/>
          <w:sz w:val="24"/>
        </w:rPr>
        <w:t xml:space="preserve">Repeat ABO and Rh typing may be omitted for the remainder of the neonatal period </w:t>
      </w:r>
      <w:r w:rsidR="00522DB1">
        <w:rPr>
          <w:rFonts w:ascii="Arial" w:hAnsi="Arial"/>
          <w:sz w:val="24"/>
        </w:rPr>
        <w:t xml:space="preserve">(up to four months) </w:t>
      </w:r>
      <w:r>
        <w:rPr>
          <w:rFonts w:ascii="Arial" w:hAnsi="Arial"/>
          <w:sz w:val="24"/>
        </w:rPr>
        <w:t>during any one hospital admission, provided that transfused red cells are group O.</w:t>
      </w:r>
      <w:r>
        <w:rPr>
          <w:rFonts w:ascii="Arial" w:hAnsi="Arial"/>
          <w:sz w:val="24"/>
          <w:vertAlign w:val="superscript"/>
        </w:rPr>
        <w:t>9.1</w:t>
      </w:r>
    </w:p>
    <w:p w:rsidR="00E50892" w:rsidRDefault="00E50892">
      <w:pPr>
        <w:rPr>
          <w:rFonts w:ascii="Arial" w:hAnsi="Arial"/>
          <w:sz w:val="24"/>
        </w:rPr>
      </w:pPr>
    </w:p>
    <w:p w:rsidR="00E50892" w:rsidRDefault="00E50892">
      <w:pPr>
        <w:numPr>
          <w:ilvl w:val="2"/>
          <w:numId w:val="1"/>
        </w:numPr>
        <w:rPr>
          <w:rFonts w:ascii="Arial" w:hAnsi="Arial"/>
          <w:sz w:val="24"/>
        </w:rPr>
      </w:pPr>
      <w:r>
        <w:rPr>
          <w:rFonts w:ascii="Arial" w:hAnsi="Arial"/>
          <w:sz w:val="24"/>
        </w:rPr>
        <w:t>When indicated, e.g., positive DAT</w:t>
      </w:r>
      <w:r w:rsidR="00522DB1">
        <w:rPr>
          <w:rFonts w:ascii="Arial" w:hAnsi="Arial"/>
          <w:sz w:val="24"/>
        </w:rPr>
        <w:t xml:space="preserve"> or non-group O units to be selected for transfusion</w:t>
      </w:r>
      <w:r>
        <w:rPr>
          <w:rFonts w:ascii="Arial" w:hAnsi="Arial"/>
          <w:sz w:val="24"/>
        </w:rPr>
        <w:t xml:space="preserve">, IgG Anti-A and Anti-B screening </w:t>
      </w:r>
      <w:r w:rsidR="005944DF">
        <w:rPr>
          <w:rFonts w:ascii="Arial" w:hAnsi="Arial"/>
          <w:sz w:val="24"/>
        </w:rPr>
        <w:t xml:space="preserve">of the patient’s serum / plasma </w:t>
      </w:r>
      <w:r>
        <w:rPr>
          <w:rFonts w:ascii="Arial" w:hAnsi="Arial"/>
          <w:sz w:val="24"/>
        </w:rPr>
        <w:t>should be done.</w:t>
      </w:r>
    </w:p>
    <w:p w:rsidR="00522DB1" w:rsidRDefault="00522DB1">
      <w:pPr>
        <w:numPr>
          <w:ilvl w:val="2"/>
          <w:numId w:val="1"/>
        </w:numPr>
        <w:rPr>
          <w:rFonts w:ascii="Arial" w:hAnsi="Arial"/>
          <w:sz w:val="24"/>
        </w:rPr>
      </w:pPr>
      <w:r>
        <w:rPr>
          <w:rFonts w:ascii="Arial" w:hAnsi="Arial"/>
          <w:sz w:val="24"/>
        </w:rPr>
        <w:t>If anti-A or anti-B is detected, red blood cells lacking the corresponding ABO antigen shall be transfused.</w:t>
      </w:r>
    </w:p>
    <w:p w:rsidR="00E50892" w:rsidRDefault="00E50892">
      <w:pPr>
        <w:rPr>
          <w:rFonts w:ascii="Arial" w:hAnsi="Arial"/>
          <w:sz w:val="24"/>
        </w:rPr>
      </w:pPr>
    </w:p>
    <w:p w:rsidR="00E50892" w:rsidRDefault="00522DB1">
      <w:pPr>
        <w:numPr>
          <w:ilvl w:val="1"/>
          <w:numId w:val="1"/>
        </w:numPr>
        <w:rPr>
          <w:rFonts w:ascii="Arial" w:hAnsi="Arial"/>
          <w:sz w:val="24"/>
        </w:rPr>
      </w:pPr>
      <w:r>
        <w:rPr>
          <w:rFonts w:ascii="Arial" w:hAnsi="Arial"/>
          <w:sz w:val="24"/>
        </w:rPr>
        <w:t>Unit T</w:t>
      </w:r>
      <w:r w:rsidR="00E50892">
        <w:rPr>
          <w:rFonts w:ascii="Arial" w:hAnsi="Arial"/>
          <w:sz w:val="24"/>
        </w:rPr>
        <w:t>esting</w:t>
      </w:r>
      <w:r>
        <w:rPr>
          <w:rFonts w:ascii="Arial" w:hAnsi="Arial"/>
          <w:sz w:val="24"/>
        </w:rPr>
        <w:t xml:space="preserve"> Donor Blood</w:t>
      </w:r>
      <w:r w:rsidR="00E50892">
        <w:rPr>
          <w:rFonts w:ascii="Arial" w:hAnsi="Arial"/>
          <w:sz w:val="24"/>
        </w:rPr>
        <w:t xml:space="preserve">: </w:t>
      </w:r>
      <w:r w:rsidR="00C25F53">
        <w:rPr>
          <w:rFonts w:ascii="Arial" w:hAnsi="Arial"/>
          <w:sz w:val="24"/>
        </w:rPr>
        <w:t>The Transfusion Service must confirm the ABO type of red cells collected and prepared by the blood supplier if a serological crossmatch will not be performed prior to transfusion.</w:t>
      </w:r>
      <w:r w:rsidR="00C25F53">
        <w:rPr>
          <w:rFonts w:ascii="Arial" w:hAnsi="Arial"/>
          <w:sz w:val="24"/>
          <w:vertAlign w:val="superscript"/>
        </w:rPr>
        <w:t>9.1</w:t>
      </w:r>
      <w:r w:rsidR="00E50892">
        <w:rPr>
          <w:rFonts w:ascii="Arial" w:hAnsi="Arial"/>
          <w:sz w:val="24"/>
        </w:rPr>
        <w:t>For group O donor units it is only necessary to test the cells with anti-A,B.</w:t>
      </w:r>
    </w:p>
    <w:p w:rsidR="00E50892" w:rsidRDefault="00E50892">
      <w:pPr>
        <w:rPr>
          <w:rFonts w:ascii="Arial" w:hAnsi="Arial"/>
          <w:sz w:val="24"/>
        </w:rPr>
      </w:pPr>
    </w:p>
    <w:p w:rsidR="00E50892" w:rsidRDefault="00E50892">
      <w:pPr>
        <w:numPr>
          <w:ilvl w:val="0"/>
          <w:numId w:val="1"/>
        </w:numPr>
        <w:rPr>
          <w:rFonts w:ascii="Arial" w:hAnsi="Arial"/>
          <w:b/>
          <w:sz w:val="28"/>
        </w:rPr>
      </w:pPr>
      <w:r>
        <w:rPr>
          <w:rFonts w:ascii="Arial" w:hAnsi="Arial"/>
          <w:b/>
          <w:sz w:val="28"/>
        </w:rPr>
        <w:t>Specimens</w:t>
      </w:r>
    </w:p>
    <w:p w:rsidR="00E50892" w:rsidRDefault="00E50892">
      <w:pPr>
        <w:ind w:left="720"/>
        <w:rPr>
          <w:rFonts w:ascii="Arial" w:hAnsi="Arial"/>
          <w:sz w:val="24"/>
        </w:rPr>
      </w:pPr>
    </w:p>
    <w:p w:rsidR="00E50892" w:rsidRDefault="00E50892">
      <w:pPr>
        <w:ind w:left="720"/>
        <w:rPr>
          <w:rFonts w:ascii="Arial" w:hAnsi="Arial"/>
          <w:sz w:val="24"/>
        </w:rPr>
      </w:pPr>
      <w:r>
        <w:rPr>
          <w:rFonts w:ascii="Arial" w:hAnsi="Arial"/>
          <w:sz w:val="24"/>
        </w:rPr>
        <w:t>EDTA anticoagulated whole blood</w:t>
      </w:r>
    </w:p>
    <w:p w:rsidR="00E50892" w:rsidRDefault="00E50892">
      <w:pPr>
        <w:ind w:left="720"/>
        <w:rPr>
          <w:rFonts w:ascii="Arial" w:hAnsi="Arial"/>
          <w:sz w:val="24"/>
        </w:rPr>
      </w:pPr>
    </w:p>
    <w:p w:rsidR="00E50892" w:rsidRDefault="00E50892">
      <w:pPr>
        <w:numPr>
          <w:ilvl w:val="0"/>
          <w:numId w:val="1"/>
        </w:numPr>
        <w:rPr>
          <w:rFonts w:ascii="Arial" w:hAnsi="Arial"/>
          <w:b/>
          <w:sz w:val="28"/>
        </w:rPr>
      </w:pPr>
      <w:r>
        <w:rPr>
          <w:rFonts w:ascii="Arial" w:hAnsi="Arial"/>
          <w:b/>
          <w:sz w:val="28"/>
        </w:rPr>
        <w:t>Materials</w:t>
      </w:r>
    </w:p>
    <w:p w:rsidR="00E50892" w:rsidRDefault="00E50892">
      <w:pPr>
        <w:rPr>
          <w:rFonts w:ascii="Arial" w:hAnsi="Arial"/>
          <w:sz w:val="24"/>
        </w:rPr>
      </w:pPr>
    </w:p>
    <w:p w:rsidR="00E50892" w:rsidRDefault="00E50892">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Serologic centrifuge</w:t>
      </w:r>
    </w:p>
    <w:p w:rsidR="00E50892" w:rsidRDefault="00E50892">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E50892" w:rsidRDefault="00E50892">
      <w:pPr>
        <w:ind w:left="720"/>
        <w:rPr>
          <w:rFonts w:ascii="Arial" w:hAnsi="Arial"/>
          <w:sz w:val="24"/>
        </w:rPr>
      </w:pPr>
    </w:p>
    <w:p w:rsidR="00E50892" w:rsidRDefault="00E50892">
      <w:pPr>
        <w:ind w:left="720"/>
        <w:rPr>
          <w:rFonts w:ascii="Arial" w:hAnsi="Arial"/>
          <w:sz w:val="24"/>
        </w:rPr>
      </w:pPr>
      <w:r>
        <w:rPr>
          <w:rFonts w:ascii="Arial" w:hAnsi="Arial"/>
          <w:b/>
          <w:sz w:val="24"/>
        </w:rPr>
        <w:t>Supplies:</w:t>
      </w:r>
      <w:r>
        <w:rPr>
          <w:rFonts w:ascii="Arial" w:hAnsi="Arial"/>
          <w:sz w:val="24"/>
        </w:rPr>
        <w:t xml:space="preserve"> </w:t>
      </w:r>
      <w:r>
        <w:rPr>
          <w:rFonts w:ascii="Arial" w:hAnsi="Arial"/>
          <w:sz w:val="24"/>
        </w:rPr>
        <w:tab/>
      </w:r>
      <w:r>
        <w:rPr>
          <w:rFonts w:ascii="Arial" w:hAnsi="Arial"/>
          <w:sz w:val="24"/>
        </w:rPr>
        <w:tab/>
        <w:t>Test tubes - 10 x 75</w:t>
      </w:r>
      <w:r w:rsidR="009A148F">
        <w:rPr>
          <w:rFonts w:ascii="Arial" w:hAnsi="Arial"/>
          <w:sz w:val="24"/>
        </w:rPr>
        <w:t xml:space="preserve"> </w:t>
      </w:r>
      <w:r>
        <w:rPr>
          <w:rFonts w:ascii="Arial" w:hAnsi="Arial"/>
          <w:sz w:val="24"/>
        </w:rPr>
        <w:t>mm</w:t>
      </w:r>
    </w:p>
    <w:p w:rsidR="00E50892" w:rsidRDefault="00E50892">
      <w:pPr>
        <w:ind w:left="720"/>
        <w:rPr>
          <w:rFonts w:ascii="Arial" w:hAnsi="Arial"/>
          <w:sz w:val="24"/>
        </w:rPr>
      </w:pPr>
      <w:r>
        <w:rPr>
          <w:rFonts w:ascii="Arial" w:hAnsi="Arial"/>
          <w:sz w:val="24"/>
        </w:rPr>
        <w:tab/>
      </w:r>
      <w:r>
        <w:rPr>
          <w:rFonts w:ascii="Arial" w:hAnsi="Arial"/>
          <w:sz w:val="24"/>
        </w:rPr>
        <w:tab/>
      </w:r>
      <w:r>
        <w:rPr>
          <w:rFonts w:ascii="Arial" w:hAnsi="Arial"/>
          <w:sz w:val="24"/>
        </w:rPr>
        <w:tab/>
        <w:t>Serologic pipettes</w:t>
      </w:r>
    </w:p>
    <w:p w:rsidR="00E50892" w:rsidRDefault="00E50892">
      <w:pPr>
        <w:ind w:left="720"/>
        <w:rPr>
          <w:rFonts w:ascii="Arial" w:hAnsi="Arial"/>
          <w:sz w:val="24"/>
        </w:rPr>
      </w:pPr>
    </w:p>
    <w:p w:rsidR="00E50892" w:rsidRDefault="00E50892">
      <w:pPr>
        <w:ind w:left="720"/>
        <w:rPr>
          <w:rFonts w:ascii="Arial" w:hAnsi="Arial"/>
          <w:sz w:val="24"/>
        </w:rPr>
      </w:pPr>
      <w:r>
        <w:rPr>
          <w:rFonts w:ascii="Arial" w:hAnsi="Arial"/>
          <w:b/>
          <w:sz w:val="24"/>
        </w:rPr>
        <w:t>Reagents:</w:t>
      </w:r>
      <w:r>
        <w:rPr>
          <w:rFonts w:ascii="Arial" w:hAnsi="Arial"/>
          <w:sz w:val="24"/>
        </w:rPr>
        <w:tab/>
      </w:r>
      <w:r>
        <w:rPr>
          <w:rFonts w:ascii="Arial" w:hAnsi="Arial"/>
          <w:sz w:val="24"/>
        </w:rPr>
        <w:tab/>
        <w:t>Anti-A and anti-B commercial antisera</w:t>
      </w:r>
    </w:p>
    <w:p w:rsidR="00E50892" w:rsidRDefault="00E50892">
      <w:pPr>
        <w:ind w:left="720"/>
        <w:rPr>
          <w:rFonts w:ascii="Arial" w:hAnsi="Arial"/>
          <w:sz w:val="24"/>
        </w:rPr>
      </w:pPr>
      <w:r>
        <w:rPr>
          <w:rFonts w:ascii="Arial" w:hAnsi="Arial"/>
          <w:sz w:val="24"/>
        </w:rPr>
        <w:tab/>
      </w:r>
      <w:r>
        <w:rPr>
          <w:rFonts w:ascii="Arial" w:hAnsi="Arial"/>
          <w:sz w:val="24"/>
        </w:rPr>
        <w:tab/>
      </w:r>
      <w:r>
        <w:rPr>
          <w:rFonts w:ascii="Arial" w:hAnsi="Arial"/>
          <w:sz w:val="24"/>
        </w:rPr>
        <w:tab/>
        <w:t>A</w:t>
      </w:r>
      <w:r>
        <w:rPr>
          <w:rFonts w:ascii="Arial" w:hAnsi="Arial"/>
          <w:sz w:val="24"/>
          <w:vertAlign w:val="subscript"/>
        </w:rPr>
        <w:t>1</w:t>
      </w:r>
      <w:r>
        <w:rPr>
          <w:rFonts w:ascii="Arial" w:hAnsi="Arial"/>
          <w:sz w:val="24"/>
        </w:rPr>
        <w:t xml:space="preserve"> reagent red cells</w:t>
      </w:r>
    </w:p>
    <w:p w:rsidR="00E50892" w:rsidRDefault="00E50892">
      <w:pPr>
        <w:ind w:left="720"/>
        <w:rPr>
          <w:rFonts w:ascii="Arial" w:hAnsi="Arial"/>
          <w:sz w:val="24"/>
        </w:rPr>
      </w:pPr>
      <w:r>
        <w:rPr>
          <w:rFonts w:ascii="Arial" w:hAnsi="Arial"/>
          <w:sz w:val="24"/>
        </w:rPr>
        <w:tab/>
      </w:r>
      <w:r>
        <w:rPr>
          <w:rFonts w:ascii="Arial" w:hAnsi="Arial"/>
          <w:sz w:val="24"/>
        </w:rPr>
        <w:tab/>
      </w:r>
      <w:r>
        <w:rPr>
          <w:rFonts w:ascii="Arial" w:hAnsi="Arial"/>
          <w:sz w:val="24"/>
        </w:rPr>
        <w:tab/>
        <w:t>B reagent red cells</w:t>
      </w:r>
    </w:p>
    <w:p w:rsidR="00E50892" w:rsidRDefault="00E50892">
      <w:pPr>
        <w:pStyle w:val="Heading3"/>
      </w:pPr>
      <w:r>
        <w:tab/>
      </w:r>
      <w:r>
        <w:tab/>
      </w:r>
      <w:r>
        <w:tab/>
      </w:r>
      <w:r w:rsidR="00522DB1">
        <w:t xml:space="preserve">Normal </w:t>
      </w:r>
      <w:r>
        <w:t>Saline</w:t>
      </w:r>
    </w:p>
    <w:p w:rsidR="00E50892" w:rsidRDefault="00E50892">
      <w:pPr>
        <w:ind w:left="720"/>
        <w:rPr>
          <w:rFonts w:ascii="Arial" w:hAnsi="Arial"/>
          <w:sz w:val="24"/>
        </w:rPr>
      </w:pPr>
    </w:p>
    <w:p w:rsidR="00E50892" w:rsidRDefault="00E50892">
      <w:pPr>
        <w:numPr>
          <w:ilvl w:val="0"/>
          <w:numId w:val="1"/>
        </w:numPr>
        <w:rPr>
          <w:rFonts w:ascii="Arial" w:hAnsi="Arial"/>
          <w:b/>
          <w:sz w:val="28"/>
        </w:rPr>
      </w:pPr>
      <w:r>
        <w:rPr>
          <w:rFonts w:ascii="Arial" w:hAnsi="Arial"/>
          <w:b/>
          <w:sz w:val="28"/>
        </w:rPr>
        <w:t>Quality Control</w:t>
      </w:r>
    </w:p>
    <w:p w:rsidR="00E50892" w:rsidRDefault="00E50892">
      <w:pPr>
        <w:rPr>
          <w:rFonts w:ascii="Arial" w:hAnsi="Arial"/>
          <w:sz w:val="24"/>
        </w:rPr>
      </w:pPr>
    </w:p>
    <w:p w:rsidR="00E50892" w:rsidRDefault="00E50892">
      <w:pPr>
        <w:numPr>
          <w:ilvl w:val="1"/>
          <w:numId w:val="1"/>
        </w:numPr>
        <w:rPr>
          <w:rFonts w:ascii="Arial" w:hAnsi="Arial"/>
          <w:sz w:val="24"/>
        </w:rPr>
      </w:pPr>
      <w:r>
        <w:rPr>
          <w:rFonts w:ascii="Arial" w:hAnsi="Arial"/>
          <w:sz w:val="24"/>
        </w:rPr>
        <w:t>See QCA.001 – Quality Control of Reagent Red Cells and Antisera.</w:t>
      </w:r>
    </w:p>
    <w:p w:rsidR="00E50892" w:rsidRDefault="00E50892">
      <w:pPr>
        <w:ind w:left="720"/>
        <w:rPr>
          <w:rFonts w:ascii="Arial" w:hAnsi="Arial"/>
          <w:sz w:val="24"/>
        </w:rPr>
      </w:pPr>
    </w:p>
    <w:p w:rsidR="00E50892" w:rsidRDefault="00E50892">
      <w:pPr>
        <w:numPr>
          <w:ilvl w:val="1"/>
          <w:numId w:val="1"/>
        </w:numPr>
        <w:rPr>
          <w:rFonts w:ascii="Arial" w:hAnsi="Arial"/>
          <w:sz w:val="24"/>
        </w:rPr>
      </w:pPr>
      <w:r>
        <w:rPr>
          <w:rFonts w:ascii="Arial" w:hAnsi="Arial"/>
          <w:sz w:val="24"/>
        </w:rPr>
        <w:t xml:space="preserve">Reactions weaker than grade </w:t>
      </w:r>
      <w:r w:rsidR="00522DB1">
        <w:rPr>
          <w:rFonts w:ascii="Arial" w:hAnsi="Arial"/>
          <w:sz w:val="24"/>
        </w:rPr>
        <w:t>2</w:t>
      </w:r>
      <w:r>
        <w:rPr>
          <w:rFonts w:ascii="Arial" w:hAnsi="Arial"/>
          <w:sz w:val="24"/>
        </w:rPr>
        <w:t xml:space="preserve"> in the forward ABO grouping or reactions weaker than grade 2 in the reverse ABO grouping</w:t>
      </w:r>
      <w:r w:rsidR="00522DB1">
        <w:rPr>
          <w:rFonts w:ascii="Arial" w:hAnsi="Arial"/>
          <w:sz w:val="24"/>
        </w:rPr>
        <w:t>, or mixed field reactions</w:t>
      </w:r>
      <w:r>
        <w:rPr>
          <w:rFonts w:ascii="Arial" w:hAnsi="Arial"/>
          <w:sz w:val="24"/>
        </w:rPr>
        <w:t xml:space="preserve"> must be investigated.</w:t>
      </w:r>
      <w:r w:rsidR="00522DB1" w:rsidRPr="00522DB1">
        <w:rPr>
          <w:rFonts w:ascii="Arial" w:hAnsi="Arial"/>
          <w:sz w:val="24"/>
          <w:szCs w:val="24"/>
          <w:vertAlign w:val="superscript"/>
        </w:rPr>
        <w:t>9.4</w:t>
      </w:r>
      <w:r>
        <w:rPr>
          <w:rFonts w:ascii="Arial" w:hAnsi="Arial"/>
          <w:sz w:val="24"/>
        </w:rPr>
        <w:t xml:space="preserve"> </w:t>
      </w:r>
    </w:p>
    <w:p w:rsidR="003B1ABF" w:rsidRDefault="003B1ABF" w:rsidP="003B1ABF">
      <w:pPr>
        <w:ind w:left="1440"/>
        <w:rPr>
          <w:rFonts w:ascii="Arial" w:hAnsi="Arial"/>
          <w:sz w:val="24"/>
        </w:rPr>
      </w:pPr>
    </w:p>
    <w:p w:rsidR="003B1ABF" w:rsidRDefault="00AE0CF6" w:rsidP="001426A0">
      <w:pPr>
        <w:ind w:left="1418" w:hanging="698"/>
        <w:rPr>
          <w:rFonts w:ascii="Arial" w:hAnsi="Arial"/>
          <w:sz w:val="24"/>
        </w:rPr>
      </w:pPr>
      <w:r>
        <w:rPr>
          <w:rFonts w:ascii="Arial" w:hAnsi="Arial"/>
          <w:sz w:val="24"/>
        </w:rPr>
        <w:t xml:space="preserve">5.3      </w:t>
      </w:r>
      <w:r w:rsidR="003B1ABF">
        <w:rPr>
          <w:rFonts w:ascii="Arial" w:hAnsi="Arial"/>
          <w:sz w:val="24"/>
        </w:rPr>
        <w:t>Microscopic readings should only be done if mixed field agglutination is suspected. See NRT.003 – ABO Group Problem Solving.</w:t>
      </w:r>
    </w:p>
    <w:p w:rsidR="003B1ABF" w:rsidRDefault="003B1ABF" w:rsidP="003B1ABF">
      <w:pPr>
        <w:ind w:left="720"/>
        <w:rPr>
          <w:rFonts w:ascii="Arial" w:hAnsi="Arial"/>
          <w:sz w:val="24"/>
        </w:rPr>
      </w:pPr>
    </w:p>
    <w:p w:rsidR="00E50892" w:rsidRDefault="00E50892" w:rsidP="00522DB1">
      <w:pPr>
        <w:numPr>
          <w:ilvl w:val="1"/>
          <w:numId w:val="7"/>
        </w:numPr>
        <w:ind w:left="1418" w:hanging="709"/>
        <w:rPr>
          <w:rFonts w:ascii="Arial" w:hAnsi="Arial"/>
          <w:sz w:val="24"/>
        </w:rPr>
      </w:pPr>
      <w:r w:rsidRPr="003E5CB8">
        <w:rPr>
          <w:rFonts w:ascii="Arial" w:hAnsi="Arial"/>
          <w:sz w:val="24"/>
        </w:rPr>
        <w:t>Plasma reacting weak or grade 1 positive with the A</w:t>
      </w:r>
      <w:r w:rsidRPr="003E5CB8">
        <w:rPr>
          <w:rFonts w:ascii="Arial" w:hAnsi="Arial"/>
          <w:sz w:val="24"/>
          <w:vertAlign w:val="subscript"/>
        </w:rPr>
        <w:t>1</w:t>
      </w:r>
      <w:r w:rsidRPr="003E5CB8">
        <w:rPr>
          <w:rFonts w:ascii="Arial" w:hAnsi="Arial"/>
          <w:sz w:val="24"/>
        </w:rPr>
        <w:t xml:space="preserve"> cells and/or B cells is not reliable in detecting ABO incompatibility.  If crossmatching donor units by immediate spin or computer crossmatch, confirm the donor unit ABO using commercial antisera.  See RT.009 – Computer Crossmatch and RT.010 – Immediate Spin Crossmatch.</w:t>
      </w:r>
    </w:p>
    <w:p w:rsidR="005944DF" w:rsidRPr="003E5CB8" w:rsidRDefault="005944DF" w:rsidP="005944DF">
      <w:pPr>
        <w:ind w:left="1418"/>
        <w:rPr>
          <w:rFonts w:ascii="Arial" w:hAnsi="Arial"/>
          <w:sz w:val="24"/>
        </w:rPr>
      </w:pPr>
    </w:p>
    <w:p w:rsidR="00E50892" w:rsidRDefault="00E50892" w:rsidP="003E5CB8">
      <w:pPr>
        <w:numPr>
          <w:ilvl w:val="0"/>
          <w:numId w:val="1"/>
        </w:numPr>
        <w:rPr>
          <w:rFonts w:ascii="Arial" w:hAnsi="Arial"/>
          <w:b/>
          <w:sz w:val="28"/>
        </w:rPr>
      </w:pPr>
      <w:r>
        <w:rPr>
          <w:rFonts w:ascii="Arial" w:hAnsi="Arial"/>
          <w:b/>
          <w:sz w:val="28"/>
        </w:rPr>
        <w:t>Procedure</w:t>
      </w:r>
    </w:p>
    <w:p w:rsidR="001A4B12" w:rsidRDefault="001A4B12" w:rsidP="001A4B12">
      <w:pPr>
        <w:ind w:left="720"/>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338"/>
      </w:tblGrid>
      <w:tr w:rsidR="00767CE6" w:rsidRPr="006529A7" w:rsidTr="001A4B12">
        <w:tc>
          <w:tcPr>
            <w:tcW w:w="2518" w:type="dxa"/>
            <w:shd w:val="clear" w:color="auto" w:fill="D9D9D9"/>
          </w:tcPr>
          <w:p w:rsidR="00767CE6" w:rsidRPr="006529A7" w:rsidRDefault="00767CE6" w:rsidP="006529A7">
            <w:pPr>
              <w:ind w:left="567" w:hanging="567"/>
              <w:jc w:val="center"/>
              <w:rPr>
                <w:rFonts w:ascii="Arial" w:hAnsi="Arial"/>
                <w:b/>
                <w:sz w:val="24"/>
              </w:rPr>
            </w:pPr>
            <w:r w:rsidRPr="006529A7">
              <w:rPr>
                <w:rFonts w:ascii="Arial" w:hAnsi="Arial"/>
                <w:b/>
                <w:sz w:val="24"/>
              </w:rPr>
              <w:t>STEP</w:t>
            </w:r>
          </w:p>
        </w:tc>
        <w:tc>
          <w:tcPr>
            <w:tcW w:w="6338" w:type="dxa"/>
            <w:shd w:val="clear" w:color="auto" w:fill="D9D9D9"/>
          </w:tcPr>
          <w:p w:rsidR="00767CE6" w:rsidRPr="006529A7" w:rsidRDefault="00767CE6" w:rsidP="006529A7">
            <w:pPr>
              <w:ind w:left="743" w:hanging="709"/>
              <w:jc w:val="center"/>
              <w:rPr>
                <w:rFonts w:ascii="Arial" w:hAnsi="Arial"/>
                <w:b/>
                <w:sz w:val="24"/>
              </w:rPr>
            </w:pPr>
            <w:r w:rsidRPr="006529A7">
              <w:rPr>
                <w:rFonts w:ascii="Arial" w:hAnsi="Arial"/>
                <w:b/>
                <w:sz w:val="24"/>
              </w:rPr>
              <w:t>ACTION</w:t>
            </w:r>
          </w:p>
        </w:tc>
      </w:tr>
      <w:tr w:rsidR="00767CE6" w:rsidRPr="006529A7" w:rsidTr="001A4B12">
        <w:tc>
          <w:tcPr>
            <w:tcW w:w="2518" w:type="dxa"/>
            <w:shd w:val="clear" w:color="auto" w:fill="auto"/>
          </w:tcPr>
          <w:p w:rsidR="00767CE6" w:rsidRPr="006529A7" w:rsidRDefault="00767CE6" w:rsidP="006529A7">
            <w:pPr>
              <w:numPr>
                <w:ilvl w:val="0"/>
                <w:numId w:val="12"/>
              </w:numPr>
              <w:ind w:left="567" w:hanging="567"/>
              <w:rPr>
                <w:rFonts w:ascii="Arial" w:hAnsi="Arial"/>
                <w:sz w:val="24"/>
              </w:rPr>
            </w:pPr>
            <w:r w:rsidRPr="006529A7">
              <w:rPr>
                <w:rFonts w:ascii="Arial" w:eastAsia="Calibri" w:hAnsi="Arial"/>
                <w:sz w:val="24"/>
                <w:szCs w:val="22"/>
                <w:lang w:val="en-CA"/>
              </w:rPr>
              <w:t>Perform a patient history check</w:t>
            </w:r>
          </w:p>
        </w:tc>
        <w:tc>
          <w:tcPr>
            <w:tcW w:w="6338" w:type="dxa"/>
            <w:shd w:val="clear" w:color="auto" w:fill="auto"/>
          </w:tcPr>
          <w:p w:rsidR="00767CE6" w:rsidRPr="006529A7" w:rsidRDefault="00767CE6" w:rsidP="006529A7">
            <w:pPr>
              <w:numPr>
                <w:ilvl w:val="0"/>
                <w:numId w:val="13"/>
              </w:numPr>
              <w:ind w:left="743" w:hanging="709"/>
              <w:rPr>
                <w:rFonts w:ascii="Arial" w:hAnsi="Arial"/>
                <w:sz w:val="24"/>
              </w:rPr>
            </w:pPr>
            <w:r w:rsidRPr="006529A7">
              <w:rPr>
                <w:rFonts w:ascii="Arial" w:eastAsia="Calibri" w:hAnsi="Arial"/>
                <w:sz w:val="24"/>
                <w:szCs w:val="22"/>
                <w:lang w:val="en-CA"/>
              </w:rPr>
              <w:t>See PA.003 – Patient History Check.</w:t>
            </w:r>
          </w:p>
        </w:tc>
      </w:tr>
      <w:tr w:rsidR="00767CE6" w:rsidRPr="006529A7" w:rsidTr="001A4B12">
        <w:tc>
          <w:tcPr>
            <w:tcW w:w="2518" w:type="dxa"/>
            <w:shd w:val="clear" w:color="auto" w:fill="auto"/>
          </w:tcPr>
          <w:p w:rsidR="00767CE6" w:rsidRPr="006529A7" w:rsidRDefault="00767CE6" w:rsidP="006529A7">
            <w:pPr>
              <w:numPr>
                <w:ilvl w:val="0"/>
                <w:numId w:val="12"/>
              </w:numPr>
              <w:ind w:left="567" w:hanging="567"/>
              <w:rPr>
                <w:rFonts w:ascii="Arial" w:eastAsia="Calibri" w:hAnsi="Arial"/>
                <w:sz w:val="24"/>
                <w:szCs w:val="22"/>
                <w:lang w:val="en-CA"/>
              </w:rPr>
            </w:pPr>
            <w:r w:rsidRPr="006529A7">
              <w:rPr>
                <w:rFonts w:ascii="Arial" w:eastAsia="Calibri" w:hAnsi="Arial"/>
                <w:sz w:val="24"/>
                <w:szCs w:val="22"/>
              </w:rPr>
              <w:t>Check the suitability of the specimen(s)</w:t>
            </w:r>
          </w:p>
        </w:tc>
        <w:tc>
          <w:tcPr>
            <w:tcW w:w="6338" w:type="dxa"/>
            <w:shd w:val="clear" w:color="auto" w:fill="auto"/>
          </w:tcPr>
          <w:p w:rsidR="00767CE6" w:rsidRPr="006529A7" w:rsidRDefault="00767CE6" w:rsidP="006529A7">
            <w:pPr>
              <w:numPr>
                <w:ilvl w:val="0"/>
                <w:numId w:val="14"/>
              </w:numPr>
              <w:ind w:left="743" w:hanging="709"/>
              <w:rPr>
                <w:rFonts w:ascii="Arial" w:eastAsia="Calibri" w:hAnsi="Arial"/>
                <w:sz w:val="24"/>
                <w:szCs w:val="22"/>
                <w:lang w:val="en-CA"/>
              </w:rPr>
            </w:pPr>
            <w:r w:rsidRPr="006529A7">
              <w:rPr>
                <w:rFonts w:ascii="Arial" w:eastAsia="Calibri" w:hAnsi="Arial"/>
                <w:sz w:val="24"/>
                <w:szCs w:val="22"/>
              </w:rPr>
              <w:t>See PA.002 – Determining Specimen Suitability steps 6.1 – 6.4. to ensure that the specimen information matches the request form.</w:t>
            </w:r>
          </w:p>
        </w:tc>
      </w:tr>
      <w:tr w:rsidR="00767CE6" w:rsidRPr="006529A7" w:rsidTr="001A4B12">
        <w:tc>
          <w:tcPr>
            <w:tcW w:w="2518" w:type="dxa"/>
            <w:shd w:val="clear" w:color="auto" w:fill="auto"/>
          </w:tcPr>
          <w:p w:rsidR="00767CE6" w:rsidRPr="006529A7" w:rsidRDefault="00767CE6" w:rsidP="006529A7">
            <w:pPr>
              <w:numPr>
                <w:ilvl w:val="0"/>
                <w:numId w:val="12"/>
              </w:numPr>
              <w:ind w:left="567" w:hanging="567"/>
              <w:rPr>
                <w:rFonts w:ascii="Arial" w:eastAsia="Calibri" w:hAnsi="Arial"/>
                <w:sz w:val="24"/>
                <w:szCs w:val="22"/>
              </w:rPr>
            </w:pPr>
            <w:r w:rsidRPr="006529A7">
              <w:rPr>
                <w:rFonts w:ascii="Arial" w:eastAsia="Calibri" w:hAnsi="Arial"/>
                <w:sz w:val="24"/>
                <w:szCs w:val="22"/>
              </w:rPr>
              <w:t>Centrifuge specimen</w:t>
            </w:r>
          </w:p>
        </w:tc>
        <w:tc>
          <w:tcPr>
            <w:tcW w:w="6338" w:type="dxa"/>
            <w:shd w:val="clear" w:color="auto" w:fill="auto"/>
          </w:tcPr>
          <w:p w:rsidR="00767CE6" w:rsidRPr="006529A7" w:rsidRDefault="00767CE6" w:rsidP="006529A7">
            <w:pPr>
              <w:numPr>
                <w:ilvl w:val="0"/>
                <w:numId w:val="15"/>
              </w:numPr>
              <w:ind w:left="743" w:hanging="709"/>
              <w:rPr>
                <w:rFonts w:ascii="Arial" w:eastAsia="Calibri" w:hAnsi="Arial"/>
                <w:sz w:val="24"/>
                <w:szCs w:val="22"/>
              </w:rPr>
            </w:pPr>
            <w:r w:rsidRPr="006529A7">
              <w:rPr>
                <w:rFonts w:ascii="Arial" w:eastAsia="Calibri" w:hAnsi="Arial"/>
                <w:sz w:val="24"/>
                <w:szCs w:val="22"/>
              </w:rPr>
              <w:t>Centrifuge specimen(s) for 5 minutes at 3500 rpm or equivalent</w:t>
            </w:r>
          </w:p>
          <w:p w:rsidR="00767CE6" w:rsidRPr="006529A7" w:rsidRDefault="00767CE6" w:rsidP="006529A7">
            <w:pPr>
              <w:numPr>
                <w:ilvl w:val="0"/>
                <w:numId w:val="15"/>
              </w:numPr>
              <w:ind w:left="743" w:hanging="709"/>
              <w:rPr>
                <w:rFonts w:ascii="Arial" w:eastAsia="Calibri" w:hAnsi="Arial"/>
                <w:sz w:val="24"/>
                <w:szCs w:val="22"/>
              </w:rPr>
            </w:pPr>
            <w:r w:rsidRPr="006529A7">
              <w:rPr>
                <w:rFonts w:ascii="Arial" w:eastAsia="Calibri" w:hAnsi="Arial"/>
                <w:sz w:val="24"/>
                <w:szCs w:val="22"/>
              </w:rPr>
              <w:t>Check the patient’s specimen(s) for abnormal appearance. See PA.002 – Determining Specimen Suitability step 6.5</w:t>
            </w:r>
          </w:p>
          <w:p w:rsidR="00767CE6" w:rsidRPr="006529A7" w:rsidRDefault="00767CE6" w:rsidP="006529A7">
            <w:pPr>
              <w:numPr>
                <w:ilvl w:val="0"/>
                <w:numId w:val="15"/>
              </w:numPr>
              <w:ind w:left="743" w:hanging="709"/>
              <w:rPr>
                <w:rFonts w:ascii="Arial" w:eastAsia="Calibri" w:hAnsi="Arial"/>
                <w:sz w:val="24"/>
                <w:szCs w:val="22"/>
              </w:rPr>
            </w:pPr>
            <w:r w:rsidRPr="006529A7">
              <w:rPr>
                <w:rFonts w:ascii="Arial" w:eastAsia="Calibri" w:hAnsi="Arial"/>
                <w:sz w:val="24"/>
                <w:szCs w:val="22"/>
              </w:rPr>
              <w:t>Compare the patient name and identification number on all specimens with the corresponding information on the request form or computer screen.</w:t>
            </w:r>
          </w:p>
        </w:tc>
      </w:tr>
      <w:tr w:rsidR="00767CE6" w:rsidRPr="006529A7" w:rsidTr="001A4B12">
        <w:tc>
          <w:tcPr>
            <w:tcW w:w="2518" w:type="dxa"/>
            <w:shd w:val="clear" w:color="auto" w:fill="auto"/>
          </w:tcPr>
          <w:p w:rsidR="00767CE6" w:rsidRPr="006529A7" w:rsidRDefault="00767CE6" w:rsidP="006529A7">
            <w:pPr>
              <w:numPr>
                <w:ilvl w:val="0"/>
                <w:numId w:val="12"/>
              </w:numPr>
              <w:ind w:left="567" w:hanging="567"/>
              <w:rPr>
                <w:rFonts w:ascii="Arial" w:eastAsia="Calibri" w:hAnsi="Arial"/>
                <w:sz w:val="24"/>
                <w:szCs w:val="22"/>
              </w:rPr>
            </w:pPr>
            <w:r w:rsidRPr="006529A7">
              <w:rPr>
                <w:rFonts w:ascii="Arial" w:eastAsia="Calibri" w:hAnsi="Arial"/>
                <w:sz w:val="24"/>
                <w:szCs w:val="22"/>
              </w:rPr>
              <w:t>Label test tubes</w:t>
            </w:r>
          </w:p>
        </w:tc>
        <w:tc>
          <w:tcPr>
            <w:tcW w:w="6338" w:type="dxa"/>
            <w:shd w:val="clear" w:color="auto" w:fill="auto"/>
          </w:tcPr>
          <w:p w:rsidR="00767CE6" w:rsidRPr="006529A7" w:rsidRDefault="00767CE6" w:rsidP="006529A7">
            <w:pPr>
              <w:numPr>
                <w:ilvl w:val="0"/>
                <w:numId w:val="16"/>
              </w:numPr>
              <w:ind w:left="743" w:hanging="709"/>
              <w:rPr>
                <w:rFonts w:ascii="Arial" w:eastAsia="Calibri" w:hAnsi="Arial"/>
                <w:sz w:val="24"/>
                <w:szCs w:val="22"/>
              </w:rPr>
            </w:pPr>
            <w:r w:rsidRPr="006529A7">
              <w:rPr>
                <w:rFonts w:ascii="Arial" w:eastAsia="Calibri" w:hAnsi="Arial"/>
                <w:sz w:val="24"/>
                <w:szCs w:val="22"/>
              </w:rPr>
              <w:t>Label tubes as per established facility procedure. Example PA.004 – Labeling of Test Tubes and Block Set Up for Compatibility Testing.</w:t>
            </w:r>
          </w:p>
        </w:tc>
      </w:tr>
      <w:tr w:rsidR="00767CE6" w:rsidRPr="006529A7" w:rsidTr="001A4B12">
        <w:tc>
          <w:tcPr>
            <w:tcW w:w="2518" w:type="dxa"/>
            <w:shd w:val="clear" w:color="auto" w:fill="auto"/>
          </w:tcPr>
          <w:p w:rsidR="00767CE6" w:rsidRPr="006529A7" w:rsidRDefault="00767CE6" w:rsidP="006529A7">
            <w:pPr>
              <w:numPr>
                <w:ilvl w:val="0"/>
                <w:numId w:val="12"/>
              </w:numPr>
              <w:ind w:left="567" w:hanging="567"/>
              <w:rPr>
                <w:rFonts w:ascii="Arial" w:eastAsia="Calibri" w:hAnsi="Arial"/>
                <w:sz w:val="24"/>
                <w:szCs w:val="22"/>
              </w:rPr>
            </w:pPr>
            <w:r w:rsidRPr="006529A7">
              <w:rPr>
                <w:rFonts w:ascii="Arial" w:eastAsia="Calibri" w:hAnsi="Arial"/>
                <w:sz w:val="24"/>
                <w:szCs w:val="22"/>
              </w:rPr>
              <w:t xml:space="preserve"> Add appropriate reagents to labeled tubes</w:t>
            </w:r>
          </w:p>
        </w:tc>
        <w:tc>
          <w:tcPr>
            <w:tcW w:w="6338" w:type="dxa"/>
            <w:shd w:val="clear" w:color="auto" w:fill="auto"/>
          </w:tcPr>
          <w:p w:rsidR="00767CE6" w:rsidRPr="006529A7" w:rsidRDefault="00767CE6" w:rsidP="006529A7">
            <w:pPr>
              <w:numPr>
                <w:ilvl w:val="0"/>
                <w:numId w:val="17"/>
              </w:numPr>
              <w:ind w:left="743" w:hanging="709"/>
              <w:rPr>
                <w:rFonts w:ascii="Arial" w:eastAsia="Calibri" w:hAnsi="Arial"/>
                <w:sz w:val="24"/>
                <w:szCs w:val="22"/>
              </w:rPr>
            </w:pPr>
            <w:r w:rsidRPr="006529A7">
              <w:rPr>
                <w:rFonts w:ascii="Arial" w:eastAsia="Calibri" w:hAnsi="Arial"/>
                <w:sz w:val="24"/>
                <w:szCs w:val="22"/>
                <w:lang w:val="en-CA"/>
              </w:rPr>
              <w:t>1 drop of anti-A to the tube labeled – A.</w:t>
            </w:r>
          </w:p>
          <w:p w:rsidR="00767CE6" w:rsidRPr="006529A7" w:rsidRDefault="00767CE6" w:rsidP="006529A7">
            <w:pPr>
              <w:numPr>
                <w:ilvl w:val="0"/>
                <w:numId w:val="17"/>
              </w:numPr>
              <w:ind w:left="743" w:hanging="709"/>
              <w:rPr>
                <w:rFonts w:ascii="Arial" w:eastAsia="Calibri" w:hAnsi="Arial"/>
                <w:sz w:val="24"/>
                <w:szCs w:val="22"/>
              </w:rPr>
            </w:pPr>
            <w:r w:rsidRPr="006529A7">
              <w:rPr>
                <w:rFonts w:ascii="Arial" w:eastAsia="Calibri" w:hAnsi="Arial"/>
                <w:sz w:val="24"/>
                <w:szCs w:val="22"/>
                <w:lang w:val="en-CA"/>
              </w:rPr>
              <w:t>1 drop of anti-B to the tube labeled – B.</w:t>
            </w:r>
          </w:p>
          <w:p w:rsidR="00767CE6" w:rsidRPr="006529A7" w:rsidRDefault="00767CE6" w:rsidP="006529A7">
            <w:pPr>
              <w:numPr>
                <w:ilvl w:val="0"/>
                <w:numId w:val="17"/>
              </w:numPr>
              <w:ind w:left="743" w:hanging="709"/>
              <w:rPr>
                <w:rFonts w:ascii="Arial" w:eastAsia="Calibri" w:hAnsi="Arial"/>
                <w:sz w:val="24"/>
                <w:szCs w:val="22"/>
              </w:rPr>
            </w:pPr>
            <w:r w:rsidRPr="006529A7">
              <w:rPr>
                <w:rFonts w:ascii="Arial" w:eastAsia="Calibri" w:hAnsi="Arial"/>
                <w:sz w:val="24"/>
                <w:szCs w:val="22"/>
                <w:lang w:val="en-CA"/>
              </w:rPr>
              <w:t>Add 2 drops of the pati</w:t>
            </w:r>
            <w:r w:rsidR="00535C12">
              <w:rPr>
                <w:rFonts w:ascii="Arial" w:eastAsia="Calibri" w:hAnsi="Arial"/>
                <w:sz w:val="24"/>
                <w:szCs w:val="22"/>
                <w:lang w:val="en-CA"/>
              </w:rPr>
              <w:t xml:space="preserve">ent’s plasma to the </w:t>
            </w:r>
            <w:r w:rsidR="00535C12">
              <w:rPr>
                <w:rFonts w:ascii="Arial" w:eastAsia="Calibri" w:hAnsi="Arial"/>
                <w:sz w:val="24"/>
                <w:szCs w:val="22"/>
                <w:lang w:val="en-CA"/>
              </w:rPr>
              <w:br/>
            </w:r>
            <w:r w:rsidRPr="006529A7">
              <w:rPr>
                <w:rFonts w:ascii="Arial" w:eastAsia="Calibri" w:hAnsi="Arial"/>
                <w:sz w:val="24"/>
                <w:szCs w:val="22"/>
                <w:lang w:val="en-CA"/>
              </w:rPr>
              <w:t>tubes labeled A1C and BC (omit for neonate).</w:t>
            </w:r>
          </w:p>
          <w:p w:rsidR="00767CE6" w:rsidRPr="006529A7" w:rsidRDefault="00767CE6" w:rsidP="006529A7">
            <w:pPr>
              <w:numPr>
                <w:ilvl w:val="0"/>
                <w:numId w:val="17"/>
              </w:numPr>
              <w:ind w:left="743" w:hanging="709"/>
              <w:rPr>
                <w:rFonts w:ascii="Arial" w:eastAsia="Calibri" w:hAnsi="Arial"/>
                <w:sz w:val="24"/>
                <w:szCs w:val="22"/>
              </w:rPr>
            </w:pPr>
            <w:r w:rsidRPr="006529A7">
              <w:rPr>
                <w:rFonts w:ascii="Arial" w:eastAsia="Calibri" w:hAnsi="Arial"/>
                <w:sz w:val="24"/>
                <w:szCs w:val="22"/>
                <w:lang w:val="en-CA"/>
              </w:rPr>
              <w:t>Mix the vials containing A</w:t>
            </w:r>
            <w:r w:rsidRPr="006529A7">
              <w:rPr>
                <w:rFonts w:ascii="Arial" w:eastAsia="Calibri" w:hAnsi="Arial"/>
                <w:sz w:val="24"/>
                <w:szCs w:val="22"/>
                <w:vertAlign w:val="subscript"/>
                <w:lang w:val="en-CA"/>
              </w:rPr>
              <w:t>1</w:t>
            </w:r>
            <w:r w:rsidR="00535C12">
              <w:rPr>
                <w:rFonts w:ascii="Arial" w:eastAsia="Calibri" w:hAnsi="Arial"/>
                <w:sz w:val="24"/>
                <w:szCs w:val="22"/>
                <w:lang w:val="en-CA"/>
              </w:rPr>
              <w:t xml:space="preserve"> and B reagent red   </w:t>
            </w:r>
            <w:r w:rsidRPr="006529A7">
              <w:rPr>
                <w:rFonts w:ascii="Arial" w:eastAsia="Calibri" w:hAnsi="Arial"/>
                <w:sz w:val="24"/>
                <w:szCs w:val="22"/>
                <w:lang w:val="en-CA"/>
              </w:rPr>
              <w:t>cells and add:</w:t>
            </w:r>
          </w:p>
          <w:p w:rsidR="00767CE6" w:rsidRPr="006529A7" w:rsidRDefault="00767CE6" w:rsidP="006529A7">
            <w:pPr>
              <w:numPr>
                <w:ilvl w:val="0"/>
                <w:numId w:val="17"/>
              </w:numPr>
              <w:ind w:left="743" w:hanging="709"/>
              <w:rPr>
                <w:rFonts w:ascii="Arial" w:eastAsia="Calibri" w:hAnsi="Arial"/>
                <w:sz w:val="24"/>
                <w:szCs w:val="22"/>
              </w:rPr>
            </w:pPr>
            <w:r w:rsidRPr="006529A7">
              <w:rPr>
                <w:rFonts w:ascii="Arial" w:eastAsia="Calibri" w:hAnsi="Arial"/>
                <w:sz w:val="24"/>
                <w:szCs w:val="22"/>
              </w:rPr>
              <w:t>1 drop of A</w:t>
            </w:r>
            <w:r w:rsidRPr="006529A7">
              <w:rPr>
                <w:rFonts w:ascii="Arial" w:eastAsia="Calibri" w:hAnsi="Arial"/>
                <w:sz w:val="24"/>
                <w:szCs w:val="22"/>
                <w:vertAlign w:val="subscript"/>
              </w:rPr>
              <w:t>1</w:t>
            </w:r>
            <w:r w:rsidRPr="006529A7">
              <w:rPr>
                <w:rFonts w:ascii="Arial" w:eastAsia="Calibri" w:hAnsi="Arial"/>
                <w:sz w:val="24"/>
                <w:szCs w:val="22"/>
              </w:rPr>
              <w:t xml:space="preserve"> cells to the tube labeled A</w:t>
            </w:r>
            <w:r w:rsidRPr="006529A7">
              <w:rPr>
                <w:rFonts w:ascii="Arial" w:eastAsia="Calibri" w:hAnsi="Arial"/>
                <w:sz w:val="24"/>
                <w:szCs w:val="22"/>
                <w:vertAlign w:val="subscript"/>
              </w:rPr>
              <w:t>1</w:t>
            </w:r>
            <w:r w:rsidRPr="006529A7">
              <w:rPr>
                <w:rFonts w:ascii="Arial" w:eastAsia="Calibri" w:hAnsi="Arial"/>
                <w:sz w:val="24"/>
                <w:szCs w:val="22"/>
              </w:rPr>
              <w:t>C</w:t>
            </w:r>
          </w:p>
          <w:p w:rsidR="00767CE6" w:rsidRPr="006529A7" w:rsidRDefault="00767CE6" w:rsidP="006529A7">
            <w:pPr>
              <w:numPr>
                <w:ilvl w:val="0"/>
                <w:numId w:val="17"/>
              </w:numPr>
              <w:ind w:left="743" w:hanging="709"/>
              <w:rPr>
                <w:rFonts w:ascii="Arial" w:eastAsia="Calibri" w:hAnsi="Arial"/>
                <w:sz w:val="24"/>
                <w:szCs w:val="22"/>
              </w:rPr>
            </w:pPr>
            <w:r w:rsidRPr="006529A7">
              <w:rPr>
                <w:rFonts w:ascii="Arial" w:eastAsia="Calibri" w:hAnsi="Arial"/>
                <w:sz w:val="24"/>
                <w:szCs w:val="22"/>
              </w:rPr>
              <w:t>1 drop of B cells to the tube labeled BC</w:t>
            </w:r>
          </w:p>
          <w:p w:rsidR="00767CE6" w:rsidRPr="006529A7" w:rsidRDefault="002107FA" w:rsidP="006529A7">
            <w:pPr>
              <w:ind w:left="743" w:hanging="709"/>
              <w:rPr>
                <w:rFonts w:ascii="Arial" w:eastAsia="Calibri" w:hAnsi="Arial"/>
                <w:i/>
                <w:sz w:val="24"/>
                <w:szCs w:val="22"/>
              </w:rPr>
            </w:pPr>
            <w:r w:rsidRPr="006529A7">
              <w:rPr>
                <w:rFonts w:ascii="Arial" w:eastAsia="Calibri" w:hAnsi="Arial"/>
                <w:i/>
                <w:sz w:val="24"/>
                <w:szCs w:val="22"/>
                <w:shd w:val="clear" w:color="auto" w:fill="F2F2F2"/>
              </w:rPr>
              <w:t xml:space="preserve">Note: </w:t>
            </w:r>
            <w:r w:rsidRPr="006529A7">
              <w:rPr>
                <w:rFonts w:ascii="Arial" w:eastAsia="Calibri" w:hAnsi="Arial"/>
                <w:i/>
                <w:sz w:val="24"/>
                <w:szCs w:val="22"/>
                <w:shd w:val="clear" w:color="auto" w:fill="F2F2F2"/>
                <w:lang w:val="en-CA"/>
              </w:rPr>
              <w:t>Do not pre-pipette reagent into tubes, this should be done immediately before use.</w:t>
            </w:r>
          </w:p>
        </w:tc>
      </w:tr>
      <w:tr w:rsidR="002107FA" w:rsidRPr="006529A7" w:rsidTr="001A4B12">
        <w:tc>
          <w:tcPr>
            <w:tcW w:w="2518" w:type="dxa"/>
            <w:shd w:val="clear" w:color="auto" w:fill="auto"/>
          </w:tcPr>
          <w:p w:rsidR="002107FA" w:rsidRPr="006529A7" w:rsidRDefault="002107FA" w:rsidP="006529A7">
            <w:pPr>
              <w:numPr>
                <w:ilvl w:val="0"/>
                <w:numId w:val="12"/>
              </w:numPr>
              <w:ind w:left="567" w:hanging="567"/>
              <w:rPr>
                <w:rFonts w:ascii="Arial" w:eastAsia="Calibri" w:hAnsi="Arial"/>
                <w:sz w:val="24"/>
                <w:szCs w:val="22"/>
              </w:rPr>
            </w:pPr>
            <w:r w:rsidRPr="006529A7">
              <w:rPr>
                <w:rFonts w:ascii="Arial" w:eastAsia="Calibri" w:hAnsi="Arial"/>
                <w:sz w:val="24"/>
                <w:szCs w:val="22"/>
              </w:rPr>
              <w:t>Prepare 3% patient red cell suspension</w:t>
            </w:r>
          </w:p>
        </w:tc>
        <w:tc>
          <w:tcPr>
            <w:tcW w:w="6338" w:type="dxa"/>
            <w:shd w:val="clear" w:color="auto" w:fill="auto"/>
          </w:tcPr>
          <w:p w:rsidR="002107FA" w:rsidRPr="006529A7" w:rsidRDefault="002107FA" w:rsidP="00535C12">
            <w:pPr>
              <w:numPr>
                <w:ilvl w:val="2"/>
                <w:numId w:val="23"/>
              </w:numPr>
              <w:rPr>
                <w:rFonts w:ascii="Arial" w:eastAsia="Calibri" w:hAnsi="Arial"/>
                <w:sz w:val="24"/>
                <w:szCs w:val="22"/>
                <w:lang w:val="en-CA"/>
              </w:rPr>
            </w:pPr>
            <w:r w:rsidRPr="006529A7">
              <w:rPr>
                <w:rFonts w:ascii="Arial" w:eastAsia="Calibri" w:hAnsi="Arial"/>
                <w:sz w:val="24"/>
                <w:szCs w:val="22"/>
                <w:lang w:val="en-CA"/>
              </w:rPr>
              <w:t>See RT.003 – Preparation of 3% Patient Red Cell Suspension.</w:t>
            </w:r>
          </w:p>
          <w:p w:rsidR="002107FA" w:rsidRPr="006529A7" w:rsidRDefault="00535C12" w:rsidP="006529A7">
            <w:pPr>
              <w:ind w:left="743" w:hanging="709"/>
              <w:rPr>
                <w:rFonts w:ascii="Arial" w:eastAsia="Calibri" w:hAnsi="Arial"/>
                <w:i/>
                <w:sz w:val="24"/>
                <w:szCs w:val="22"/>
                <w:lang w:val="en-CA"/>
              </w:rPr>
            </w:pPr>
            <w:r>
              <w:rPr>
                <w:rFonts w:ascii="Arial" w:eastAsia="Calibri" w:hAnsi="Arial"/>
                <w:i/>
                <w:sz w:val="24"/>
                <w:szCs w:val="22"/>
                <w:lang w:val="en-CA"/>
              </w:rPr>
              <w:t xml:space="preserve">           </w:t>
            </w:r>
            <w:r w:rsidR="002107FA" w:rsidRPr="006529A7">
              <w:rPr>
                <w:rFonts w:ascii="Arial" w:eastAsia="Calibri" w:hAnsi="Arial"/>
                <w:i/>
                <w:sz w:val="24"/>
                <w:szCs w:val="22"/>
                <w:lang w:val="en-CA"/>
              </w:rPr>
              <w:t>It is not necessary to pre-wash the red cells, however, if a discrepancy is found the cells should be washed and the tests repeated</w:t>
            </w:r>
          </w:p>
        </w:tc>
      </w:tr>
      <w:tr w:rsidR="002107FA" w:rsidRPr="006529A7" w:rsidTr="001A4B12">
        <w:tc>
          <w:tcPr>
            <w:tcW w:w="2518" w:type="dxa"/>
            <w:shd w:val="clear" w:color="auto" w:fill="auto"/>
          </w:tcPr>
          <w:p w:rsidR="002107FA" w:rsidRPr="006529A7" w:rsidRDefault="002107FA" w:rsidP="006529A7">
            <w:pPr>
              <w:numPr>
                <w:ilvl w:val="0"/>
                <w:numId w:val="12"/>
              </w:numPr>
              <w:ind w:left="567" w:hanging="567"/>
              <w:rPr>
                <w:rFonts w:ascii="Arial" w:eastAsia="Calibri" w:hAnsi="Arial"/>
                <w:sz w:val="24"/>
                <w:szCs w:val="22"/>
              </w:rPr>
            </w:pPr>
            <w:r w:rsidRPr="006529A7">
              <w:rPr>
                <w:rFonts w:ascii="Arial" w:eastAsia="Calibri" w:hAnsi="Arial"/>
                <w:sz w:val="24"/>
                <w:szCs w:val="22"/>
              </w:rPr>
              <w:t>Add patient 3% red cell suspension to labeled tubes</w:t>
            </w:r>
          </w:p>
        </w:tc>
        <w:tc>
          <w:tcPr>
            <w:tcW w:w="6338" w:type="dxa"/>
            <w:shd w:val="clear" w:color="auto" w:fill="auto"/>
          </w:tcPr>
          <w:p w:rsidR="002107FA" w:rsidRPr="006529A7" w:rsidRDefault="002107FA" w:rsidP="006529A7">
            <w:pPr>
              <w:numPr>
                <w:ilvl w:val="0"/>
                <w:numId w:val="18"/>
              </w:numPr>
              <w:ind w:left="743" w:hanging="709"/>
              <w:contextualSpacing/>
              <w:rPr>
                <w:rFonts w:ascii="Arial" w:eastAsia="Calibri" w:hAnsi="Arial"/>
                <w:sz w:val="24"/>
                <w:szCs w:val="22"/>
                <w:lang w:val="en-CA"/>
              </w:rPr>
            </w:pPr>
            <w:r w:rsidRPr="006529A7">
              <w:rPr>
                <w:rFonts w:ascii="Arial" w:eastAsia="Calibri" w:hAnsi="Arial"/>
                <w:sz w:val="24"/>
                <w:szCs w:val="22"/>
                <w:lang w:val="en-CA"/>
              </w:rPr>
              <w:t>Add 1 drop of the patient 3% red cell suspension to the tubes labeled anti-A and anti-B.</w:t>
            </w:r>
          </w:p>
          <w:p w:rsidR="002107FA" w:rsidRPr="006529A7" w:rsidRDefault="002107FA" w:rsidP="006529A7">
            <w:pPr>
              <w:numPr>
                <w:ilvl w:val="0"/>
                <w:numId w:val="18"/>
              </w:numPr>
              <w:ind w:left="743" w:hanging="709"/>
              <w:contextualSpacing/>
              <w:rPr>
                <w:rFonts w:ascii="Arial" w:eastAsia="Calibri" w:hAnsi="Arial"/>
                <w:sz w:val="24"/>
                <w:szCs w:val="22"/>
                <w:lang w:val="en-CA"/>
              </w:rPr>
            </w:pPr>
            <w:r w:rsidRPr="006529A7">
              <w:rPr>
                <w:rFonts w:ascii="Arial" w:eastAsia="Calibri" w:hAnsi="Arial"/>
                <w:sz w:val="24"/>
                <w:szCs w:val="22"/>
                <w:lang w:val="en-CA"/>
              </w:rPr>
              <w:t>Mix all tubes.</w:t>
            </w:r>
          </w:p>
          <w:p w:rsidR="002107FA" w:rsidRPr="006529A7" w:rsidRDefault="002107FA" w:rsidP="006529A7">
            <w:pPr>
              <w:numPr>
                <w:ilvl w:val="0"/>
                <w:numId w:val="18"/>
              </w:numPr>
              <w:ind w:left="743" w:hanging="709"/>
              <w:contextualSpacing/>
              <w:rPr>
                <w:rFonts w:ascii="Arial" w:eastAsia="Calibri" w:hAnsi="Arial"/>
                <w:sz w:val="24"/>
                <w:szCs w:val="22"/>
                <w:lang w:val="en-CA"/>
              </w:rPr>
            </w:pPr>
            <w:r w:rsidRPr="006529A7">
              <w:rPr>
                <w:rFonts w:ascii="Arial" w:eastAsia="Calibri" w:hAnsi="Arial"/>
                <w:sz w:val="24"/>
                <w:szCs w:val="22"/>
                <w:lang w:val="en-CA"/>
              </w:rPr>
              <w:t>Centrifuge tubes at 3400 rpm for 10-15 seconds in a serological centrifuge. See Procedural Notes 8.1</w:t>
            </w:r>
          </w:p>
          <w:p w:rsidR="002107FA" w:rsidRPr="006529A7" w:rsidRDefault="002107FA" w:rsidP="006529A7">
            <w:pPr>
              <w:numPr>
                <w:ilvl w:val="0"/>
                <w:numId w:val="18"/>
              </w:numPr>
              <w:ind w:left="743" w:hanging="709"/>
              <w:contextualSpacing/>
              <w:rPr>
                <w:rFonts w:ascii="Arial" w:eastAsia="Calibri" w:hAnsi="Arial"/>
                <w:sz w:val="24"/>
                <w:szCs w:val="22"/>
                <w:lang w:val="en-CA"/>
              </w:rPr>
            </w:pPr>
            <w:r w:rsidRPr="006529A7">
              <w:rPr>
                <w:rFonts w:ascii="Arial" w:eastAsia="Calibri" w:hAnsi="Arial"/>
                <w:sz w:val="24"/>
                <w:szCs w:val="22"/>
                <w:lang w:val="en-CA"/>
              </w:rPr>
              <w:t>Remove the tubes from the centrifuge in the same order in which they were placed.</w:t>
            </w:r>
          </w:p>
          <w:p w:rsidR="002107FA" w:rsidRPr="006529A7" w:rsidRDefault="002107FA" w:rsidP="006529A7">
            <w:pPr>
              <w:numPr>
                <w:ilvl w:val="0"/>
                <w:numId w:val="18"/>
              </w:numPr>
              <w:ind w:left="743" w:hanging="709"/>
              <w:contextualSpacing/>
              <w:rPr>
                <w:rFonts w:ascii="Arial" w:eastAsia="Calibri" w:hAnsi="Arial"/>
                <w:sz w:val="24"/>
                <w:szCs w:val="22"/>
                <w:lang w:val="en-CA"/>
              </w:rPr>
            </w:pPr>
            <w:r w:rsidRPr="006529A7">
              <w:rPr>
                <w:rFonts w:ascii="Arial" w:eastAsia="Calibri" w:hAnsi="Arial"/>
                <w:sz w:val="24"/>
                <w:szCs w:val="22"/>
                <w:lang w:val="en-CA"/>
              </w:rPr>
              <w:t>If more than one patient is being tested, remove only the tubes for one patient. Read and record results for one patient at a time.</w:t>
            </w:r>
          </w:p>
          <w:p w:rsidR="002107FA" w:rsidRPr="006529A7" w:rsidRDefault="002107FA" w:rsidP="006529A7">
            <w:pPr>
              <w:numPr>
                <w:ilvl w:val="0"/>
                <w:numId w:val="18"/>
              </w:numPr>
              <w:ind w:left="743" w:hanging="709"/>
              <w:contextualSpacing/>
              <w:rPr>
                <w:rFonts w:ascii="Arial" w:eastAsia="Calibri" w:hAnsi="Arial"/>
                <w:sz w:val="24"/>
                <w:szCs w:val="22"/>
                <w:lang w:val="en-CA"/>
              </w:rPr>
            </w:pPr>
            <w:r w:rsidRPr="006529A7">
              <w:rPr>
                <w:rFonts w:ascii="Arial" w:eastAsia="Calibri" w:hAnsi="Arial"/>
                <w:sz w:val="24"/>
                <w:szCs w:val="22"/>
                <w:lang w:val="en-CA"/>
              </w:rPr>
              <w:t>Check the name on each tube and compare with the name on the request form (or computer screen).</w:t>
            </w:r>
          </w:p>
        </w:tc>
      </w:tr>
      <w:tr w:rsidR="00E66356" w:rsidRPr="006529A7" w:rsidTr="001A4B12">
        <w:tc>
          <w:tcPr>
            <w:tcW w:w="2518" w:type="dxa"/>
            <w:shd w:val="clear" w:color="auto" w:fill="auto"/>
          </w:tcPr>
          <w:p w:rsidR="00E66356" w:rsidRPr="006529A7" w:rsidRDefault="00E66356" w:rsidP="006529A7">
            <w:pPr>
              <w:numPr>
                <w:ilvl w:val="0"/>
                <w:numId w:val="12"/>
              </w:numPr>
              <w:ind w:left="567" w:hanging="567"/>
              <w:rPr>
                <w:rFonts w:ascii="Arial" w:eastAsia="Calibri" w:hAnsi="Arial"/>
                <w:sz w:val="24"/>
                <w:szCs w:val="22"/>
              </w:rPr>
            </w:pPr>
            <w:r w:rsidRPr="006529A7">
              <w:rPr>
                <w:rFonts w:ascii="Arial" w:eastAsia="Calibri" w:hAnsi="Arial"/>
                <w:sz w:val="24"/>
                <w:szCs w:val="22"/>
              </w:rPr>
              <w:t>Read and Interpret results</w:t>
            </w:r>
          </w:p>
        </w:tc>
        <w:tc>
          <w:tcPr>
            <w:tcW w:w="6338" w:type="dxa"/>
            <w:shd w:val="clear" w:color="auto" w:fill="auto"/>
          </w:tcPr>
          <w:p w:rsidR="00E66356" w:rsidRPr="006529A7" w:rsidRDefault="00E66356" w:rsidP="00535C12">
            <w:pPr>
              <w:numPr>
                <w:ilvl w:val="2"/>
                <w:numId w:val="24"/>
              </w:numPr>
              <w:contextualSpacing/>
              <w:rPr>
                <w:rFonts w:ascii="Arial" w:eastAsia="Calibri" w:hAnsi="Arial"/>
                <w:sz w:val="24"/>
                <w:szCs w:val="22"/>
                <w:lang w:val="en-CA"/>
              </w:rPr>
            </w:pPr>
            <w:r w:rsidRPr="006529A7">
              <w:rPr>
                <w:rFonts w:ascii="Arial" w:eastAsia="Calibri" w:hAnsi="Arial"/>
                <w:sz w:val="24"/>
                <w:szCs w:val="22"/>
                <w:lang w:val="en-CA"/>
              </w:rPr>
              <w:t>Grade and record results See RT.001 – Reading and Recording Hemagglutination Reactions.</w:t>
            </w:r>
          </w:p>
          <w:p w:rsidR="001A4B12" w:rsidRPr="001A4B12" w:rsidRDefault="00E66356" w:rsidP="00535C12">
            <w:pPr>
              <w:numPr>
                <w:ilvl w:val="2"/>
                <w:numId w:val="24"/>
              </w:numPr>
              <w:contextualSpacing/>
              <w:rPr>
                <w:rFonts w:ascii="Arial" w:eastAsia="Calibri" w:hAnsi="Arial"/>
                <w:sz w:val="24"/>
                <w:szCs w:val="22"/>
                <w:lang w:val="en-CA"/>
              </w:rPr>
            </w:pPr>
            <w:r w:rsidRPr="001A4B12">
              <w:rPr>
                <w:rFonts w:ascii="Arial" w:eastAsia="Calibri" w:hAnsi="Arial"/>
                <w:sz w:val="24"/>
                <w:szCs w:val="22"/>
                <w:lang w:val="en-CA"/>
              </w:rPr>
              <w:t>Interpret ABO grouping. See 7.0 – Reporting</w:t>
            </w:r>
          </w:p>
          <w:tbl>
            <w:tblPr>
              <w:tblW w:w="61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3098"/>
            </w:tblGrid>
            <w:tr w:rsidR="00E66356" w:rsidRPr="006529A7" w:rsidTr="001A4B12">
              <w:tc>
                <w:tcPr>
                  <w:tcW w:w="3093" w:type="dxa"/>
                  <w:shd w:val="clear" w:color="auto" w:fill="D9D9D9"/>
                </w:tcPr>
                <w:p w:rsidR="00E66356" w:rsidRPr="006529A7" w:rsidRDefault="00E66356" w:rsidP="006529A7">
                  <w:pPr>
                    <w:contextualSpacing/>
                    <w:jc w:val="center"/>
                    <w:rPr>
                      <w:rFonts w:ascii="Arial" w:eastAsia="Calibri" w:hAnsi="Arial"/>
                      <w:b/>
                      <w:i/>
                      <w:sz w:val="24"/>
                      <w:szCs w:val="22"/>
                      <w:lang w:val="en-CA"/>
                    </w:rPr>
                  </w:pPr>
                  <w:r w:rsidRPr="006529A7">
                    <w:rPr>
                      <w:rFonts w:ascii="Arial" w:eastAsia="Calibri" w:hAnsi="Arial"/>
                      <w:b/>
                      <w:i/>
                      <w:sz w:val="24"/>
                      <w:szCs w:val="22"/>
                      <w:lang w:val="en-CA"/>
                    </w:rPr>
                    <w:t>If</w:t>
                  </w:r>
                </w:p>
              </w:tc>
              <w:tc>
                <w:tcPr>
                  <w:tcW w:w="3098" w:type="dxa"/>
                  <w:shd w:val="clear" w:color="auto" w:fill="D9D9D9"/>
                </w:tcPr>
                <w:p w:rsidR="00E66356" w:rsidRPr="006529A7" w:rsidRDefault="00E66356" w:rsidP="006529A7">
                  <w:pPr>
                    <w:contextualSpacing/>
                    <w:jc w:val="center"/>
                    <w:rPr>
                      <w:rFonts w:ascii="Arial" w:eastAsia="Calibri" w:hAnsi="Arial"/>
                      <w:b/>
                      <w:i/>
                      <w:sz w:val="24"/>
                      <w:szCs w:val="22"/>
                      <w:lang w:val="en-CA"/>
                    </w:rPr>
                  </w:pPr>
                  <w:r w:rsidRPr="006529A7">
                    <w:rPr>
                      <w:rFonts w:ascii="Arial" w:eastAsia="Calibri" w:hAnsi="Arial"/>
                      <w:b/>
                      <w:i/>
                      <w:sz w:val="24"/>
                      <w:szCs w:val="22"/>
                      <w:lang w:val="en-CA"/>
                    </w:rPr>
                    <w:t>Then</w:t>
                  </w:r>
                </w:p>
              </w:tc>
            </w:tr>
            <w:tr w:rsidR="00560850" w:rsidRPr="006529A7" w:rsidTr="001A4B12">
              <w:tc>
                <w:tcPr>
                  <w:tcW w:w="3093" w:type="dxa"/>
                  <w:vMerge w:val="restart"/>
                  <w:shd w:val="clear" w:color="auto" w:fill="auto"/>
                </w:tcPr>
                <w:p w:rsidR="00560850" w:rsidRPr="006529A7" w:rsidRDefault="001A4B12" w:rsidP="00E66356">
                  <w:pPr>
                    <w:contextualSpacing/>
                    <w:rPr>
                      <w:rFonts w:ascii="Arial" w:eastAsia="Calibri" w:hAnsi="Arial"/>
                      <w:sz w:val="24"/>
                      <w:szCs w:val="22"/>
                      <w:lang w:val="en-CA"/>
                    </w:rPr>
                  </w:pPr>
                  <w:r>
                    <w:rPr>
                      <w:rFonts w:ascii="Arial" w:eastAsia="Calibri" w:hAnsi="Arial"/>
                      <w:sz w:val="24"/>
                      <w:szCs w:val="22"/>
                      <w:lang w:val="en-CA"/>
                    </w:rPr>
                    <w:t>P</w:t>
                  </w:r>
                  <w:r w:rsidR="00560850" w:rsidRPr="006529A7">
                    <w:rPr>
                      <w:rFonts w:ascii="Arial" w:eastAsia="Calibri" w:hAnsi="Arial"/>
                      <w:sz w:val="24"/>
                      <w:szCs w:val="22"/>
                      <w:lang w:val="en-CA"/>
                    </w:rPr>
                    <w:t>atient cells and plasma react as described in the table (see Reporting 7.1)</w:t>
                  </w:r>
                </w:p>
              </w:tc>
              <w:tc>
                <w:tcPr>
                  <w:tcW w:w="3098" w:type="dxa"/>
                  <w:shd w:val="clear" w:color="auto" w:fill="auto"/>
                </w:tcPr>
                <w:p w:rsidR="00560850" w:rsidRPr="006529A7" w:rsidRDefault="001A4B12" w:rsidP="00E66356">
                  <w:pPr>
                    <w:contextualSpacing/>
                    <w:rPr>
                      <w:rFonts w:ascii="Arial" w:eastAsia="Calibri" w:hAnsi="Arial"/>
                      <w:sz w:val="24"/>
                      <w:szCs w:val="22"/>
                      <w:lang w:val="en-CA"/>
                    </w:rPr>
                  </w:pPr>
                  <w:r>
                    <w:rPr>
                      <w:rFonts w:ascii="Arial" w:eastAsia="Calibri" w:hAnsi="Arial"/>
                      <w:sz w:val="24"/>
                      <w:szCs w:val="22"/>
                      <w:lang w:val="en-CA"/>
                    </w:rPr>
                    <w:t>R</w:t>
                  </w:r>
                  <w:r w:rsidR="00560850" w:rsidRPr="006529A7">
                    <w:rPr>
                      <w:rFonts w:ascii="Arial" w:eastAsia="Calibri" w:hAnsi="Arial"/>
                      <w:sz w:val="24"/>
                      <w:szCs w:val="22"/>
                      <w:lang w:val="en-CA"/>
                    </w:rPr>
                    <w:t>ecord the ABO interpretation on the appropriate form or in the computer as per established procedure</w:t>
                  </w:r>
                </w:p>
              </w:tc>
            </w:tr>
            <w:tr w:rsidR="00560850" w:rsidRPr="006529A7" w:rsidTr="001A4B12">
              <w:tc>
                <w:tcPr>
                  <w:tcW w:w="3093" w:type="dxa"/>
                  <w:vMerge/>
                  <w:shd w:val="clear" w:color="auto" w:fill="auto"/>
                </w:tcPr>
                <w:p w:rsidR="00560850" w:rsidRPr="006529A7" w:rsidRDefault="00560850" w:rsidP="00E66356">
                  <w:pPr>
                    <w:contextualSpacing/>
                    <w:rPr>
                      <w:rFonts w:ascii="Arial" w:eastAsia="Calibri" w:hAnsi="Arial"/>
                      <w:sz w:val="24"/>
                      <w:szCs w:val="22"/>
                      <w:lang w:val="en-CA"/>
                    </w:rPr>
                  </w:pPr>
                </w:p>
              </w:tc>
              <w:tc>
                <w:tcPr>
                  <w:tcW w:w="3098" w:type="dxa"/>
                  <w:shd w:val="clear" w:color="auto" w:fill="auto"/>
                </w:tcPr>
                <w:p w:rsidR="00560850" w:rsidRPr="006529A7" w:rsidRDefault="00560850" w:rsidP="00E66356">
                  <w:pPr>
                    <w:contextualSpacing/>
                    <w:rPr>
                      <w:rFonts w:ascii="Arial" w:eastAsia="Calibri" w:hAnsi="Arial"/>
                      <w:sz w:val="24"/>
                      <w:szCs w:val="22"/>
                      <w:lang w:val="en-CA"/>
                    </w:rPr>
                  </w:pPr>
                  <w:r w:rsidRPr="006529A7">
                    <w:rPr>
                      <w:rFonts w:ascii="Arial" w:eastAsia="Calibri" w:hAnsi="Arial"/>
                      <w:sz w:val="24"/>
                      <w:szCs w:val="22"/>
                      <w:lang w:val="en-CA"/>
                    </w:rPr>
                    <w:t>Compare the ABO group obtained with the previous (historical) ABO interpretation, if available. If there is a discrepancy see NRT.003 – ABO Group Problem Solving</w:t>
                  </w:r>
                </w:p>
              </w:tc>
            </w:tr>
            <w:tr w:rsidR="00B4319E" w:rsidRPr="006529A7" w:rsidTr="001A4B12">
              <w:tc>
                <w:tcPr>
                  <w:tcW w:w="3093" w:type="dxa"/>
                  <w:shd w:val="clear" w:color="auto" w:fill="auto"/>
                </w:tcPr>
                <w:p w:rsidR="00B4319E" w:rsidRPr="006529A7" w:rsidRDefault="001A4B12" w:rsidP="00E66356">
                  <w:pPr>
                    <w:contextualSpacing/>
                    <w:rPr>
                      <w:rFonts w:ascii="Arial" w:eastAsia="Calibri" w:hAnsi="Arial"/>
                      <w:sz w:val="24"/>
                      <w:szCs w:val="22"/>
                      <w:lang w:val="en-CA"/>
                    </w:rPr>
                  </w:pPr>
                  <w:r>
                    <w:rPr>
                      <w:rFonts w:ascii="Arial" w:eastAsia="Calibri" w:hAnsi="Arial"/>
                      <w:sz w:val="24"/>
                      <w:szCs w:val="22"/>
                      <w:lang w:val="en-CA"/>
                    </w:rPr>
                    <w:t>P</w:t>
                  </w:r>
                  <w:r w:rsidR="00B4319E" w:rsidRPr="006529A7">
                    <w:rPr>
                      <w:rFonts w:ascii="Arial" w:eastAsia="Calibri" w:hAnsi="Arial"/>
                      <w:sz w:val="24"/>
                      <w:szCs w:val="22"/>
                      <w:lang w:val="en-CA"/>
                    </w:rPr>
                    <w:t>atient cells and plasma do not react as described in 7.0 – Reporting,</w:t>
                  </w:r>
                </w:p>
              </w:tc>
              <w:tc>
                <w:tcPr>
                  <w:tcW w:w="3098" w:type="dxa"/>
                  <w:shd w:val="clear" w:color="auto" w:fill="auto"/>
                </w:tcPr>
                <w:p w:rsidR="00B4319E" w:rsidRPr="006529A7" w:rsidRDefault="00560850" w:rsidP="00E66356">
                  <w:pPr>
                    <w:contextualSpacing/>
                    <w:rPr>
                      <w:rFonts w:ascii="Arial" w:eastAsia="Calibri" w:hAnsi="Arial"/>
                      <w:sz w:val="24"/>
                      <w:szCs w:val="22"/>
                      <w:lang w:val="en-CA"/>
                    </w:rPr>
                  </w:pPr>
                  <w:r w:rsidRPr="006529A7">
                    <w:rPr>
                      <w:rFonts w:ascii="Arial" w:eastAsia="Calibri" w:hAnsi="Arial"/>
                      <w:sz w:val="24"/>
                      <w:szCs w:val="22"/>
                      <w:lang w:val="en-CA"/>
                    </w:rPr>
                    <w:t>A</w:t>
                  </w:r>
                  <w:r w:rsidR="00B4319E" w:rsidRPr="006529A7">
                    <w:rPr>
                      <w:rFonts w:ascii="Arial" w:eastAsia="Calibri" w:hAnsi="Arial"/>
                      <w:sz w:val="24"/>
                      <w:szCs w:val="22"/>
                      <w:lang w:val="en-CA"/>
                    </w:rPr>
                    <w:t xml:space="preserve"> discrepancy exists and must be resolved before reporting the ABO grouping. See NRT.003 – ABO Group Problem Solving. If crossmatched blood products are required STAT, before the discrepancy is resolved, select only Group O, Rh compatible, RBC units until the problem is resolved.</w:t>
                  </w:r>
                </w:p>
              </w:tc>
            </w:tr>
          </w:tbl>
          <w:p w:rsidR="00535C12" w:rsidRDefault="00535C12" w:rsidP="00535C12">
            <w:pPr>
              <w:contextualSpacing/>
              <w:rPr>
                <w:rFonts w:ascii="Arial" w:eastAsia="Calibri" w:hAnsi="Arial"/>
                <w:sz w:val="24"/>
                <w:szCs w:val="22"/>
                <w:lang w:val="en-CA"/>
              </w:rPr>
            </w:pPr>
          </w:p>
          <w:p w:rsidR="00535C12" w:rsidRPr="006529A7" w:rsidRDefault="00535C12" w:rsidP="00535C12">
            <w:pPr>
              <w:contextualSpacing/>
              <w:rPr>
                <w:rFonts w:ascii="Arial" w:eastAsia="Calibri" w:hAnsi="Arial"/>
                <w:sz w:val="24"/>
                <w:szCs w:val="22"/>
                <w:lang w:val="en-CA"/>
              </w:rPr>
            </w:pPr>
            <w:r>
              <w:rPr>
                <w:rFonts w:ascii="Arial" w:eastAsia="Calibri" w:hAnsi="Arial"/>
                <w:sz w:val="24"/>
                <w:szCs w:val="22"/>
                <w:lang w:val="en-CA"/>
              </w:rPr>
              <w:t xml:space="preserve">6.8.3  </w:t>
            </w:r>
            <w:r w:rsidR="00B4319E" w:rsidRPr="006529A7">
              <w:rPr>
                <w:rFonts w:ascii="Arial" w:eastAsia="Calibri" w:hAnsi="Arial"/>
                <w:sz w:val="24"/>
                <w:szCs w:val="22"/>
                <w:lang w:val="en-CA"/>
              </w:rPr>
              <w:t xml:space="preserve">Reactions weaker than grade 2 in the forward ABO </w:t>
            </w:r>
            <w:r>
              <w:rPr>
                <w:rFonts w:ascii="Arial" w:eastAsia="Calibri" w:hAnsi="Arial"/>
                <w:sz w:val="24"/>
                <w:szCs w:val="22"/>
                <w:lang w:val="en-CA"/>
              </w:rPr>
              <w:br/>
              <w:t xml:space="preserve">          </w:t>
            </w:r>
            <w:r w:rsidR="00B4319E" w:rsidRPr="006529A7">
              <w:rPr>
                <w:rFonts w:ascii="Arial" w:eastAsia="Calibri" w:hAnsi="Arial"/>
                <w:sz w:val="24"/>
                <w:szCs w:val="22"/>
                <w:lang w:val="en-CA"/>
              </w:rPr>
              <w:t xml:space="preserve">or reactions weaker than grade 2 in the reverse </w:t>
            </w:r>
            <w:r>
              <w:rPr>
                <w:rFonts w:ascii="Arial" w:eastAsia="Calibri" w:hAnsi="Arial"/>
                <w:sz w:val="24"/>
                <w:szCs w:val="22"/>
                <w:lang w:val="en-CA"/>
              </w:rPr>
              <w:br/>
              <w:t xml:space="preserve">          </w:t>
            </w:r>
            <w:r w:rsidR="00B4319E" w:rsidRPr="006529A7">
              <w:rPr>
                <w:rFonts w:ascii="Arial" w:eastAsia="Calibri" w:hAnsi="Arial"/>
                <w:sz w:val="24"/>
                <w:szCs w:val="22"/>
                <w:lang w:val="en-CA"/>
              </w:rPr>
              <w:t xml:space="preserve">ABO grouping must be investigated. Mixed field </w:t>
            </w:r>
            <w:r>
              <w:rPr>
                <w:rFonts w:ascii="Arial" w:eastAsia="Calibri" w:hAnsi="Arial"/>
                <w:sz w:val="24"/>
                <w:szCs w:val="22"/>
                <w:lang w:val="en-CA"/>
              </w:rPr>
              <w:br/>
              <w:t xml:space="preserve">          </w:t>
            </w:r>
            <w:r w:rsidR="00B4319E" w:rsidRPr="006529A7">
              <w:rPr>
                <w:rFonts w:ascii="Arial" w:eastAsia="Calibri" w:hAnsi="Arial"/>
                <w:sz w:val="24"/>
                <w:szCs w:val="22"/>
                <w:lang w:val="en-CA"/>
              </w:rPr>
              <w:t xml:space="preserve">reactions in the forward ABO grouping must be </w:t>
            </w:r>
            <w:r>
              <w:rPr>
                <w:rFonts w:ascii="Arial" w:eastAsia="Calibri" w:hAnsi="Arial"/>
                <w:sz w:val="24"/>
                <w:szCs w:val="22"/>
                <w:lang w:val="en-CA"/>
              </w:rPr>
              <w:br/>
              <w:t xml:space="preserve">          </w:t>
            </w:r>
            <w:r w:rsidR="00B4319E" w:rsidRPr="006529A7">
              <w:rPr>
                <w:rFonts w:ascii="Arial" w:eastAsia="Calibri" w:hAnsi="Arial"/>
                <w:sz w:val="24"/>
                <w:szCs w:val="22"/>
                <w:lang w:val="en-CA"/>
              </w:rPr>
              <w:t xml:space="preserve">investigated. In this case, do not report the ABO </w:t>
            </w:r>
            <w:r>
              <w:rPr>
                <w:rFonts w:ascii="Arial" w:eastAsia="Calibri" w:hAnsi="Arial"/>
                <w:sz w:val="24"/>
                <w:szCs w:val="22"/>
                <w:lang w:val="en-CA"/>
              </w:rPr>
              <w:br/>
              <w:t xml:space="preserve">          </w:t>
            </w:r>
            <w:r w:rsidR="00B4319E" w:rsidRPr="006529A7">
              <w:rPr>
                <w:rFonts w:ascii="Arial" w:eastAsia="Calibri" w:hAnsi="Arial"/>
                <w:sz w:val="24"/>
                <w:szCs w:val="22"/>
                <w:lang w:val="en-CA"/>
              </w:rPr>
              <w:t xml:space="preserve">group until the discrepancy is resolved. See </w:t>
            </w:r>
            <w:r>
              <w:rPr>
                <w:rFonts w:ascii="Arial" w:eastAsia="Calibri" w:hAnsi="Arial"/>
                <w:sz w:val="24"/>
                <w:szCs w:val="22"/>
                <w:lang w:val="en-CA"/>
              </w:rPr>
              <w:br/>
              <w:t xml:space="preserve">          </w:t>
            </w:r>
            <w:r w:rsidR="00B4319E" w:rsidRPr="006529A7">
              <w:rPr>
                <w:rFonts w:ascii="Arial" w:eastAsia="Calibri" w:hAnsi="Arial"/>
                <w:sz w:val="24"/>
                <w:szCs w:val="22"/>
                <w:lang w:val="en-CA"/>
              </w:rPr>
              <w:t>NRT.003 – ABO Group Problem Solving</w:t>
            </w:r>
          </w:p>
        </w:tc>
      </w:tr>
      <w:tr w:rsidR="00B4319E" w:rsidRPr="006529A7" w:rsidTr="001A4B12">
        <w:tc>
          <w:tcPr>
            <w:tcW w:w="2518" w:type="dxa"/>
            <w:shd w:val="clear" w:color="auto" w:fill="auto"/>
          </w:tcPr>
          <w:p w:rsidR="00B4319E" w:rsidRPr="006529A7" w:rsidRDefault="00B4319E" w:rsidP="006529A7">
            <w:pPr>
              <w:numPr>
                <w:ilvl w:val="0"/>
                <w:numId w:val="12"/>
              </w:numPr>
              <w:ind w:left="567" w:hanging="567"/>
              <w:rPr>
                <w:rFonts w:ascii="Arial" w:eastAsia="Calibri" w:hAnsi="Arial"/>
                <w:sz w:val="24"/>
                <w:szCs w:val="22"/>
              </w:rPr>
            </w:pPr>
            <w:r w:rsidRPr="006529A7">
              <w:rPr>
                <w:rFonts w:ascii="Arial" w:eastAsia="Calibri" w:hAnsi="Arial"/>
                <w:sz w:val="24"/>
                <w:szCs w:val="22"/>
              </w:rPr>
              <w:t>Perform Clerical Check</w:t>
            </w:r>
          </w:p>
        </w:tc>
        <w:tc>
          <w:tcPr>
            <w:tcW w:w="6338" w:type="dxa"/>
            <w:shd w:val="clear" w:color="auto" w:fill="auto"/>
          </w:tcPr>
          <w:p w:rsidR="00B4319E" w:rsidRPr="006529A7" w:rsidRDefault="00B4319E" w:rsidP="006529A7">
            <w:pPr>
              <w:numPr>
                <w:ilvl w:val="0"/>
                <w:numId w:val="20"/>
              </w:numPr>
              <w:ind w:hanging="720"/>
              <w:contextualSpacing/>
              <w:rPr>
                <w:rFonts w:ascii="Arial" w:eastAsia="Calibri" w:hAnsi="Arial"/>
                <w:sz w:val="24"/>
                <w:szCs w:val="22"/>
                <w:lang w:val="en-CA"/>
              </w:rPr>
            </w:pPr>
            <w:r w:rsidRPr="006529A7">
              <w:rPr>
                <w:rFonts w:ascii="Arial" w:eastAsia="Calibri" w:hAnsi="Arial"/>
                <w:sz w:val="24"/>
                <w:szCs w:val="22"/>
                <w:lang w:val="en-CA"/>
              </w:rPr>
              <w:t>For each ABO grouping, check that:</w:t>
            </w:r>
            <w:r w:rsidRPr="006529A7">
              <w:rPr>
                <w:rFonts w:ascii="Arial" w:eastAsia="Calibri" w:hAnsi="Arial"/>
                <w:sz w:val="24"/>
                <w:szCs w:val="22"/>
                <w:lang w:val="en-CA"/>
              </w:rPr>
              <w:br/>
            </w:r>
          </w:p>
          <w:p w:rsidR="00B4319E" w:rsidRPr="006529A7" w:rsidRDefault="00B4319E" w:rsidP="006529A7">
            <w:pPr>
              <w:numPr>
                <w:ilvl w:val="0"/>
                <w:numId w:val="21"/>
              </w:numPr>
              <w:contextualSpacing/>
              <w:rPr>
                <w:rFonts w:ascii="Arial" w:eastAsia="Calibri" w:hAnsi="Arial"/>
                <w:sz w:val="24"/>
                <w:szCs w:val="22"/>
                <w:lang w:val="en-CA"/>
              </w:rPr>
            </w:pPr>
            <w:r w:rsidRPr="006529A7">
              <w:rPr>
                <w:rFonts w:ascii="Arial" w:eastAsia="Calibri" w:hAnsi="Arial"/>
                <w:sz w:val="24"/>
                <w:szCs w:val="22"/>
                <w:lang w:val="en-CA"/>
              </w:rPr>
              <w:t>The patient name and identification number are identical on all specimens and on the request form</w:t>
            </w:r>
          </w:p>
          <w:p w:rsidR="00B4319E" w:rsidRPr="006529A7" w:rsidRDefault="00B4319E" w:rsidP="006529A7">
            <w:pPr>
              <w:numPr>
                <w:ilvl w:val="0"/>
                <w:numId w:val="21"/>
              </w:numPr>
              <w:contextualSpacing/>
              <w:rPr>
                <w:rFonts w:ascii="Arial" w:eastAsia="Calibri" w:hAnsi="Arial"/>
                <w:sz w:val="24"/>
                <w:szCs w:val="22"/>
                <w:lang w:val="en-CA"/>
              </w:rPr>
            </w:pPr>
            <w:r w:rsidRPr="006529A7">
              <w:rPr>
                <w:rFonts w:ascii="Arial" w:eastAsia="Calibri" w:hAnsi="Arial"/>
                <w:sz w:val="24"/>
                <w:szCs w:val="22"/>
                <w:lang w:val="en-CA"/>
              </w:rPr>
              <w:t>The patient name is the same on all test tubes and on the request form</w:t>
            </w:r>
          </w:p>
          <w:p w:rsidR="00B4319E" w:rsidRPr="006529A7" w:rsidRDefault="00B4319E" w:rsidP="001A4B12">
            <w:pPr>
              <w:numPr>
                <w:ilvl w:val="0"/>
                <w:numId w:val="21"/>
              </w:numPr>
              <w:contextualSpacing/>
              <w:rPr>
                <w:rFonts w:ascii="Arial" w:eastAsia="Calibri" w:hAnsi="Arial"/>
                <w:sz w:val="24"/>
                <w:szCs w:val="22"/>
                <w:lang w:val="en-CA"/>
              </w:rPr>
            </w:pPr>
            <w:r w:rsidRPr="006529A7">
              <w:rPr>
                <w:rFonts w:ascii="Arial" w:eastAsia="Calibri" w:hAnsi="Arial"/>
                <w:sz w:val="24"/>
                <w:szCs w:val="22"/>
                <w:lang w:val="en-CA"/>
              </w:rPr>
              <w:t>The test results have been interpreted correctly</w:t>
            </w:r>
          </w:p>
        </w:tc>
      </w:tr>
      <w:tr w:rsidR="00B4319E" w:rsidRPr="006529A7" w:rsidTr="001A4B12">
        <w:tc>
          <w:tcPr>
            <w:tcW w:w="2518" w:type="dxa"/>
            <w:shd w:val="clear" w:color="auto" w:fill="auto"/>
          </w:tcPr>
          <w:p w:rsidR="00B4319E" w:rsidRPr="006529A7" w:rsidRDefault="00B4319E" w:rsidP="006529A7">
            <w:pPr>
              <w:numPr>
                <w:ilvl w:val="0"/>
                <w:numId w:val="12"/>
              </w:numPr>
              <w:ind w:left="567" w:hanging="567"/>
              <w:rPr>
                <w:rFonts w:ascii="Arial" w:eastAsia="Calibri" w:hAnsi="Arial"/>
                <w:sz w:val="24"/>
                <w:szCs w:val="22"/>
              </w:rPr>
            </w:pPr>
            <w:r w:rsidRPr="006529A7">
              <w:rPr>
                <w:rFonts w:ascii="Arial" w:eastAsia="Calibri" w:hAnsi="Arial"/>
                <w:sz w:val="24"/>
                <w:szCs w:val="22"/>
              </w:rPr>
              <w:t>Complete paperwork</w:t>
            </w:r>
          </w:p>
        </w:tc>
        <w:tc>
          <w:tcPr>
            <w:tcW w:w="6338" w:type="dxa"/>
            <w:shd w:val="clear" w:color="auto" w:fill="auto"/>
          </w:tcPr>
          <w:p w:rsidR="00B4319E" w:rsidRPr="006529A7" w:rsidRDefault="00B4319E" w:rsidP="006529A7">
            <w:pPr>
              <w:numPr>
                <w:ilvl w:val="0"/>
                <w:numId w:val="22"/>
              </w:numPr>
              <w:ind w:hanging="715"/>
              <w:contextualSpacing/>
              <w:rPr>
                <w:rFonts w:ascii="Arial" w:eastAsia="Calibri" w:hAnsi="Arial"/>
                <w:sz w:val="24"/>
                <w:szCs w:val="22"/>
                <w:lang w:val="en-CA"/>
              </w:rPr>
            </w:pPr>
            <w:r w:rsidRPr="006529A7">
              <w:rPr>
                <w:rFonts w:ascii="Arial" w:eastAsia="Calibri" w:hAnsi="Arial"/>
                <w:sz w:val="24"/>
                <w:szCs w:val="22"/>
                <w:lang w:val="en-CA"/>
              </w:rPr>
              <w:t>Initial or sign and record the completion time and date on the appropriate form or in the computer</w:t>
            </w:r>
          </w:p>
          <w:p w:rsidR="00B4319E" w:rsidRPr="006529A7" w:rsidRDefault="00B4319E" w:rsidP="006529A7">
            <w:pPr>
              <w:numPr>
                <w:ilvl w:val="0"/>
                <w:numId w:val="22"/>
              </w:numPr>
              <w:ind w:hanging="715"/>
              <w:contextualSpacing/>
              <w:rPr>
                <w:rFonts w:ascii="Arial" w:eastAsia="Calibri" w:hAnsi="Arial"/>
                <w:sz w:val="24"/>
                <w:szCs w:val="22"/>
                <w:lang w:val="en-CA"/>
              </w:rPr>
            </w:pPr>
            <w:r w:rsidRPr="006529A7">
              <w:rPr>
                <w:rFonts w:ascii="Arial" w:eastAsia="Calibri" w:hAnsi="Arial"/>
                <w:sz w:val="24"/>
                <w:szCs w:val="22"/>
                <w:lang w:val="en-CA"/>
              </w:rPr>
              <w:t>Verification of results must be recorded</w:t>
            </w:r>
          </w:p>
        </w:tc>
      </w:tr>
    </w:tbl>
    <w:p w:rsidR="00535C12" w:rsidRDefault="00535C12" w:rsidP="00535C12">
      <w:pPr>
        <w:ind w:left="525"/>
        <w:rPr>
          <w:rFonts w:ascii="Arial" w:hAnsi="Arial"/>
          <w:b/>
          <w:sz w:val="28"/>
        </w:rPr>
      </w:pPr>
    </w:p>
    <w:p w:rsidR="00E50892" w:rsidRDefault="00E50892" w:rsidP="00535C12">
      <w:pPr>
        <w:numPr>
          <w:ilvl w:val="0"/>
          <w:numId w:val="24"/>
        </w:numPr>
        <w:rPr>
          <w:rFonts w:ascii="Arial" w:hAnsi="Arial"/>
          <w:b/>
          <w:sz w:val="28"/>
        </w:rPr>
      </w:pPr>
      <w:r>
        <w:rPr>
          <w:rFonts w:ascii="Arial" w:hAnsi="Arial"/>
          <w:b/>
          <w:sz w:val="28"/>
        </w:rPr>
        <w:t>Reporting</w:t>
      </w:r>
    </w:p>
    <w:p w:rsidR="00E50892" w:rsidRDefault="00E50892">
      <w:pPr>
        <w:rPr>
          <w:rFonts w:ascii="Arial" w:hAnsi="Arial"/>
          <w:sz w:val="24"/>
        </w:rPr>
      </w:pPr>
    </w:p>
    <w:p w:rsidR="00E50892" w:rsidRDefault="00E50892" w:rsidP="00535C12">
      <w:pPr>
        <w:numPr>
          <w:ilvl w:val="1"/>
          <w:numId w:val="25"/>
        </w:numPr>
        <w:rPr>
          <w:rFonts w:ascii="Arial" w:hAnsi="Arial"/>
          <w:sz w:val="24"/>
        </w:rPr>
      </w:pPr>
      <w:r>
        <w:rPr>
          <w:rFonts w:ascii="Arial" w:hAnsi="Arial"/>
          <w:sz w:val="24"/>
        </w:rPr>
        <w:t>Hemagglutination tests should react as follows:</w:t>
      </w:r>
    </w:p>
    <w:p w:rsidR="00E50892" w:rsidRDefault="00E50892">
      <w:pPr>
        <w:ind w:left="720"/>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395"/>
        <w:gridCol w:w="1395"/>
        <w:gridCol w:w="1395"/>
        <w:gridCol w:w="1728"/>
      </w:tblGrid>
      <w:tr w:rsidR="00E50892">
        <w:trPr>
          <w:jc w:val="center"/>
        </w:trPr>
        <w:tc>
          <w:tcPr>
            <w:tcW w:w="2790" w:type="dxa"/>
            <w:gridSpan w:val="2"/>
            <w:tcBorders>
              <w:right w:val="single" w:sz="4" w:space="0" w:color="auto"/>
            </w:tcBorders>
          </w:tcPr>
          <w:p w:rsidR="00E50892" w:rsidRDefault="00E50892">
            <w:pPr>
              <w:pStyle w:val="Heading1"/>
              <w:rPr>
                <w:sz w:val="20"/>
                <w:lang w:val="fr-CA"/>
              </w:rPr>
            </w:pPr>
            <w:r>
              <w:rPr>
                <w:sz w:val="20"/>
                <w:lang w:val="fr-CA"/>
              </w:rPr>
              <w:t>Patient cells vs</w:t>
            </w:r>
          </w:p>
        </w:tc>
        <w:tc>
          <w:tcPr>
            <w:tcW w:w="2790" w:type="dxa"/>
            <w:gridSpan w:val="2"/>
            <w:tcBorders>
              <w:left w:val="single" w:sz="4" w:space="0" w:color="auto"/>
              <w:right w:val="single" w:sz="4" w:space="0" w:color="auto"/>
            </w:tcBorders>
          </w:tcPr>
          <w:p w:rsidR="00E50892" w:rsidRDefault="00E50892">
            <w:pPr>
              <w:jc w:val="center"/>
              <w:rPr>
                <w:rFonts w:ascii="Arial" w:hAnsi="Arial"/>
                <w:lang w:val="fr-CA"/>
              </w:rPr>
            </w:pPr>
            <w:r>
              <w:rPr>
                <w:rFonts w:ascii="Arial" w:hAnsi="Arial"/>
                <w:lang w:val="fr-CA"/>
              </w:rPr>
              <w:t>Plasma vs</w:t>
            </w:r>
          </w:p>
        </w:tc>
        <w:tc>
          <w:tcPr>
            <w:tcW w:w="1728" w:type="dxa"/>
            <w:tcBorders>
              <w:left w:val="single" w:sz="4" w:space="0" w:color="auto"/>
            </w:tcBorders>
          </w:tcPr>
          <w:p w:rsidR="00E50892" w:rsidRDefault="00E50892">
            <w:pPr>
              <w:jc w:val="center"/>
              <w:rPr>
                <w:rFonts w:ascii="Arial" w:hAnsi="Arial"/>
                <w:lang w:val="fr-CA"/>
              </w:rPr>
            </w:pPr>
            <w:r>
              <w:rPr>
                <w:rFonts w:ascii="Arial" w:hAnsi="Arial"/>
                <w:lang w:val="fr-CA"/>
              </w:rPr>
              <w:t>Interpretation</w:t>
            </w:r>
          </w:p>
        </w:tc>
      </w:tr>
      <w:tr w:rsidR="00E50892">
        <w:trPr>
          <w:cantSplit/>
          <w:jc w:val="center"/>
        </w:trPr>
        <w:tc>
          <w:tcPr>
            <w:tcW w:w="1395" w:type="dxa"/>
          </w:tcPr>
          <w:p w:rsidR="00E50892" w:rsidRDefault="00E50892">
            <w:pPr>
              <w:jc w:val="center"/>
              <w:rPr>
                <w:rFonts w:ascii="Arial" w:hAnsi="Arial"/>
              </w:rPr>
            </w:pPr>
            <w:r>
              <w:rPr>
                <w:rFonts w:ascii="Arial" w:hAnsi="Arial"/>
              </w:rPr>
              <w:t>ANTI-A</w:t>
            </w:r>
          </w:p>
        </w:tc>
        <w:tc>
          <w:tcPr>
            <w:tcW w:w="1395" w:type="dxa"/>
          </w:tcPr>
          <w:p w:rsidR="00E50892" w:rsidRDefault="00E50892">
            <w:pPr>
              <w:jc w:val="center"/>
              <w:rPr>
                <w:rFonts w:ascii="Arial" w:hAnsi="Arial"/>
              </w:rPr>
            </w:pPr>
            <w:r>
              <w:rPr>
                <w:rFonts w:ascii="Arial" w:hAnsi="Arial"/>
              </w:rPr>
              <w:t>ANTI-B</w:t>
            </w:r>
          </w:p>
        </w:tc>
        <w:tc>
          <w:tcPr>
            <w:tcW w:w="1395" w:type="dxa"/>
          </w:tcPr>
          <w:p w:rsidR="00E50892" w:rsidRDefault="00E50892">
            <w:pPr>
              <w:jc w:val="center"/>
              <w:rPr>
                <w:rFonts w:ascii="Arial" w:hAnsi="Arial"/>
              </w:rPr>
            </w:pPr>
            <w:r>
              <w:rPr>
                <w:rFonts w:ascii="Arial" w:hAnsi="Arial"/>
              </w:rPr>
              <w:t>A</w:t>
            </w:r>
            <w:r>
              <w:rPr>
                <w:rFonts w:ascii="Arial" w:hAnsi="Arial"/>
                <w:vertAlign w:val="subscript"/>
              </w:rPr>
              <w:t>1</w:t>
            </w:r>
            <w:r>
              <w:rPr>
                <w:rFonts w:ascii="Arial" w:hAnsi="Arial"/>
              </w:rPr>
              <w:t xml:space="preserve"> CELLS</w:t>
            </w:r>
          </w:p>
        </w:tc>
        <w:tc>
          <w:tcPr>
            <w:tcW w:w="1395" w:type="dxa"/>
          </w:tcPr>
          <w:p w:rsidR="00E50892" w:rsidRDefault="00E50892">
            <w:pPr>
              <w:jc w:val="center"/>
              <w:rPr>
                <w:rFonts w:ascii="Arial" w:hAnsi="Arial"/>
              </w:rPr>
            </w:pPr>
            <w:r>
              <w:rPr>
                <w:rFonts w:ascii="Arial" w:hAnsi="Arial"/>
              </w:rPr>
              <w:t>B CELLS</w:t>
            </w:r>
          </w:p>
        </w:tc>
        <w:tc>
          <w:tcPr>
            <w:tcW w:w="1728" w:type="dxa"/>
          </w:tcPr>
          <w:p w:rsidR="00E50892" w:rsidRDefault="00E50892">
            <w:pPr>
              <w:jc w:val="center"/>
              <w:rPr>
                <w:rFonts w:ascii="Arial" w:hAnsi="Arial"/>
              </w:rPr>
            </w:pPr>
            <w:r>
              <w:rPr>
                <w:rFonts w:ascii="Arial" w:hAnsi="Arial"/>
              </w:rPr>
              <w:t>GROUP</w:t>
            </w:r>
          </w:p>
        </w:tc>
      </w:tr>
      <w:tr w:rsidR="00E50892">
        <w:trPr>
          <w:cantSplit/>
          <w:jc w:val="center"/>
        </w:trPr>
        <w:tc>
          <w:tcPr>
            <w:tcW w:w="1395" w:type="dxa"/>
          </w:tcPr>
          <w:p w:rsidR="00E50892" w:rsidRDefault="00E50892">
            <w:pPr>
              <w:jc w:val="center"/>
              <w:rPr>
                <w:rFonts w:ascii="Arial" w:hAnsi="Arial"/>
              </w:rPr>
            </w:pPr>
            <w:r>
              <w:rPr>
                <w:rFonts w:ascii="Arial" w:hAnsi="Arial"/>
              </w:rPr>
              <w:t>Neg</w:t>
            </w:r>
          </w:p>
        </w:tc>
        <w:tc>
          <w:tcPr>
            <w:tcW w:w="1395" w:type="dxa"/>
          </w:tcPr>
          <w:p w:rsidR="00E50892" w:rsidRDefault="00E50892">
            <w:pPr>
              <w:jc w:val="center"/>
              <w:rPr>
                <w:rFonts w:ascii="Arial" w:hAnsi="Arial"/>
              </w:rPr>
            </w:pPr>
            <w:r>
              <w:rPr>
                <w:rFonts w:ascii="Arial" w:hAnsi="Arial"/>
              </w:rPr>
              <w:t>Neg</w:t>
            </w:r>
          </w:p>
        </w:tc>
        <w:tc>
          <w:tcPr>
            <w:tcW w:w="1395" w:type="dxa"/>
          </w:tcPr>
          <w:p w:rsidR="00E50892" w:rsidRDefault="00E50892">
            <w:pPr>
              <w:jc w:val="center"/>
              <w:rPr>
                <w:rFonts w:ascii="Arial" w:hAnsi="Arial"/>
              </w:rPr>
            </w:pPr>
            <w:r>
              <w:rPr>
                <w:rFonts w:ascii="Arial" w:hAnsi="Arial"/>
              </w:rPr>
              <w:t>= or &gt; 2</w:t>
            </w:r>
          </w:p>
        </w:tc>
        <w:tc>
          <w:tcPr>
            <w:tcW w:w="1395" w:type="dxa"/>
          </w:tcPr>
          <w:p w:rsidR="00E50892" w:rsidRDefault="00E50892">
            <w:pPr>
              <w:jc w:val="center"/>
              <w:rPr>
                <w:rFonts w:ascii="Arial" w:hAnsi="Arial"/>
              </w:rPr>
            </w:pPr>
            <w:r>
              <w:rPr>
                <w:rFonts w:ascii="Arial" w:hAnsi="Arial"/>
              </w:rPr>
              <w:t>= or &gt; 2</w:t>
            </w:r>
          </w:p>
        </w:tc>
        <w:tc>
          <w:tcPr>
            <w:tcW w:w="1728" w:type="dxa"/>
          </w:tcPr>
          <w:p w:rsidR="00E50892" w:rsidRDefault="00E50892">
            <w:pPr>
              <w:jc w:val="center"/>
              <w:rPr>
                <w:rFonts w:ascii="Arial" w:hAnsi="Arial"/>
              </w:rPr>
            </w:pPr>
            <w:r>
              <w:rPr>
                <w:rFonts w:ascii="Arial" w:hAnsi="Arial"/>
              </w:rPr>
              <w:t>O</w:t>
            </w:r>
          </w:p>
        </w:tc>
      </w:tr>
      <w:tr w:rsidR="00E50892">
        <w:trPr>
          <w:cantSplit/>
          <w:jc w:val="center"/>
        </w:trPr>
        <w:tc>
          <w:tcPr>
            <w:tcW w:w="1395" w:type="dxa"/>
          </w:tcPr>
          <w:p w:rsidR="00E50892" w:rsidRDefault="00E50892">
            <w:pPr>
              <w:jc w:val="center"/>
              <w:rPr>
                <w:rFonts w:ascii="Arial" w:hAnsi="Arial"/>
              </w:rPr>
            </w:pPr>
            <w:r>
              <w:rPr>
                <w:rFonts w:ascii="Arial" w:hAnsi="Arial"/>
              </w:rPr>
              <w:t xml:space="preserve">= or &gt; </w:t>
            </w:r>
            <w:r w:rsidR="008C233D">
              <w:rPr>
                <w:rFonts w:ascii="Arial" w:hAnsi="Arial"/>
              </w:rPr>
              <w:t>2</w:t>
            </w:r>
          </w:p>
        </w:tc>
        <w:tc>
          <w:tcPr>
            <w:tcW w:w="1395" w:type="dxa"/>
          </w:tcPr>
          <w:p w:rsidR="00E50892" w:rsidRDefault="00E50892">
            <w:pPr>
              <w:jc w:val="center"/>
              <w:rPr>
                <w:rFonts w:ascii="Arial" w:hAnsi="Arial"/>
              </w:rPr>
            </w:pPr>
            <w:r>
              <w:rPr>
                <w:rFonts w:ascii="Arial" w:hAnsi="Arial"/>
              </w:rPr>
              <w:t>Neg</w:t>
            </w:r>
          </w:p>
        </w:tc>
        <w:tc>
          <w:tcPr>
            <w:tcW w:w="1395" w:type="dxa"/>
          </w:tcPr>
          <w:p w:rsidR="00E50892" w:rsidRDefault="00E50892">
            <w:pPr>
              <w:jc w:val="center"/>
              <w:rPr>
                <w:rFonts w:ascii="Arial" w:hAnsi="Arial"/>
              </w:rPr>
            </w:pPr>
            <w:r>
              <w:rPr>
                <w:rFonts w:ascii="Arial" w:hAnsi="Arial"/>
              </w:rPr>
              <w:t>Neg</w:t>
            </w:r>
          </w:p>
        </w:tc>
        <w:tc>
          <w:tcPr>
            <w:tcW w:w="1395" w:type="dxa"/>
          </w:tcPr>
          <w:p w:rsidR="00E50892" w:rsidRDefault="00E50892">
            <w:pPr>
              <w:jc w:val="center"/>
              <w:rPr>
                <w:rFonts w:ascii="Arial" w:hAnsi="Arial"/>
              </w:rPr>
            </w:pPr>
            <w:r>
              <w:rPr>
                <w:rFonts w:ascii="Arial" w:hAnsi="Arial"/>
              </w:rPr>
              <w:t>= or &gt; 2</w:t>
            </w:r>
          </w:p>
        </w:tc>
        <w:tc>
          <w:tcPr>
            <w:tcW w:w="1728" w:type="dxa"/>
          </w:tcPr>
          <w:p w:rsidR="00E50892" w:rsidRDefault="00E50892">
            <w:pPr>
              <w:jc w:val="center"/>
              <w:rPr>
                <w:rFonts w:ascii="Arial" w:hAnsi="Arial"/>
              </w:rPr>
            </w:pPr>
            <w:r>
              <w:rPr>
                <w:rFonts w:ascii="Arial" w:hAnsi="Arial"/>
              </w:rPr>
              <w:t>A</w:t>
            </w:r>
          </w:p>
        </w:tc>
      </w:tr>
      <w:tr w:rsidR="00E50892">
        <w:trPr>
          <w:cantSplit/>
          <w:jc w:val="center"/>
        </w:trPr>
        <w:tc>
          <w:tcPr>
            <w:tcW w:w="1395" w:type="dxa"/>
          </w:tcPr>
          <w:p w:rsidR="00E50892" w:rsidRDefault="00E50892">
            <w:pPr>
              <w:jc w:val="center"/>
              <w:rPr>
                <w:rFonts w:ascii="Arial" w:hAnsi="Arial"/>
              </w:rPr>
            </w:pPr>
            <w:r>
              <w:rPr>
                <w:rFonts w:ascii="Arial" w:hAnsi="Arial"/>
              </w:rPr>
              <w:t>Neg</w:t>
            </w:r>
          </w:p>
        </w:tc>
        <w:tc>
          <w:tcPr>
            <w:tcW w:w="1395" w:type="dxa"/>
          </w:tcPr>
          <w:p w:rsidR="00E50892" w:rsidRDefault="00E50892">
            <w:pPr>
              <w:jc w:val="center"/>
              <w:rPr>
                <w:rFonts w:ascii="Arial" w:hAnsi="Arial"/>
              </w:rPr>
            </w:pPr>
            <w:r>
              <w:rPr>
                <w:rFonts w:ascii="Arial" w:hAnsi="Arial"/>
              </w:rPr>
              <w:t xml:space="preserve">= or &gt; </w:t>
            </w:r>
            <w:r w:rsidR="008C233D">
              <w:rPr>
                <w:rFonts w:ascii="Arial" w:hAnsi="Arial"/>
              </w:rPr>
              <w:t>2</w:t>
            </w:r>
          </w:p>
        </w:tc>
        <w:tc>
          <w:tcPr>
            <w:tcW w:w="1395" w:type="dxa"/>
          </w:tcPr>
          <w:p w:rsidR="00E50892" w:rsidRDefault="00E50892">
            <w:pPr>
              <w:jc w:val="center"/>
              <w:rPr>
                <w:rFonts w:ascii="Arial" w:hAnsi="Arial"/>
              </w:rPr>
            </w:pPr>
            <w:r>
              <w:rPr>
                <w:rFonts w:ascii="Arial" w:hAnsi="Arial"/>
              </w:rPr>
              <w:t>= or &gt; 2</w:t>
            </w:r>
          </w:p>
        </w:tc>
        <w:tc>
          <w:tcPr>
            <w:tcW w:w="1395" w:type="dxa"/>
          </w:tcPr>
          <w:p w:rsidR="00E50892" w:rsidRDefault="00E50892">
            <w:pPr>
              <w:jc w:val="center"/>
              <w:rPr>
                <w:rFonts w:ascii="Arial" w:hAnsi="Arial"/>
              </w:rPr>
            </w:pPr>
            <w:r>
              <w:rPr>
                <w:rFonts w:ascii="Arial" w:hAnsi="Arial"/>
              </w:rPr>
              <w:t>Neg</w:t>
            </w:r>
          </w:p>
        </w:tc>
        <w:tc>
          <w:tcPr>
            <w:tcW w:w="1728" w:type="dxa"/>
          </w:tcPr>
          <w:p w:rsidR="00E50892" w:rsidRDefault="00E50892">
            <w:pPr>
              <w:jc w:val="center"/>
              <w:rPr>
                <w:rFonts w:ascii="Arial" w:hAnsi="Arial"/>
              </w:rPr>
            </w:pPr>
            <w:r>
              <w:rPr>
                <w:rFonts w:ascii="Arial" w:hAnsi="Arial"/>
              </w:rPr>
              <w:t>B</w:t>
            </w:r>
          </w:p>
        </w:tc>
      </w:tr>
      <w:tr w:rsidR="00E50892">
        <w:trPr>
          <w:cantSplit/>
          <w:jc w:val="center"/>
        </w:trPr>
        <w:tc>
          <w:tcPr>
            <w:tcW w:w="1395" w:type="dxa"/>
          </w:tcPr>
          <w:p w:rsidR="00E50892" w:rsidRDefault="00E50892">
            <w:pPr>
              <w:jc w:val="center"/>
              <w:rPr>
                <w:rFonts w:ascii="Arial" w:hAnsi="Arial"/>
              </w:rPr>
            </w:pPr>
            <w:r>
              <w:rPr>
                <w:rFonts w:ascii="Arial" w:hAnsi="Arial"/>
              </w:rPr>
              <w:t xml:space="preserve">= or &gt; </w:t>
            </w:r>
            <w:r w:rsidR="008C233D">
              <w:rPr>
                <w:rFonts w:ascii="Arial" w:hAnsi="Arial"/>
              </w:rPr>
              <w:t>2</w:t>
            </w:r>
          </w:p>
        </w:tc>
        <w:tc>
          <w:tcPr>
            <w:tcW w:w="1395" w:type="dxa"/>
          </w:tcPr>
          <w:p w:rsidR="00E50892" w:rsidRDefault="00E50892">
            <w:pPr>
              <w:jc w:val="center"/>
              <w:rPr>
                <w:rFonts w:ascii="Arial" w:hAnsi="Arial"/>
              </w:rPr>
            </w:pPr>
            <w:r>
              <w:rPr>
                <w:rFonts w:ascii="Arial" w:hAnsi="Arial"/>
              </w:rPr>
              <w:t xml:space="preserve">= or &gt; </w:t>
            </w:r>
            <w:r w:rsidR="008C233D">
              <w:rPr>
                <w:rFonts w:ascii="Arial" w:hAnsi="Arial"/>
              </w:rPr>
              <w:t>2</w:t>
            </w:r>
          </w:p>
        </w:tc>
        <w:tc>
          <w:tcPr>
            <w:tcW w:w="1395" w:type="dxa"/>
          </w:tcPr>
          <w:p w:rsidR="00E50892" w:rsidRDefault="00E50892">
            <w:pPr>
              <w:jc w:val="center"/>
              <w:rPr>
                <w:rFonts w:ascii="Arial" w:hAnsi="Arial"/>
              </w:rPr>
            </w:pPr>
            <w:r>
              <w:rPr>
                <w:rFonts w:ascii="Arial" w:hAnsi="Arial"/>
              </w:rPr>
              <w:t>Neg</w:t>
            </w:r>
          </w:p>
        </w:tc>
        <w:tc>
          <w:tcPr>
            <w:tcW w:w="1395" w:type="dxa"/>
          </w:tcPr>
          <w:p w:rsidR="00E50892" w:rsidRDefault="00E50892">
            <w:pPr>
              <w:jc w:val="center"/>
              <w:rPr>
                <w:rFonts w:ascii="Arial" w:hAnsi="Arial"/>
              </w:rPr>
            </w:pPr>
            <w:r>
              <w:rPr>
                <w:rFonts w:ascii="Arial" w:hAnsi="Arial"/>
              </w:rPr>
              <w:t>Neg</w:t>
            </w:r>
          </w:p>
        </w:tc>
        <w:tc>
          <w:tcPr>
            <w:tcW w:w="1728" w:type="dxa"/>
          </w:tcPr>
          <w:p w:rsidR="00E50892" w:rsidRDefault="00E50892">
            <w:pPr>
              <w:jc w:val="center"/>
              <w:rPr>
                <w:rFonts w:ascii="Arial" w:hAnsi="Arial"/>
              </w:rPr>
            </w:pPr>
            <w:r>
              <w:rPr>
                <w:rFonts w:ascii="Arial" w:hAnsi="Arial"/>
              </w:rPr>
              <w:t>AB</w:t>
            </w:r>
          </w:p>
        </w:tc>
      </w:tr>
    </w:tbl>
    <w:p w:rsidR="00E50892" w:rsidRDefault="00E50892">
      <w:pPr>
        <w:ind w:left="720"/>
        <w:rPr>
          <w:rFonts w:ascii="Arial" w:hAnsi="Arial"/>
          <w:sz w:val="24"/>
        </w:rPr>
      </w:pPr>
      <w:r>
        <w:rPr>
          <w:rFonts w:ascii="Arial" w:hAnsi="Arial"/>
          <w:sz w:val="24"/>
        </w:rPr>
        <w:t>“= or &gt;”: equal to or greater than</w:t>
      </w:r>
    </w:p>
    <w:p w:rsidR="00E50892" w:rsidRDefault="00E50892">
      <w:pPr>
        <w:ind w:left="720"/>
        <w:rPr>
          <w:rFonts w:ascii="Arial" w:hAnsi="Arial"/>
          <w:sz w:val="24"/>
        </w:rPr>
      </w:pPr>
    </w:p>
    <w:p w:rsidR="00E50892" w:rsidRDefault="00E50892" w:rsidP="00535C12">
      <w:pPr>
        <w:numPr>
          <w:ilvl w:val="2"/>
          <w:numId w:val="25"/>
        </w:numPr>
        <w:rPr>
          <w:rFonts w:ascii="Arial" w:hAnsi="Arial"/>
          <w:sz w:val="24"/>
        </w:rPr>
      </w:pPr>
      <w:r>
        <w:rPr>
          <w:rFonts w:ascii="Arial" w:hAnsi="Arial"/>
          <w:sz w:val="24"/>
        </w:rPr>
        <w:t xml:space="preserve">Antisera (-A and/or –B) and patient cells should react grade </w:t>
      </w:r>
      <w:r w:rsidR="008C233D">
        <w:rPr>
          <w:rFonts w:ascii="Arial" w:hAnsi="Arial"/>
          <w:sz w:val="24"/>
        </w:rPr>
        <w:t>2</w:t>
      </w:r>
      <w:r>
        <w:rPr>
          <w:rFonts w:ascii="Arial" w:hAnsi="Arial"/>
          <w:sz w:val="24"/>
        </w:rPr>
        <w:t xml:space="preserve"> or stronger (forward group).</w:t>
      </w:r>
      <w:r w:rsidR="008C233D" w:rsidRPr="008C233D">
        <w:rPr>
          <w:rFonts w:ascii="Arial" w:hAnsi="Arial"/>
          <w:sz w:val="24"/>
          <w:szCs w:val="24"/>
          <w:vertAlign w:val="superscript"/>
        </w:rPr>
        <w:t>9.4</w:t>
      </w:r>
    </w:p>
    <w:p w:rsidR="00E50892" w:rsidRDefault="00E50892">
      <w:pPr>
        <w:ind w:left="1440"/>
        <w:rPr>
          <w:rFonts w:ascii="Arial" w:hAnsi="Arial"/>
          <w:sz w:val="24"/>
        </w:rPr>
      </w:pPr>
    </w:p>
    <w:p w:rsidR="00E50892" w:rsidRDefault="00E50892" w:rsidP="00535C12">
      <w:pPr>
        <w:numPr>
          <w:ilvl w:val="2"/>
          <w:numId w:val="25"/>
        </w:numPr>
        <w:rPr>
          <w:rFonts w:ascii="Arial" w:hAnsi="Arial"/>
          <w:sz w:val="24"/>
        </w:rPr>
      </w:pPr>
      <w:r>
        <w:rPr>
          <w:rFonts w:ascii="Arial" w:hAnsi="Arial"/>
          <w:sz w:val="24"/>
        </w:rPr>
        <w:t>A</w:t>
      </w:r>
      <w:r>
        <w:rPr>
          <w:rFonts w:ascii="Arial" w:hAnsi="Arial"/>
          <w:sz w:val="24"/>
          <w:vertAlign w:val="subscript"/>
        </w:rPr>
        <w:t>1</w:t>
      </w:r>
      <w:r>
        <w:rPr>
          <w:rFonts w:ascii="Arial" w:hAnsi="Arial"/>
          <w:sz w:val="24"/>
        </w:rPr>
        <w:t xml:space="preserve"> and B reagent red cells should react grade 2 or stronger with patient plasma (reverse group).</w:t>
      </w:r>
      <w:r w:rsidR="008C233D" w:rsidRPr="008C233D">
        <w:rPr>
          <w:rFonts w:ascii="Arial" w:hAnsi="Arial"/>
          <w:sz w:val="24"/>
          <w:szCs w:val="24"/>
          <w:vertAlign w:val="superscript"/>
        </w:rPr>
        <w:t>9.4</w:t>
      </w:r>
    </w:p>
    <w:p w:rsidR="00E50892" w:rsidRDefault="00E50892">
      <w:pPr>
        <w:rPr>
          <w:rFonts w:ascii="Arial" w:hAnsi="Arial"/>
          <w:sz w:val="24"/>
        </w:rPr>
      </w:pPr>
    </w:p>
    <w:p w:rsidR="00E50892" w:rsidRDefault="00E50892" w:rsidP="00535C12">
      <w:pPr>
        <w:numPr>
          <w:ilvl w:val="2"/>
          <w:numId w:val="25"/>
        </w:numPr>
        <w:rPr>
          <w:rFonts w:ascii="Arial" w:hAnsi="Arial"/>
          <w:sz w:val="24"/>
        </w:rPr>
      </w:pPr>
      <w:r>
        <w:rPr>
          <w:rFonts w:ascii="Arial" w:hAnsi="Arial"/>
          <w:sz w:val="24"/>
        </w:rPr>
        <w:t>Hemolysis is an acceptable reaction in reverse group.  Hemolysis must be interpreted as a positive reaction.</w:t>
      </w:r>
    </w:p>
    <w:p w:rsidR="00DE3591" w:rsidRDefault="00DE3591" w:rsidP="001426A0">
      <w:pPr>
        <w:pStyle w:val="ListParagraph"/>
        <w:rPr>
          <w:rFonts w:ascii="Arial" w:hAnsi="Arial"/>
          <w:sz w:val="24"/>
        </w:rPr>
      </w:pPr>
    </w:p>
    <w:p w:rsidR="00DE3591" w:rsidRDefault="00DE3591" w:rsidP="00535C12">
      <w:pPr>
        <w:numPr>
          <w:ilvl w:val="1"/>
          <w:numId w:val="25"/>
        </w:numPr>
        <w:rPr>
          <w:rFonts w:ascii="Arial" w:hAnsi="Arial"/>
          <w:sz w:val="24"/>
        </w:rPr>
      </w:pPr>
      <w:r>
        <w:rPr>
          <w:rFonts w:ascii="Arial" w:hAnsi="Arial"/>
          <w:sz w:val="24"/>
        </w:rPr>
        <w:t>For specimens showing positive reactions with Anti-A and Anti-B e.g. AB a concurrent control must be performed on the patient’s cells</w:t>
      </w:r>
    </w:p>
    <w:p w:rsidR="00E50892" w:rsidRDefault="00E50892">
      <w:pPr>
        <w:rPr>
          <w:rFonts w:ascii="Arial" w:hAnsi="Arial"/>
          <w:sz w:val="24"/>
        </w:rPr>
      </w:pPr>
    </w:p>
    <w:p w:rsidR="00E50892" w:rsidRDefault="00E50892" w:rsidP="00535C12">
      <w:pPr>
        <w:numPr>
          <w:ilvl w:val="0"/>
          <w:numId w:val="25"/>
        </w:numPr>
        <w:rPr>
          <w:rFonts w:ascii="Arial" w:hAnsi="Arial"/>
          <w:b/>
          <w:sz w:val="28"/>
        </w:rPr>
      </w:pPr>
      <w:r>
        <w:rPr>
          <w:rFonts w:ascii="Arial" w:hAnsi="Arial"/>
          <w:b/>
          <w:sz w:val="28"/>
        </w:rPr>
        <w:t>Procedural Notes</w:t>
      </w:r>
    </w:p>
    <w:p w:rsidR="00E50892" w:rsidRDefault="00E50892">
      <w:pPr>
        <w:rPr>
          <w:rFonts w:ascii="Arial" w:hAnsi="Arial"/>
          <w:sz w:val="24"/>
        </w:rPr>
      </w:pPr>
    </w:p>
    <w:p w:rsidR="00E50892" w:rsidRDefault="00E50892" w:rsidP="00535C12">
      <w:pPr>
        <w:numPr>
          <w:ilvl w:val="1"/>
          <w:numId w:val="25"/>
        </w:numPr>
        <w:rPr>
          <w:rFonts w:ascii="Arial" w:hAnsi="Arial"/>
          <w:sz w:val="24"/>
        </w:rPr>
      </w:pPr>
      <w:r>
        <w:rPr>
          <w:rFonts w:ascii="Arial" w:hAnsi="Arial"/>
          <w:sz w:val="24"/>
        </w:rPr>
        <w:t>Centrifuge the tubes</w:t>
      </w:r>
      <w:r w:rsidR="008C233D">
        <w:rPr>
          <w:rFonts w:ascii="Arial" w:hAnsi="Arial"/>
          <w:sz w:val="24"/>
        </w:rPr>
        <w:t>:</w:t>
      </w:r>
    </w:p>
    <w:p w:rsidR="00E50892" w:rsidRDefault="00E50892">
      <w:pPr>
        <w:rPr>
          <w:rFonts w:ascii="Arial" w:hAnsi="Arial"/>
          <w:sz w:val="24"/>
        </w:rPr>
      </w:pPr>
    </w:p>
    <w:p w:rsidR="00E50892" w:rsidRDefault="00E50892" w:rsidP="00535C12">
      <w:pPr>
        <w:numPr>
          <w:ilvl w:val="2"/>
          <w:numId w:val="25"/>
        </w:numPr>
        <w:rPr>
          <w:rFonts w:ascii="Arial" w:hAnsi="Arial"/>
          <w:sz w:val="24"/>
        </w:rPr>
      </w:pPr>
      <w:r>
        <w:rPr>
          <w:rFonts w:ascii="Arial" w:hAnsi="Arial"/>
          <w:sz w:val="24"/>
        </w:rPr>
        <w:t xml:space="preserve">If only one patient specimen is being tested, place the tubes </w:t>
      </w:r>
    </w:p>
    <w:p w:rsidR="00E50892" w:rsidRDefault="00E50892" w:rsidP="00535C12">
      <w:pPr>
        <w:ind w:left="1287"/>
        <w:rPr>
          <w:rFonts w:ascii="Arial" w:hAnsi="Arial"/>
          <w:sz w:val="24"/>
        </w:rPr>
      </w:pPr>
      <w:r>
        <w:rPr>
          <w:rFonts w:ascii="Arial" w:hAnsi="Arial"/>
          <w:sz w:val="24"/>
        </w:rPr>
        <w:t>labeled –A and –B in one side of the serological centrifuge and the tubes A</w:t>
      </w:r>
      <w:r>
        <w:rPr>
          <w:rFonts w:ascii="Arial" w:hAnsi="Arial"/>
          <w:sz w:val="24"/>
          <w:vertAlign w:val="subscript"/>
        </w:rPr>
        <w:t>1</w:t>
      </w:r>
      <w:r>
        <w:rPr>
          <w:rFonts w:ascii="Arial" w:hAnsi="Arial"/>
          <w:sz w:val="24"/>
        </w:rPr>
        <w:t>C and BC on the other side.</w:t>
      </w:r>
    </w:p>
    <w:p w:rsidR="00E50892" w:rsidRDefault="00E50892">
      <w:pPr>
        <w:ind w:left="1440"/>
        <w:rPr>
          <w:rFonts w:ascii="Arial" w:hAnsi="Arial"/>
          <w:sz w:val="24"/>
        </w:rPr>
      </w:pPr>
    </w:p>
    <w:p w:rsidR="00E50892" w:rsidRDefault="00E50892" w:rsidP="00535C12">
      <w:pPr>
        <w:numPr>
          <w:ilvl w:val="2"/>
          <w:numId w:val="25"/>
        </w:numPr>
        <w:rPr>
          <w:rFonts w:ascii="Arial" w:hAnsi="Arial"/>
          <w:sz w:val="24"/>
        </w:rPr>
      </w:pPr>
      <w:r>
        <w:rPr>
          <w:rFonts w:ascii="Arial" w:hAnsi="Arial"/>
          <w:sz w:val="24"/>
        </w:rPr>
        <w:t>If more than one patient is being tested, keep each patient’s set of tubes in the following order: -A, -B, A</w:t>
      </w:r>
      <w:r>
        <w:rPr>
          <w:rFonts w:ascii="Arial" w:hAnsi="Arial"/>
          <w:sz w:val="24"/>
          <w:vertAlign w:val="subscript"/>
        </w:rPr>
        <w:t>1</w:t>
      </w:r>
      <w:r>
        <w:rPr>
          <w:rFonts w:ascii="Arial" w:hAnsi="Arial"/>
          <w:sz w:val="24"/>
        </w:rPr>
        <w:t>C, BC. Place each set of tubes opposite to each other to balance the serologic centrifuge.</w:t>
      </w:r>
    </w:p>
    <w:p w:rsidR="00FB05B7" w:rsidRDefault="00FB05B7" w:rsidP="00FB05B7">
      <w:pPr>
        <w:ind w:left="1440"/>
        <w:rPr>
          <w:rFonts w:ascii="Arial" w:hAnsi="Arial"/>
          <w:sz w:val="24"/>
        </w:rPr>
      </w:pPr>
    </w:p>
    <w:p w:rsidR="00535C12" w:rsidRDefault="00FB05B7" w:rsidP="00535C12">
      <w:pPr>
        <w:numPr>
          <w:ilvl w:val="1"/>
          <w:numId w:val="25"/>
        </w:numPr>
        <w:rPr>
          <w:rFonts w:ascii="Arial" w:hAnsi="Arial"/>
          <w:sz w:val="24"/>
        </w:rPr>
      </w:pPr>
      <w:r w:rsidRPr="00FB05B7">
        <w:rPr>
          <w:rFonts w:ascii="Arial" w:hAnsi="Arial"/>
          <w:sz w:val="24"/>
        </w:rPr>
        <w:t>Haematopoietic  cell</w:t>
      </w:r>
      <w:r w:rsidR="001C6B9D">
        <w:rPr>
          <w:rFonts w:ascii="Arial" w:hAnsi="Arial"/>
          <w:sz w:val="24"/>
        </w:rPr>
        <w:t xml:space="preserve"> (HPC) (collected by apheresis, cord or bone marrow)</w:t>
      </w:r>
      <w:r w:rsidRPr="00FB05B7">
        <w:rPr>
          <w:rFonts w:ascii="Arial" w:hAnsi="Arial"/>
          <w:sz w:val="24"/>
        </w:rPr>
        <w:t xml:space="preserve"> transplant : In cases of ABO discrepancies where the patient is a known recipient of an ABO incompatible HSCT, the ABO discrepancy does not have to be resolved in the traditional manner. The ABO interpretation should be resulted as “NOTE” with chartable footnote “</w:t>
      </w:r>
      <w:r w:rsidR="001C6B9D">
        <w:rPr>
          <w:rFonts w:ascii="Arial" w:hAnsi="Arial"/>
          <w:sz w:val="24"/>
        </w:rPr>
        <w:t>HEMATOPOIETIC CELL (HPC)</w:t>
      </w:r>
      <w:r w:rsidRPr="00FB05B7">
        <w:rPr>
          <w:rFonts w:ascii="Arial" w:hAnsi="Arial"/>
          <w:sz w:val="24"/>
        </w:rPr>
        <w:t xml:space="preserve"> </w:t>
      </w:r>
      <w:r w:rsidRPr="00DF66C2">
        <w:rPr>
          <w:rFonts w:ascii="Arial" w:hAnsi="Arial" w:cs="Arial"/>
          <w:sz w:val="24"/>
        </w:rPr>
        <w:t>TRANSPLANT</w:t>
      </w:r>
      <w:r w:rsidRPr="00FB05B7">
        <w:rPr>
          <w:rFonts w:ascii="Arial" w:hAnsi="Arial"/>
          <w:sz w:val="24"/>
        </w:rPr>
        <w:t xml:space="preserve">– BLOOD GROUP IN TRANSITION”. The charge technologist will monitor the ABO grouping of these patients. Once the patient’s new stem cells have engrafted (conclusive ABO testing on two occasions 6 months post transplant), the charge technologist will change the patient ABO to the new group. After engraftment the reverse grouping may never correspond with the forward grouping, again the discrepancy does not have to be resolved. Once the charge technologist has changed the patient’s historical ABO, the ABO interpretation should be resulted based on the forward grouping results with a footnote </w:t>
      </w:r>
      <w:r w:rsidR="001F115D">
        <w:rPr>
          <w:rFonts w:ascii="Arial" w:hAnsi="Arial"/>
          <w:sz w:val="24"/>
        </w:rPr>
        <w:t xml:space="preserve">indicating the source of the transplant </w:t>
      </w:r>
    </w:p>
    <w:p w:rsidR="00FB05B7" w:rsidRDefault="001F115D" w:rsidP="00535C12">
      <w:pPr>
        <w:ind w:left="454"/>
        <w:rPr>
          <w:rFonts w:ascii="Arial" w:hAnsi="Arial"/>
          <w:sz w:val="24"/>
        </w:rPr>
      </w:pPr>
      <w:r>
        <w:rPr>
          <w:rFonts w:ascii="Arial" w:hAnsi="Arial"/>
          <w:sz w:val="24"/>
        </w:rPr>
        <w:t xml:space="preserve">e.g. </w:t>
      </w:r>
      <w:r w:rsidR="00FB05B7" w:rsidRPr="00FB05B7">
        <w:rPr>
          <w:rFonts w:ascii="Arial" w:hAnsi="Arial"/>
          <w:sz w:val="24"/>
        </w:rPr>
        <w:t>“</w:t>
      </w:r>
      <w:r w:rsidR="001C6B9D">
        <w:rPr>
          <w:rFonts w:ascii="Arial" w:hAnsi="Arial"/>
          <w:sz w:val="24"/>
        </w:rPr>
        <w:t>HEMATOPOIETIC CELL</w:t>
      </w:r>
      <w:r w:rsidR="00FB05B7" w:rsidRPr="00FB05B7">
        <w:rPr>
          <w:rFonts w:ascii="Arial" w:hAnsi="Arial"/>
          <w:sz w:val="24"/>
        </w:rPr>
        <w:t xml:space="preserve"> </w:t>
      </w:r>
      <w:r w:rsidR="001C6B9D">
        <w:rPr>
          <w:rFonts w:ascii="Arial" w:hAnsi="Arial"/>
          <w:sz w:val="24"/>
        </w:rPr>
        <w:t xml:space="preserve">(HPC) </w:t>
      </w:r>
      <w:r w:rsidR="00FB05B7" w:rsidRPr="00FB05B7">
        <w:rPr>
          <w:rFonts w:ascii="Arial" w:hAnsi="Arial"/>
          <w:sz w:val="24"/>
        </w:rPr>
        <w:t>TRANSPLANT RECIPIENT”.</w:t>
      </w:r>
    </w:p>
    <w:p w:rsidR="00E50892" w:rsidRDefault="00E50892">
      <w:pPr>
        <w:ind w:left="1440"/>
        <w:rPr>
          <w:rFonts w:ascii="Arial" w:hAnsi="Arial"/>
          <w:sz w:val="24"/>
        </w:rPr>
      </w:pPr>
    </w:p>
    <w:p w:rsidR="00E50892" w:rsidRDefault="00E50892" w:rsidP="00535C12">
      <w:pPr>
        <w:numPr>
          <w:ilvl w:val="0"/>
          <w:numId w:val="25"/>
        </w:numPr>
        <w:rPr>
          <w:rFonts w:ascii="Arial" w:hAnsi="Arial"/>
          <w:b/>
          <w:sz w:val="28"/>
        </w:rPr>
      </w:pPr>
      <w:r>
        <w:rPr>
          <w:rFonts w:ascii="Arial" w:hAnsi="Arial"/>
          <w:b/>
          <w:sz w:val="28"/>
        </w:rPr>
        <w:t>References</w:t>
      </w:r>
    </w:p>
    <w:p w:rsidR="00E50892" w:rsidRDefault="00E50892">
      <w:pPr>
        <w:rPr>
          <w:rFonts w:ascii="Arial" w:hAnsi="Arial"/>
          <w:sz w:val="24"/>
        </w:rPr>
      </w:pPr>
    </w:p>
    <w:p w:rsidR="00E50892" w:rsidRDefault="008C233D" w:rsidP="00535C12">
      <w:pPr>
        <w:numPr>
          <w:ilvl w:val="1"/>
          <w:numId w:val="25"/>
        </w:numPr>
        <w:rPr>
          <w:rFonts w:ascii="Arial" w:hAnsi="Arial"/>
          <w:sz w:val="24"/>
        </w:rPr>
      </w:pPr>
      <w:r>
        <w:rPr>
          <w:rFonts w:ascii="Arial" w:hAnsi="Arial"/>
          <w:sz w:val="24"/>
        </w:rPr>
        <w:t xml:space="preserve">Standards for Hospital Transfusion Services Version </w:t>
      </w:r>
      <w:r w:rsidR="00BB2C24">
        <w:rPr>
          <w:rFonts w:ascii="Arial" w:hAnsi="Arial"/>
          <w:sz w:val="24"/>
        </w:rPr>
        <w:t>3</w:t>
      </w:r>
      <w:r>
        <w:rPr>
          <w:rFonts w:ascii="Arial" w:hAnsi="Arial"/>
          <w:sz w:val="24"/>
        </w:rPr>
        <w:t xml:space="preserve"> – </w:t>
      </w:r>
      <w:r w:rsidR="00BB2C24">
        <w:rPr>
          <w:rFonts w:ascii="Arial" w:hAnsi="Arial"/>
          <w:sz w:val="24"/>
        </w:rPr>
        <w:t>February 2011</w:t>
      </w:r>
      <w:r>
        <w:rPr>
          <w:rFonts w:ascii="Arial" w:hAnsi="Arial"/>
          <w:sz w:val="24"/>
        </w:rPr>
        <w:t xml:space="preserve">. Canadian Society for Transfusion Medicine, </w:t>
      </w:r>
      <w:r w:rsidR="001C6B9D">
        <w:rPr>
          <w:rFonts w:ascii="Arial" w:hAnsi="Arial"/>
          <w:sz w:val="24"/>
        </w:rPr>
        <w:t xml:space="preserve">5.2.5.1, 5.3.1, </w:t>
      </w:r>
      <w:r w:rsidR="001A4B12">
        <w:rPr>
          <w:rFonts w:ascii="Arial" w:hAnsi="Arial"/>
          <w:sz w:val="24"/>
        </w:rPr>
        <w:t>5.3.2, 5.3.7, 5.9.2.</w:t>
      </w:r>
    </w:p>
    <w:p w:rsidR="00E50892" w:rsidRDefault="00E50892">
      <w:pPr>
        <w:ind w:left="720"/>
        <w:rPr>
          <w:rFonts w:ascii="Arial" w:hAnsi="Arial"/>
          <w:sz w:val="24"/>
        </w:rPr>
      </w:pPr>
    </w:p>
    <w:p w:rsidR="00BE66B0" w:rsidRDefault="00BE66B0" w:rsidP="00535C12">
      <w:pPr>
        <w:numPr>
          <w:ilvl w:val="1"/>
          <w:numId w:val="25"/>
        </w:numPr>
        <w:rPr>
          <w:rFonts w:ascii="Arial" w:hAnsi="Arial"/>
          <w:sz w:val="24"/>
        </w:rPr>
      </w:pPr>
      <w:r>
        <w:rPr>
          <w:rFonts w:ascii="Arial" w:hAnsi="Arial"/>
          <w:sz w:val="24"/>
        </w:rPr>
        <w:t>Standards for Blood Banks and Transfusion Service</w:t>
      </w:r>
      <w:r w:rsidR="009A148F">
        <w:rPr>
          <w:rFonts w:ascii="Arial" w:hAnsi="Arial"/>
          <w:sz w:val="24"/>
        </w:rPr>
        <w:t>s</w:t>
      </w:r>
      <w:r>
        <w:rPr>
          <w:rFonts w:ascii="Arial" w:hAnsi="Arial"/>
          <w:sz w:val="24"/>
        </w:rPr>
        <w:t xml:space="preserve">, </w:t>
      </w:r>
      <w:r w:rsidR="00BB2C24">
        <w:rPr>
          <w:rFonts w:ascii="Arial" w:hAnsi="Arial"/>
          <w:sz w:val="24"/>
        </w:rPr>
        <w:t>2</w:t>
      </w:r>
      <w:r w:rsidR="001C6B9D">
        <w:rPr>
          <w:rFonts w:ascii="Arial" w:hAnsi="Arial"/>
          <w:sz w:val="24"/>
        </w:rPr>
        <w:t>8</w:t>
      </w:r>
      <w:r w:rsidRPr="008962E8">
        <w:rPr>
          <w:rFonts w:ascii="Arial" w:hAnsi="Arial"/>
          <w:sz w:val="24"/>
          <w:vertAlign w:val="superscript"/>
        </w:rPr>
        <w:t>th</w:t>
      </w:r>
      <w:r>
        <w:rPr>
          <w:rFonts w:ascii="Arial" w:hAnsi="Arial"/>
          <w:sz w:val="24"/>
        </w:rPr>
        <w:t xml:space="preserve"> ed. Bethesda, MD: </w:t>
      </w:r>
      <w:r w:rsidR="00BB2C24">
        <w:rPr>
          <w:rFonts w:ascii="Arial" w:hAnsi="Arial"/>
          <w:sz w:val="24"/>
        </w:rPr>
        <w:t>AABB</w:t>
      </w:r>
      <w:r>
        <w:rPr>
          <w:rFonts w:ascii="Arial" w:hAnsi="Arial"/>
          <w:sz w:val="24"/>
        </w:rPr>
        <w:t>, 20</w:t>
      </w:r>
      <w:r w:rsidR="00BB2C24">
        <w:rPr>
          <w:rFonts w:ascii="Arial" w:hAnsi="Arial"/>
          <w:sz w:val="24"/>
        </w:rPr>
        <w:t>1</w:t>
      </w:r>
      <w:r w:rsidR="001C6B9D">
        <w:rPr>
          <w:rFonts w:ascii="Arial" w:hAnsi="Arial"/>
          <w:sz w:val="24"/>
        </w:rPr>
        <w:t>2</w:t>
      </w:r>
      <w:r>
        <w:rPr>
          <w:rFonts w:ascii="Arial" w:hAnsi="Arial"/>
          <w:sz w:val="24"/>
        </w:rPr>
        <w:t>; 5.13</w:t>
      </w:r>
      <w:r w:rsidR="00BB2C24">
        <w:rPr>
          <w:rFonts w:ascii="Arial" w:hAnsi="Arial"/>
          <w:sz w:val="24"/>
        </w:rPr>
        <w:t>.1</w:t>
      </w:r>
      <w:r>
        <w:rPr>
          <w:rFonts w:ascii="Arial" w:hAnsi="Arial"/>
          <w:sz w:val="24"/>
        </w:rPr>
        <w:t>, 5.16.</w:t>
      </w:r>
    </w:p>
    <w:p w:rsidR="00BE66B0" w:rsidRDefault="00BE66B0" w:rsidP="00BE66B0">
      <w:pPr>
        <w:ind w:left="720"/>
        <w:rPr>
          <w:rFonts w:ascii="Arial" w:hAnsi="Arial"/>
          <w:sz w:val="24"/>
        </w:rPr>
      </w:pPr>
    </w:p>
    <w:p w:rsidR="00E50892" w:rsidRDefault="00BE66B0" w:rsidP="00535C12">
      <w:pPr>
        <w:numPr>
          <w:ilvl w:val="1"/>
          <w:numId w:val="25"/>
        </w:numPr>
        <w:rPr>
          <w:rFonts w:ascii="Arial" w:hAnsi="Arial"/>
          <w:sz w:val="24"/>
        </w:rPr>
      </w:pPr>
      <w:r>
        <w:rPr>
          <w:rFonts w:ascii="Arial" w:hAnsi="Arial"/>
          <w:sz w:val="24"/>
        </w:rPr>
        <w:t xml:space="preserve">Roback JD, ed. Technical Manual, </w:t>
      </w:r>
      <w:r w:rsidR="00BB2C24">
        <w:rPr>
          <w:rFonts w:ascii="Arial" w:hAnsi="Arial"/>
          <w:sz w:val="24"/>
        </w:rPr>
        <w:t>17</w:t>
      </w:r>
      <w:r>
        <w:rPr>
          <w:rFonts w:ascii="Arial" w:hAnsi="Arial"/>
          <w:sz w:val="24"/>
          <w:vertAlign w:val="superscript"/>
        </w:rPr>
        <w:t>th</w:t>
      </w:r>
      <w:r>
        <w:rPr>
          <w:rFonts w:ascii="Arial" w:hAnsi="Arial"/>
          <w:sz w:val="24"/>
        </w:rPr>
        <w:t xml:space="preserve"> ed. Bethesda, MD: </w:t>
      </w:r>
      <w:r w:rsidR="00BB2C24">
        <w:rPr>
          <w:rFonts w:ascii="Arial" w:hAnsi="Arial"/>
          <w:sz w:val="24"/>
        </w:rPr>
        <w:t>AABB</w:t>
      </w:r>
      <w:r>
        <w:rPr>
          <w:rFonts w:ascii="Arial" w:hAnsi="Arial"/>
          <w:sz w:val="24"/>
        </w:rPr>
        <w:t>, 20</w:t>
      </w:r>
      <w:r w:rsidR="001C6B9D">
        <w:rPr>
          <w:rFonts w:ascii="Arial" w:hAnsi="Arial"/>
          <w:sz w:val="24"/>
        </w:rPr>
        <w:t>11</w:t>
      </w:r>
      <w:r>
        <w:rPr>
          <w:rFonts w:ascii="Arial" w:hAnsi="Arial"/>
          <w:sz w:val="24"/>
        </w:rPr>
        <w:t>: 44</w:t>
      </w:r>
      <w:r w:rsidR="00835778">
        <w:rPr>
          <w:rFonts w:ascii="Arial" w:hAnsi="Arial"/>
          <w:sz w:val="24"/>
        </w:rPr>
        <w:t>5</w:t>
      </w:r>
      <w:r>
        <w:rPr>
          <w:rFonts w:ascii="Arial" w:hAnsi="Arial"/>
          <w:sz w:val="24"/>
        </w:rPr>
        <w:t xml:space="preserve">, </w:t>
      </w:r>
      <w:r w:rsidR="001C6B9D">
        <w:rPr>
          <w:rFonts w:ascii="Arial" w:hAnsi="Arial"/>
          <w:sz w:val="24"/>
        </w:rPr>
        <w:t xml:space="preserve">801, </w:t>
      </w:r>
      <w:r>
        <w:rPr>
          <w:rFonts w:ascii="Arial" w:hAnsi="Arial"/>
          <w:sz w:val="24"/>
        </w:rPr>
        <w:t>87</w:t>
      </w:r>
      <w:r w:rsidR="00BB2C24">
        <w:rPr>
          <w:rFonts w:ascii="Arial" w:hAnsi="Arial"/>
          <w:sz w:val="24"/>
        </w:rPr>
        <w:t>6</w:t>
      </w:r>
      <w:r w:rsidR="00E50892">
        <w:rPr>
          <w:rFonts w:ascii="Arial" w:hAnsi="Arial"/>
          <w:sz w:val="24"/>
        </w:rPr>
        <w:t>.</w:t>
      </w:r>
    </w:p>
    <w:p w:rsidR="00E50892" w:rsidRDefault="00E50892">
      <w:pPr>
        <w:ind w:left="720"/>
        <w:rPr>
          <w:rFonts w:ascii="Arial" w:hAnsi="Arial"/>
          <w:sz w:val="24"/>
        </w:rPr>
      </w:pPr>
    </w:p>
    <w:p w:rsidR="00E50892" w:rsidRDefault="00E50892" w:rsidP="00535C12">
      <w:pPr>
        <w:numPr>
          <w:ilvl w:val="1"/>
          <w:numId w:val="25"/>
        </w:numPr>
        <w:rPr>
          <w:rFonts w:ascii="Arial" w:hAnsi="Arial"/>
          <w:sz w:val="24"/>
        </w:rPr>
      </w:pPr>
      <w:r>
        <w:rPr>
          <w:rFonts w:ascii="Arial" w:hAnsi="Arial"/>
          <w:sz w:val="24"/>
        </w:rPr>
        <w:t xml:space="preserve">Judd WJ. Methods in </w:t>
      </w:r>
      <w:r w:rsidR="00BE66B0">
        <w:rPr>
          <w:rFonts w:ascii="Arial" w:hAnsi="Arial"/>
          <w:sz w:val="24"/>
        </w:rPr>
        <w:t>I</w:t>
      </w:r>
      <w:r>
        <w:rPr>
          <w:rFonts w:ascii="Arial" w:hAnsi="Arial"/>
          <w:sz w:val="24"/>
        </w:rPr>
        <w:t xml:space="preserve">mmunohematology, </w:t>
      </w:r>
      <w:r w:rsidR="00BE66B0">
        <w:rPr>
          <w:rFonts w:ascii="Arial" w:hAnsi="Arial"/>
          <w:sz w:val="24"/>
        </w:rPr>
        <w:t>3</w:t>
      </w:r>
      <w:r w:rsidR="00BE66B0" w:rsidRPr="00BE66B0">
        <w:rPr>
          <w:rFonts w:ascii="Arial" w:hAnsi="Arial"/>
          <w:sz w:val="24"/>
          <w:vertAlign w:val="superscript"/>
        </w:rPr>
        <w:t>rd</w:t>
      </w:r>
      <w:r>
        <w:rPr>
          <w:rFonts w:ascii="Arial" w:hAnsi="Arial"/>
          <w:sz w:val="24"/>
        </w:rPr>
        <w:t xml:space="preserve"> ed. </w:t>
      </w:r>
      <w:smartTag w:uri="urn:schemas-microsoft-com:office:smarttags" w:element="place">
        <w:smartTag w:uri="urn:schemas-microsoft-com:office:smarttags" w:element="City">
          <w:r w:rsidR="00BE66B0">
            <w:rPr>
              <w:rFonts w:ascii="Arial" w:hAnsi="Arial"/>
              <w:sz w:val="24"/>
            </w:rPr>
            <w:t>Bethesda</w:t>
          </w:r>
        </w:smartTag>
        <w:r w:rsidR="00BE66B0">
          <w:rPr>
            <w:rFonts w:ascii="Arial" w:hAnsi="Arial"/>
            <w:sz w:val="24"/>
          </w:rPr>
          <w:t xml:space="preserve">, </w:t>
        </w:r>
        <w:smartTag w:uri="urn:schemas-microsoft-com:office:smarttags" w:element="State">
          <w:r w:rsidR="00BE66B0">
            <w:rPr>
              <w:rFonts w:ascii="Arial" w:hAnsi="Arial"/>
              <w:sz w:val="24"/>
            </w:rPr>
            <w:t>MD</w:t>
          </w:r>
        </w:smartTag>
      </w:smartTag>
      <w:r w:rsidR="00BE66B0">
        <w:rPr>
          <w:rFonts w:ascii="Arial" w:hAnsi="Arial"/>
          <w:sz w:val="24"/>
        </w:rPr>
        <w:t>: American Association of Blood Banks, 2008; 2-6</w:t>
      </w:r>
      <w:r>
        <w:rPr>
          <w:rFonts w:ascii="Arial" w:hAnsi="Arial"/>
          <w:sz w:val="24"/>
        </w:rPr>
        <w:t>.</w:t>
      </w:r>
    </w:p>
    <w:p w:rsidR="001A4B12" w:rsidRDefault="001A4B12" w:rsidP="001A4B12">
      <w:pPr>
        <w:pStyle w:val="ListParagraph"/>
        <w:rPr>
          <w:rFonts w:ascii="Arial" w:hAnsi="Arial"/>
          <w:sz w:val="24"/>
        </w:rPr>
      </w:pPr>
    </w:p>
    <w:p w:rsidR="001A4B12" w:rsidRDefault="001A4B12" w:rsidP="001A4B12">
      <w:pPr>
        <w:ind w:left="1440"/>
        <w:rPr>
          <w:rFonts w:ascii="Arial" w:hAnsi="Arial"/>
          <w:sz w:val="24"/>
        </w:rPr>
      </w:pPr>
    </w:p>
    <w:p w:rsidR="00C95BE4" w:rsidRDefault="00C95BE4" w:rsidP="00535C12">
      <w:pPr>
        <w:numPr>
          <w:ilvl w:val="0"/>
          <w:numId w:val="25"/>
        </w:numPr>
        <w:rPr>
          <w:rFonts w:ascii="Arial" w:hAnsi="Arial"/>
          <w:b/>
          <w:sz w:val="28"/>
          <w:szCs w:val="28"/>
        </w:rPr>
      </w:pPr>
      <w:r w:rsidRPr="001A4B12">
        <w:rPr>
          <w:rFonts w:ascii="Arial" w:hAnsi="Arial"/>
          <w:b/>
          <w:sz w:val="28"/>
          <w:szCs w:val="28"/>
        </w:rPr>
        <w:t xml:space="preserve">Revision History </w:t>
      </w:r>
    </w:p>
    <w:p w:rsidR="001A4B12" w:rsidRPr="001A4B12" w:rsidRDefault="001A4B12" w:rsidP="001A4B12">
      <w:pPr>
        <w:ind w:left="720"/>
        <w:rPr>
          <w:rFonts w:ascii="Arial" w:hAnsi="Arial"/>
          <w:b/>
          <w:sz w:val="28"/>
          <w:szCs w:val="28"/>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51"/>
      </w:tblGrid>
      <w:tr w:rsidR="00C95BE4" w:rsidRPr="0094139B" w:rsidTr="001A1C96">
        <w:trPr>
          <w:trHeight w:val="258"/>
        </w:trPr>
        <w:tc>
          <w:tcPr>
            <w:tcW w:w="4077" w:type="dxa"/>
            <w:shd w:val="clear" w:color="auto" w:fill="D9D9D9"/>
          </w:tcPr>
          <w:p w:rsidR="00C95BE4" w:rsidRPr="0094139B" w:rsidRDefault="00C95BE4" w:rsidP="0094139B">
            <w:pPr>
              <w:jc w:val="center"/>
              <w:rPr>
                <w:rFonts w:ascii="Arial" w:hAnsi="Arial"/>
                <w:b/>
                <w:sz w:val="22"/>
                <w:szCs w:val="22"/>
              </w:rPr>
            </w:pPr>
            <w:r w:rsidRPr="0094139B">
              <w:rPr>
                <w:rFonts w:ascii="Arial" w:hAnsi="Arial"/>
                <w:b/>
                <w:sz w:val="22"/>
                <w:szCs w:val="22"/>
              </w:rPr>
              <w:t>Revision Date</w:t>
            </w:r>
          </w:p>
        </w:tc>
        <w:tc>
          <w:tcPr>
            <w:tcW w:w="5351" w:type="dxa"/>
            <w:shd w:val="clear" w:color="auto" w:fill="D9D9D9"/>
          </w:tcPr>
          <w:p w:rsidR="00C95BE4" w:rsidRPr="0094139B" w:rsidRDefault="00C95BE4" w:rsidP="0094139B">
            <w:pPr>
              <w:jc w:val="center"/>
              <w:rPr>
                <w:rFonts w:ascii="Arial" w:hAnsi="Arial"/>
                <w:b/>
                <w:sz w:val="22"/>
                <w:szCs w:val="22"/>
              </w:rPr>
            </w:pPr>
            <w:r w:rsidRPr="0094139B">
              <w:rPr>
                <w:rFonts w:ascii="Arial" w:hAnsi="Arial"/>
                <w:b/>
                <w:sz w:val="22"/>
                <w:szCs w:val="22"/>
              </w:rPr>
              <w:t>Summary of Revision</w:t>
            </w:r>
          </w:p>
        </w:tc>
      </w:tr>
      <w:tr w:rsidR="00C95BE4" w:rsidRPr="0094139B" w:rsidTr="001A4B12">
        <w:trPr>
          <w:trHeight w:val="4662"/>
        </w:trPr>
        <w:tc>
          <w:tcPr>
            <w:tcW w:w="4077" w:type="dxa"/>
            <w:shd w:val="clear" w:color="auto" w:fill="auto"/>
          </w:tcPr>
          <w:p w:rsidR="00C95BE4" w:rsidRPr="0094139B" w:rsidRDefault="00C95BE4" w:rsidP="00C95BE4">
            <w:pPr>
              <w:rPr>
                <w:rFonts w:ascii="Arial" w:hAnsi="Arial"/>
                <w:sz w:val="22"/>
                <w:szCs w:val="22"/>
              </w:rPr>
            </w:pPr>
            <w:r w:rsidRPr="0094139B">
              <w:rPr>
                <w:rFonts w:ascii="Arial" w:hAnsi="Arial"/>
                <w:sz w:val="22"/>
                <w:szCs w:val="22"/>
              </w:rPr>
              <w:t>January 31, 2014</w:t>
            </w:r>
          </w:p>
        </w:tc>
        <w:tc>
          <w:tcPr>
            <w:tcW w:w="5351" w:type="dxa"/>
            <w:shd w:val="clear" w:color="auto" w:fill="auto"/>
          </w:tcPr>
          <w:p w:rsidR="00C95BE4" w:rsidRPr="0094139B" w:rsidRDefault="00C95BE4" w:rsidP="0094139B">
            <w:pPr>
              <w:numPr>
                <w:ilvl w:val="0"/>
                <w:numId w:val="8"/>
              </w:numPr>
              <w:rPr>
                <w:rFonts w:ascii="Arial" w:hAnsi="Arial"/>
                <w:sz w:val="22"/>
                <w:szCs w:val="22"/>
              </w:rPr>
            </w:pPr>
            <w:r w:rsidRPr="0094139B">
              <w:rPr>
                <w:rFonts w:ascii="Arial" w:hAnsi="Arial"/>
                <w:sz w:val="22"/>
                <w:szCs w:val="22"/>
              </w:rPr>
              <w:t>Revised name of manual</w:t>
            </w:r>
          </w:p>
          <w:p w:rsidR="00C95BE4" w:rsidRPr="0094139B" w:rsidRDefault="00C95BE4" w:rsidP="0094139B">
            <w:pPr>
              <w:numPr>
                <w:ilvl w:val="0"/>
                <w:numId w:val="8"/>
              </w:numPr>
              <w:rPr>
                <w:rFonts w:ascii="Arial" w:hAnsi="Arial"/>
                <w:sz w:val="22"/>
                <w:szCs w:val="22"/>
              </w:rPr>
            </w:pPr>
            <w:r w:rsidRPr="0094139B">
              <w:rPr>
                <w:rFonts w:ascii="Arial" w:hAnsi="Arial"/>
                <w:sz w:val="22"/>
                <w:szCs w:val="22"/>
              </w:rPr>
              <w:t>Changed document number from RT 001 to RT 004</w:t>
            </w:r>
          </w:p>
          <w:p w:rsidR="00C95BE4" w:rsidRPr="0094139B" w:rsidRDefault="00C95BE4" w:rsidP="0094139B">
            <w:pPr>
              <w:numPr>
                <w:ilvl w:val="0"/>
                <w:numId w:val="8"/>
              </w:numPr>
              <w:rPr>
                <w:rFonts w:ascii="Arial" w:hAnsi="Arial"/>
                <w:sz w:val="22"/>
                <w:szCs w:val="22"/>
              </w:rPr>
            </w:pPr>
            <w:r w:rsidRPr="0094139B">
              <w:rPr>
                <w:rFonts w:ascii="Arial" w:hAnsi="Arial"/>
                <w:sz w:val="22"/>
                <w:szCs w:val="22"/>
              </w:rPr>
              <w:t>Revised wording in section 2.8 to include “The Transfusion Service must confirm the ABO type of red cells collected and prepared by the blood supplier if a serological crossmatch will not be performed prior to transfusion.</w:t>
            </w:r>
            <w:r w:rsidRPr="0094139B">
              <w:rPr>
                <w:rFonts w:ascii="Arial" w:hAnsi="Arial"/>
                <w:sz w:val="22"/>
                <w:szCs w:val="22"/>
                <w:vertAlign w:val="superscript"/>
              </w:rPr>
              <w:t>9.1</w:t>
            </w:r>
            <w:r w:rsidRPr="0094139B">
              <w:rPr>
                <w:rFonts w:ascii="Arial" w:hAnsi="Arial"/>
                <w:sz w:val="22"/>
                <w:szCs w:val="22"/>
              </w:rPr>
              <w:t>”</w:t>
            </w:r>
          </w:p>
          <w:p w:rsidR="00C95BE4" w:rsidRPr="0094139B" w:rsidRDefault="00C95BE4" w:rsidP="0094139B">
            <w:pPr>
              <w:numPr>
                <w:ilvl w:val="0"/>
                <w:numId w:val="8"/>
              </w:numPr>
              <w:rPr>
                <w:rFonts w:ascii="Arial" w:hAnsi="Arial"/>
                <w:sz w:val="22"/>
                <w:szCs w:val="22"/>
              </w:rPr>
            </w:pPr>
            <w:r w:rsidRPr="0094139B">
              <w:rPr>
                <w:rFonts w:ascii="Arial" w:hAnsi="Arial"/>
                <w:sz w:val="22"/>
                <w:szCs w:val="22"/>
              </w:rPr>
              <w:t>Revised reference made in section 6.8 from RT 014 to RT 003</w:t>
            </w:r>
          </w:p>
          <w:p w:rsidR="00C95BE4" w:rsidRPr="0094139B" w:rsidRDefault="00C95BE4" w:rsidP="0094139B">
            <w:pPr>
              <w:numPr>
                <w:ilvl w:val="0"/>
                <w:numId w:val="8"/>
              </w:numPr>
              <w:rPr>
                <w:rFonts w:ascii="Arial" w:hAnsi="Arial"/>
                <w:sz w:val="22"/>
                <w:szCs w:val="22"/>
              </w:rPr>
            </w:pPr>
            <w:r w:rsidRPr="0094139B">
              <w:rPr>
                <w:rFonts w:ascii="Arial" w:hAnsi="Arial"/>
                <w:sz w:val="22"/>
                <w:szCs w:val="22"/>
              </w:rPr>
              <w:t>Revised reference made in section 6.14 from PA 006 to RT 001</w:t>
            </w:r>
          </w:p>
          <w:p w:rsidR="00C95BE4" w:rsidRPr="0094139B" w:rsidRDefault="00C95BE4" w:rsidP="0094139B">
            <w:pPr>
              <w:numPr>
                <w:ilvl w:val="0"/>
                <w:numId w:val="8"/>
              </w:numPr>
              <w:rPr>
                <w:rFonts w:ascii="Arial" w:hAnsi="Arial"/>
                <w:sz w:val="22"/>
                <w:szCs w:val="22"/>
              </w:rPr>
            </w:pPr>
            <w:r w:rsidRPr="0094139B">
              <w:rPr>
                <w:rFonts w:ascii="Arial" w:hAnsi="Arial"/>
                <w:sz w:val="22"/>
                <w:szCs w:val="22"/>
              </w:rPr>
              <w:t>Added section 7.2 with reference to specimens showing a positive reaction with Anti-A and Anti-B</w:t>
            </w:r>
          </w:p>
          <w:p w:rsidR="006C73F5" w:rsidRDefault="00C95BE4" w:rsidP="006C73F5">
            <w:pPr>
              <w:numPr>
                <w:ilvl w:val="0"/>
                <w:numId w:val="8"/>
              </w:numPr>
              <w:rPr>
                <w:rFonts w:ascii="Arial" w:hAnsi="Arial"/>
                <w:sz w:val="22"/>
                <w:szCs w:val="22"/>
              </w:rPr>
            </w:pPr>
            <w:r w:rsidRPr="0094139B">
              <w:rPr>
                <w:rFonts w:ascii="Arial" w:hAnsi="Arial"/>
                <w:sz w:val="22"/>
                <w:szCs w:val="22"/>
              </w:rPr>
              <w:t>Revised wording of section 8.2 to include “indicating the source of the transplant”</w:t>
            </w:r>
          </w:p>
          <w:p w:rsidR="00C95BE4" w:rsidRPr="0094139B" w:rsidRDefault="00C95BE4" w:rsidP="006C73F5">
            <w:pPr>
              <w:numPr>
                <w:ilvl w:val="0"/>
                <w:numId w:val="8"/>
              </w:numPr>
              <w:rPr>
                <w:rFonts w:ascii="Arial" w:hAnsi="Arial"/>
                <w:sz w:val="22"/>
                <w:szCs w:val="22"/>
              </w:rPr>
            </w:pPr>
            <w:r w:rsidRPr="0094139B">
              <w:rPr>
                <w:rFonts w:ascii="Arial" w:hAnsi="Arial"/>
                <w:sz w:val="22"/>
                <w:szCs w:val="22"/>
              </w:rPr>
              <w:t>Updated list of references to include the most recent editions/versions</w:t>
            </w:r>
          </w:p>
        </w:tc>
      </w:tr>
    </w:tbl>
    <w:p w:rsidR="001A4B12" w:rsidRPr="006C73F5" w:rsidRDefault="001A4B12" w:rsidP="006C73F5">
      <w:pPr>
        <w:rPr>
          <w:sz w:val="2"/>
          <w:szCs w:val="2"/>
        </w:rPr>
      </w:pPr>
    </w:p>
    <w:sectPr w:rsidR="001A4B12" w:rsidRPr="006C73F5">
      <w:headerReference w:type="default" r:id="rId7"/>
      <w:footerReference w:type="default" r:id="rId8"/>
      <w:headerReference w:type="first" r:id="rId9"/>
      <w:footerReference w:type="first" r:id="rId10"/>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4A3" w:rsidRDefault="003944A3">
      <w:r>
        <w:separator/>
      </w:r>
    </w:p>
  </w:endnote>
  <w:endnote w:type="continuationSeparator" w:id="0">
    <w:p w:rsidR="003944A3" w:rsidRDefault="0039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B1ABF">
      <w:trPr>
        <w:trHeight w:val="720"/>
      </w:trPr>
      <w:tc>
        <w:tcPr>
          <w:tcW w:w="1368" w:type="dxa"/>
        </w:tcPr>
        <w:p w:rsidR="003B1ABF" w:rsidRDefault="003B1ABF">
          <w:pPr>
            <w:pStyle w:val="Footer"/>
            <w:jc w:val="center"/>
            <w:rPr>
              <w:rFonts w:ascii="Verdana" w:hAnsi="Verdana"/>
              <w:sz w:val="8"/>
            </w:rPr>
          </w:pPr>
        </w:p>
        <w:p w:rsidR="003B1ABF" w:rsidRDefault="008E0F97">
          <w:pPr>
            <w:pStyle w:val="Footer"/>
            <w:jc w:val="center"/>
            <w:rPr>
              <w:rFonts w:ascii="Verdana" w:hAnsi="Verdana"/>
              <w:sz w:val="8"/>
            </w:rPr>
          </w:pPr>
          <w:r>
            <w:rPr>
              <w:noProof/>
            </w:rPr>
            <w:drawing>
              <wp:inline distT="0" distB="0" distL="0" distR="0">
                <wp:extent cx="733425" cy="257175"/>
                <wp:effectExtent l="19050" t="0" r="9525" b="0"/>
                <wp:docPr id="2" name="Picture 2"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n"/>
                        <pic:cNvPicPr>
                          <a:picLocks noChangeAspect="1" noChangeArrowheads="1"/>
                        </pic:cNvPicPr>
                      </pic:nvPicPr>
                      <pic:blipFill>
                        <a:blip r:embed="rId1"/>
                        <a:srcRect/>
                        <a:stretch>
                          <a:fillRect/>
                        </a:stretch>
                      </pic:blipFill>
                      <pic:spPr bwMode="auto">
                        <a:xfrm>
                          <a:off x="0" y="0"/>
                          <a:ext cx="733425" cy="257175"/>
                        </a:xfrm>
                        <a:prstGeom prst="rect">
                          <a:avLst/>
                        </a:prstGeom>
                        <a:noFill/>
                        <a:ln w="9525">
                          <a:noFill/>
                          <a:miter lim="800000"/>
                          <a:headEnd/>
                          <a:tailEnd/>
                        </a:ln>
                      </pic:spPr>
                    </pic:pic>
                  </a:graphicData>
                </a:graphic>
              </wp:inline>
            </w:drawing>
          </w:r>
        </w:p>
      </w:tc>
      <w:tc>
        <w:tcPr>
          <w:tcW w:w="5976" w:type="dxa"/>
        </w:tcPr>
        <w:p w:rsidR="003B1ABF" w:rsidRDefault="003B1ABF">
          <w:pPr>
            <w:pStyle w:val="Footer"/>
            <w:jc w:val="center"/>
            <w:rPr>
              <w:rFonts w:ascii="Arial" w:hAnsi="Arial"/>
              <w:sz w:val="18"/>
            </w:rPr>
          </w:pPr>
        </w:p>
        <w:p w:rsidR="003B1ABF" w:rsidRDefault="003B1ABF">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3B1ABF" w:rsidRDefault="006B06AD">
          <w:pPr>
            <w:pStyle w:val="Footer"/>
            <w:jc w:val="center"/>
            <w:rPr>
              <w:rFonts w:ascii="Arial" w:hAnsi="Arial"/>
              <w:sz w:val="18"/>
            </w:rPr>
          </w:pPr>
          <w:r>
            <w:rPr>
              <w:rFonts w:ascii="Arial" w:hAnsi="Arial"/>
              <w:sz w:val="18"/>
            </w:rPr>
            <w:t xml:space="preserve">Transfusion </w:t>
          </w:r>
          <w:r w:rsidR="00AE0CF6">
            <w:rPr>
              <w:rFonts w:ascii="Arial" w:hAnsi="Arial"/>
              <w:sz w:val="18"/>
            </w:rPr>
            <w:t>Technical Resource Manual</w:t>
          </w:r>
        </w:p>
        <w:p w:rsidR="003B1ABF" w:rsidRDefault="003B1ABF">
          <w:pPr>
            <w:pStyle w:val="Footer"/>
            <w:jc w:val="center"/>
            <w:rPr>
              <w:rFonts w:ascii="Arial" w:hAnsi="Arial"/>
              <w:sz w:val="18"/>
            </w:rPr>
          </w:pPr>
        </w:p>
      </w:tc>
      <w:tc>
        <w:tcPr>
          <w:tcW w:w="1494" w:type="dxa"/>
        </w:tcPr>
        <w:p w:rsidR="003B1ABF" w:rsidRDefault="003B1ABF">
          <w:pPr>
            <w:pStyle w:val="Footer"/>
            <w:jc w:val="right"/>
            <w:rPr>
              <w:rFonts w:ascii="Arial" w:hAnsi="Arial"/>
              <w:sz w:val="18"/>
            </w:rPr>
          </w:pPr>
        </w:p>
        <w:p w:rsidR="003B1ABF" w:rsidRDefault="003B1ABF">
          <w:pPr>
            <w:pStyle w:val="Footer"/>
            <w:jc w:val="right"/>
            <w:rPr>
              <w:rFonts w:ascii="Arial" w:hAnsi="Arial"/>
              <w:sz w:val="18"/>
            </w:rPr>
          </w:pPr>
          <w:r>
            <w:rPr>
              <w:rFonts w:ascii="Arial" w:hAnsi="Arial"/>
              <w:sz w:val="18"/>
            </w:rPr>
            <w:t>RT.00</w:t>
          </w:r>
          <w:r w:rsidR="005944DF">
            <w:rPr>
              <w:rFonts w:ascii="Arial" w:hAnsi="Arial"/>
              <w:sz w:val="18"/>
            </w:rPr>
            <w:t>4</w:t>
          </w:r>
          <w:r>
            <w:rPr>
              <w:rFonts w:ascii="Arial" w:hAnsi="Arial"/>
              <w:sz w:val="18"/>
            </w:rPr>
            <w:br/>
          </w:r>
        </w:p>
        <w:p w:rsidR="003B1ABF" w:rsidRDefault="003B1AB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1C7583">
            <w:rPr>
              <w:rFonts w:ascii="Arial" w:hAnsi="Arial"/>
              <w:noProof/>
              <w:snapToGrid w:val="0"/>
              <w:sz w:val="18"/>
            </w:rPr>
            <w:t>7</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1C7583">
            <w:rPr>
              <w:rFonts w:ascii="Arial" w:hAnsi="Arial"/>
              <w:noProof/>
              <w:snapToGrid w:val="0"/>
              <w:sz w:val="18"/>
            </w:rPr>
            <w:t>7</w:t>
          </w:r>
          <w:r>
            <w:rPr>
              <w:rFonts w:ascii="Arial" w:hAnsi="Arial"/>
              <w:snapToGrid w:val="0"/>
              <w:sz w:val="18"/>
            </w:rPr>
            <w:fldChar w:fldCharType="end"/>
          </w:r>
        </w:p>
      </w:tc>
    </w:tr>
  </w:tbl>
  <w:p w:rsidR="003B1ABF" w:rsidRDefault="003B1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B1ABF">
      <w:trPr>
        <w:trHeight w:val="720"/>
      </w:trPr>
      <w:tc>
        <w:tcPr>
          <w:tcW w:w="1368" w:type="dxa"/>
        </w:tcPr>
        <w:p w:rsidR="003B1ABF" w:rsidRDefault="008E0F97">
          <w:pPr>
            <w:pStyle w:val="Footer"/>
            <w:jc w:val="center"/>
            <w:rPr>
              <w:rFonts w:ascii="Verdana" w:hAnsi="Verdana"/>
              <w:sz w:val="8"/>
            </w:rPr>
          </w:pPr>
          <w:r>
            <w:rPr>
              <w:noProof/>
            </w:rPr>
            <w:drawing>
              <wp:inline distT="0" distB="0" distL="0" distR="0">
                <wp:extent cx="733425" cy="257175"/>
                <wp:effectExtent l="19050" t="0" r="9525" b="0"/>
                <wp:docPr id="3" name="Picture 3"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1"/>
                        <a:srcRect/>
                        <a:stretch>
                          <a:fillRect/>
                        </a:stretch>
                      </pic:blipFill>
                      <pic:spPr bwMode="auto">
                        <a:xfrm>
                          <a:off x="0" y="0"/>
                          <a:ext cx="733425" cy="257175"/>
                        </a:xfrm>
                        <a:prstGeom prst="rect">
                          <a:avLst/>
                        </a:prstGeom>
                        <a:noFill/>
                        <a:ln w="9525">
                          <a:noFill/>
                          <a:miter lim="800000"/>
                          <a:headEnd/>
                          <a:tailEnd/>
                        </a:ln>
                      </pic:spPr>
                    </pic:pic>
                  </a:graphicData>
                </a:graphic>
              </wp:inline>
            </w:drawing>
          </w:r>
        </w:p>
        <w:p w:rsidR="003B1ABF" w:rsidRDefault="003B1ABF">
          <w:pPr>
            <w:pStyle w:val="Footer"/>
            <w:jc w:val="center"/>
            <w:rPr>
              <w:rFonts w:ascii="Verdana" w:hAnsi="Verdana"/>
              <w:sz w:val="8"/>
            </w:rPr>
          </w:pPr>
        </w:p>
      </w:tc>
      <w:tc>
        <w:tcPr>
          <w:tcW w:w="5976" w:type="dxa"/>
        </w:tcPr>
        <w:p w:rsidR="003B1ABF" w:rsidRDefault="003B1ABF">
          <w:pPr>
            <w:pStyle w:val="Footer"/>
            <w:jc w:val="center"/>
            <w:rPr>
              <w:rFonts w:ascii="Arial" w:hAnsi="Arial"/>
              <w:sz w:val="18"/>
            </w:rPr>
          </w:pPr>
        </w:p>
        <w:p w:rsidR="003B1ABF" w:rsidRDefault="003B1ABF">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3B1ABF" w:rsidRDefault="005944DF">
          <w:pPr>
            <w:pStyle w:val="Footer"/>
            <w:jc w:val="center"/>
            <w:rPr>
              <w:rFonts w:ascii="Arial" w:hAnsi="Arial"/>
              <w:sz w:val="18"/>
            </w:rPr>
          </w:pPr>
          <w:r>
            <w:rPr>
              <w:rFonts w:ascii="Arial" w:hAnsi="Arial"/>
              <w:sz w:val="18"/>
            </w:rPr>
            <w:t>Transfusion Technical Resource Manual</w:t>
          </w:r>
        </w:p>
        <w:p w:rsidR="003B1ABF" w:rsidRDefault="003B1ABF">
          <w:pPr>
            <w:pStyle w:val="Footer"/>
            <w:jc w:val="center"/>
            <w:rPr>
              <w:rFonts w:ascii="Arial" w:hAnsi="Arial"/>
              <w:sz w:val="18"/>
            </w:rPr>
          </w:pPr>
        </w:p>
      </w:tc>
      <w:tc>
        <w:tcPr>
          <w:tcW w:w="1494" w:type="dxa"/>
        </w:tcPr>
        <w:p w:rsidR="003B1ABF" w:rsidRDefault="003B1ABF">
          <w:pPr>
            <w:pStyle w:val="Footer"/>
            <w:jc w:val="right"/>
            <w:rPr>
              <w:rFonts w:ascii="Arial" w:hAnsi="Arial"/>
              <w:sz w:val="18"/>
            </w:rPr>
          </w:pPr>
        </w:p>
        <w:p w:rsidR="003B1ABF" w:rsidRDefault="003B1ABF">
          <w:pPr>
            <w:pStyle w:val="Footer"/>
            <w:jc w:val="right"/>
            <w:rPr>
              <w:rFonts w:ascii="Arial" w:hAnsi="Arial"/>
              <w:sz w:val="18"/>
            </w:rPr>
          </w:pPr>
          <w:r>
            <w:rPr>
              <w:rFonts w:ascii="Arial" w:hAnsi="Arial"/>
              <w:sz w:val="18"/>
            </w:rPr>
            <w:t>RT.00</w:t>
          </w:r>
          <w:r w:rsidR="005944DF">
            <w:rPr>
              <w:rFonts w:ascii="Arial" w:hAnsi="Arial"/>
              <w:sz w:val="18"/>
            </w:rPr>
            <w:t>4</w:t>
          </w:r>
          <w:r>
            <w:rPr>
              <w:rFonts w:ascii="Arial" w:hAnsi="Arial"/>
              <w:sz w:val="18"/>
            </w:rPr>
            <w:br/>
          </w:r>
        </w:p>
        <w:p w:rsidR="003B1ABF" w:rsidRDefault="003B1AB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1C7583">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1C7583">
            <w:rPr>
              <w:rFonts w:ascii="Arial" w:hAnsi="Arial"/>
              <w:noProof/>
              <w:snapToGrid w:val="0"/>
              <w:sz w:val="18"/>
            </w:rPr>
            <w:t>3</w:t>
          </w:r>
          <w:r>
            <w:rPr>
              <w:rFonts w:ascii="Arial" w:hAnsi="Arial"/>
              <w:snapToGrid w:val="0"/>
              <w:sz w:val="18"/>
            </w:rPr>
            <w:fldChar w:fldCharType="end"/>
          </w:r>
        </w:p>
      </w:tc>
    </w:tr>
  </w:tbl>
  <w:p w:rsidR="003B1ABF" w:rsidRDefault="003B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4A3" w:rsidRDefault="003944A3">
      <w:r>
        <w:separator/>
      </w:r>
    </w:p>
  </w:footnote>
  <w:footnote w:type="continuationSeparator" w:id="0">
    <w:p w:rsidR="003944A3" w:rsidRDefault="0039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BF" w:rsidRDefault="003B1ABF">
    <w:pPr>
      <w:pStyle w:val="Header"/>
      <w:jc w:val="center"/>
      <w:rPr>
        <w:rFonts w:ascii="Arial" w:hAnsi="Arial"/>
        <w:sz w:val="24"/>
      </w:rPr>
    </w:pPr>
    <w:r>
      <w:rPr>
        <w:rFonts w:ascii="Arial" w:hAnsi="Arial"/>
        <w:b/>
        <w:sz w:val="28"/>
      </w:rPr>
      <w:t>ABO Grouping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BF" w:rsidRDefault="008E0F97">
    <w:pPr>
      <w:pStyle w:val="Header"/>
      <w:tabs>
        <w:tab w:val="clear" w:pos="8640"/>
        <w:tab w:val="left" w:pos="4783"/>
      </w:tabs>
    </w:pPr>
    <w:r>
      <w:rPr>
        <w:noProof/>
      </w:rPr>
      <w:drawing>
        <wp:inline distT="0" distB="0" distL="0" distR="0">
          <wp:extent cx="1314450" cy="533400"/>
          <wp:effectExtent l="19050" t="0" r="0" b="0"/>
          <wp:docPr id="1" name="Picture 1"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
                  <pic:cNvPicPr>
                    <a:picLocks noChangeAspect="1" noChangeArrowheads="1"/>
                  </pic:cNvPicPr>
                </pic:nvPicPr>
                <pic:blipFill>
                  <a:blip r:embed="rId1"/>
                  <a:srcRect/>
                  <a:stretch>
                    <a:fillRect/>
                  </a:stretch>
                </pic:blipFill>
                <pic:spPr bwMode="auto">
                  <a:xfrm>
                    <a:off x="0" y="0"/>
                    <a:ext cx="1314450" cy="533400"/>
                  </a:xfrm>
                  <a:prstGeom prst="rect">
                    <a:avLst/>
                  </a:prstGeom>
                  <a:noFill/>
                  <a:ln w="9525">
                    <a:noFill/>
                    <a:miter lim="800000"/>
                    <a:headEnd/>
                    <a:tailEnd/>
                  </a:ln>
                </pic:spPr>
              </pic:pic>
            </a:graphicData>
          </a:graphic>
        </wp:inline>
      </w:drawing>
    </w:r>
  </w:p>
  <w:p w:rsidR="003B1ABF" w:rsidRDefault="003B1ABF">
    <w:pPr>
      <w:pStyle w:val="Header"/>
      <w:tabs>
        <w:tab w:val="clear" w:pos="8640"/>
        <w:tab w:val="left" w:pos="4783"/>
      </w:tabs>
      <w:rPr>
        <w:rFonts w:ascii="Arial" w:hAnsi="Arial" w:cs="Arial"/>
        <w:b/>
        <w:bCs/>
        <w:sz w:val="22"/>
      </w:rPr>
    </w:pPr>
  </w:p>
  <w:p w:rsidR="001426A0" w:rsidRDefault="005944DF">
    <w:pPr>
      <w:pStyle w:val="Header"/>
      <w:jc w:val="center"/>
      <w:rPr>
        <w:rFonts w:ascii="Arial" w:hAnsi="Arial" w:cs="Arial"/>
        <w:b/>
        <w:bCs/>
        <w:sz w:val="22"/>
      </w:rPr>
    </w:pPr>
    <w:r>
      <w:rPr>
        <w:rFonts w:ascii="Arial" w:hAnsi="Arial" w:cs="Arial"/>
        <w:b/>
        <w:bCs/>
        <w:sz w:val="22"/>
      </w:rPr>
      <w:t xml:space="preserve">Ontario Regional Blood Coordinating Network </w:t>
    </w:r>
  </w:p>
  <w:p w:rsidR="003B1ABF" w:rsidRDefault="005944DF">
    <w:pPr>
      <w:pStyle w:val="Header"/>
      <w:jc w:val="center"/>
      <w:rPr>
        <w:rFonts w:ascii="Arial" w:hAnsi="Arial" w:cs="Arial"/>
        <w:b/>
        <w:bCs/>
        <w:sz w:val="22"/>
      </w:rPr>
    </w:pPr>
    <w:r>
      <w:rPr>
        <w:rFonts w:ascii="Arial" w:hAnsi="Arial" w:cs="Arial"/>
        <w:b/>
        <w:bCs/>
        <w:sz w:val="22"/>
      </w:rPr>
      <w:t>Transfusion Technical Resource Manual</w:t>
    </w:r>
    <w:r w:rsidR="003B1ABF">
      <w:rPr>
        <w:rFonts w:ascii="Arial" w:hAnsi="Arial" w:cs="Arial"/>
        <w:b/>
        <w:bCs/>
        <w:sz w:val="22"/>
      </w:rPr>
      <w:t xml:space="preserve"> </w:t>
    </w:r>
  </w:p>
  <w:p w:rsidR="003B1ABF" w:rsidRDefault="003B1ABF">
    <w:pPr>
      <w:pStyle w:val="Header"/>
      <w:jc w:val="center"/>
      <w:rPr>
        <w:rFonts w:ascii="Arial" w:hAnsi="Arial" w:cs="Arial"/>
        <w:b/>
        <w:bCs/>
        <w:sz w:val="22"/>
      </w:rPr>
    </w:pPr>
  </w:p>
  <w:p w:rsidR="003B1ABF" w:rsidRDefault="003B1ABF">
    <w:pPr>
      <w:pStyle w:val="Header"/>
      <w:jc w:val="center"/>
      <w:rPr>
        <w:rFonts w:ascii="Arial" w:hAnsi="Arial"/>
        <w:b/>
        <w:sz w:val="28"/>
      </w:rPr>
    </w:pPr>
    <w:r>
      <w:rPr>
        <w:rFonts w:ascii="Arial" w:hAnsi="Arial"/>
        <w:b/>
        <w:sz w:val="28"/>
      </w:rPr>
      <w:t>ABO Grouping</w:t>
    </w:r>
  </w:p>
  <w:p w:rsidR="003B1ABF" w:rsidRDefault="003B1ABF">
    <w:pPr>
      <w:pStyle w:val="Header"/>
      <w:jc w:val="center"/>
      <w:rPr>
        <w:rFonts w:ascii="Arial" w:hAnsi="Arial"/>
        <w:b/>
        <w:sz w:val="28"/>
      </w:rPr>
    </w:pPr>
  </w:p>
  <w:p w:rsidR="003B1ABF" w:rsidRDefault="003B1ABF">
    <w:pPr>
      <w:pStyle w:val="Header"/>
      <w:jc w:val="center"/>
      <w:rPr>
        <w:rFonts w:ascii="Arial" w:hAnsi="Arial" w:cs="Arial"/>
        <w:b/>
        <w:bCs/>
      </w:rPr>
    </w:pPr>
    <w:r>
      <w:rPr>
        <w:rFonts w:ascii="Arial" w:hAnsi="Arial" w:cs="Arial"/>
        <w:b/>
        <w:bCs/>
      </w:rPr>
      <w:tab/>
    </w:r>
    <w:r w:rsidR="001C7583">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ED1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3B1ABF">
      <w:tc>
        <w:tcPr>
          <w:tcW w:w="4428" w:type="dxa"/>
        </w:tcPr>
        <w:p w:rsidR="003B1ABF" w:rsidRDefault="003B1ABF">
          <w:pPr>
            <w:pStyle w:val="Header"/>
            <w:rPr>
              <w:rFonts w:ascii="Arial" w:hAnsi="Arial" w:cs="Arial"/>
            </w:rPr>
          </w:pPr>
          <w:r>
            <w:rPr>
              <w:rFonts w:ascii="Arial" w:hAnsi="Arial" w:cs="Arial"/>
            </w:rPr>
            <w:t>Approved By:</w:t>
          </w:r>
          <w:r w:rsidR="0004664E">
            <w:rPr>
              <w:rFonts w:ascii="Arial" w:hAnsi="Arial" w:cs="Arial"/>
            </w:rPr>
            <w:t xml:space="preserve">  </w:t>
          </w:r>
        </w:p>
      </w:tc>
      <w:tc>
        <w:tcPr>
          <w:tcW w:w="4428" w:type="dxa"/>
        </w:tcPr>
        <w:p w:rsidR="003B1ABF" w:rsidRDefault="003B1ABF">
          <w:pPr>
            <w:pStyle w:val="Header"/>
            <w:rPr>
              <w:rFonts w:ascii="Arial" w:hAnsi="Arial" w:cs="Arial"/>
              <w:lang w:val="fr-CA"/>
            </w:rPr>
          </w:pPr>
          <w:r>
            <w:rPr>
              <w:rFonts w:ascii="Arial" w:hAnsi="Arial" w:cs="Arial"/>
              <w:lang w:val="fr-CA"/>
            </w:rPr>
            <w:t>Document No: RT.00</w:t>
          </w:r>
          <w:r w:rsidR="005944DF">
            <w:rPr>
              <w:rFonts w:ascii="Arial" w:hAnsi="Arial" w:cs="Arial"/>
              <w:lang w:val="fr-CA"/>
            </w:rPr>
            <w:t>4</w:t>
          </w:r>
        </w:p>
      </w:tc>
    </w:tr>
    <w:tr w:rsidR="003B1ABF">
      <w:tc>
        <w:tcPr>
          <w:tcW w:w="4428" w:type="dxa"/>
        </w:tcPr>
        <w:p w:rsidR="003B1ABF" w:rsidRDefault="003B1ABF">
          <w:pPr>
            <w:pStyle w:val="Header"/>
            <w:rPr>
              <w:rFonts w:ascii="Arial" w:hAnsi="Arial" w:cs="Arial"/>
            </w:rPr>
          </w:pPr>
          <w:r>
            <w:rPr>
              <w:rFonts w:ascii="Arial" w:hAnsi="Arial" w:cs="Arial"/>
            </w:rPr>
            <w:t>Date Issued:  2004/04/05</w:t>
          </w:r>
        </w:p>
      </w:tc>
      <w:tc>
        <w:tcPr>
          <w:tcW w:w="4428" w:type="dxa"/>
        </w:tcPr>
        <w:p w:rsidR="003B1ABF" w:rsidRDefault="003B1ABF">
          <w:pPr>
            <w:pStyle w:val="Header"/>
            <w:rPr>
              <w:rFonts w:ascii="Arial" w:hAnsi="Arial" w:cs="Arial"/>
            </w:rPr>
          </w:pPr>
          <w:r>
            <w:rPr>
              <w:rFonts w:ascii="Arial" w:hAnsi="Arial" w:cs="Arial"/>
            </w:rPr>
            <w:t>Category:  Routine Testing</w:t>
          </w:r>
        </w:p>
      </w:tc>
    </w:tr>
    <w:tr w:rsidR="003B1ABF">
      <w:tc>
        <w:tcPr>
          <w:tcW w:w="4428" w:type="dxa"/>
        </w:tcPr>
        <w:p w:rsidR="003B1ABF" w:rsidRDefault="003B1ABF">
          <w:pPr>
            <w:pStyle w:val="Header"/>
            <w:rPr>
              <w:rFonts w:ascii="Arial" w:hAnsi="Arial" w:cs="Arial"/>
            </w:rPr>
          </w:pPr>
          <w:r>
            <w:rPr>
              <w:rFonts w:ascii="Arial" w:hAnsi="Arial" w:cs="Arial"/>
            </w:rPr>
            <w:t>Date Revised:  2009/09/01</w:t>
          </w:r>
          <w:r w:rsidR="00AE0CF6">
            <w:rPr>
              <w:rFonts w:ascii="Arial" w:hAnsi="Arial" w:cs="Arial"/>
            </w:rPr>
            <w:t>; 2013/12/01</w:t>
          </w:r>
        </w:p>
      </w:tc>
      <w:tc>
        <w:tcPr>
          <w:tcW w:w="4428" w:type="dxa"/>
        </w:tcPr>
        <w:p w:rsidR="003B1ABF" w:rsidRDefault="003B1ABF">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C7583">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C7583">
            <w:rPr>
              <w:rFonts w:ascii="Arial" w:hAnsi="Arial" w:cs="Arial"/>
              <w:noProof/>
            </w:rPr>
            <w:t>3</w:t>
          </w:r>
          <w:r>
            <w:rPr>
              <w:rFonts w:ascii="Arial" w:hAnsi="Arial" w:cs="Arial"/>
            </w:rPr>
            <w:fldChar w:fldCharType="end"/>
          </w:r>
        </w:p>
      </w:tc>
    </w:tr>
  </w:tbl>
  <w:p w:rsidR="003B1ABF" w:rsidRDefault="001C7583">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0C5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3B1ABF">
      <w:rPr>
        <w:rFonts w:ascii="Arial" w:hAnsi="Arial" w:cs="Arial"/>
      </w:rPr>
      <w:tab/>
    </w:r>
    <w:r w:rsidR="003B1ABF">
      <w:rPr>
        <w:rFonts w:ascii="Arial" w:hAnsi="Arial" w:cs="Arial"/>
      </w:rPr>
      <w:tab/>
    </w:r>
  </w:p>
  <w:p w:rsidR="003B1ABF" w:rsidRDefault="003B1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645"/>
    <w:multiLevelType w:val="hybridMultilevel"/>
    <w:tmpl w:val="535078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2C0715"/>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DC372E"/>
    <w:multiLevelType w:val="hybridMultilevel"/>
    <w:tmpl w:val="F96E75BA"/>
    <w:lvl w:ilvl="0" w:tplc="3690B3D2">
      <w:start w:val="1"/>
      <w:numFmt w:val="decimal"/>
      <w:lvlText w:val="6.9.%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265D23"/>
    <w:multiLevelType w:val="multilevel"/>
    <w:tmpl w:val="7F78A4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A9E6724"/>
    <w:multiLevelType w:val="hybridMultilevel"/>
    <w:tmpl w:val="3BD4C0CE"/>
    <w:lvl w:ilvl="0" w:tplc="BF026654">
      <w:start w:val="1"/>
      <w:numFmt w:val="decimal"/>
      <w:suff w:val="space"/>
      <w:lvlText w:val="6.10.%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2672C5"/>
    <w:multiLevelType w:val="hybridMultilevel"/>
    <w:tmpl w:val="FB8A6E8C"/>
    <w:lvl w:ilvl="0" w:tplc="647C45E0">
      <w:start w:val="1"/>
      <w:numFmt w:val="decimal"/>
      <w:lvlText w:val="6.7.%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3B744A"/>
    <w:multiLevelType w:val="hybridMultilevel"/>
    <w:tmpl w:val="576C3878"/>
    <w:lvl w:ilvl="0" w:tplc="1F9C223A">
      <w:start w:val="1"/>
      <w:numFmt w:val="decimal"/>
      <w:lvlText w:val="6.2.%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C950ED"/>
    <w:multiLevelType w:val="hybridMultilevel"/>
    <w:tmpl w:val="D5DE536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8"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34C4017D"/>
    <w:multiLevelType w:val="multilevel"/>
    <w:tmpl w:val="D7B6D8A4"/>
    <w:lvl w:ilvl="0">
      <w:start w:val="6"/>
      <w:numFmt w:val="decimal"/>
      <w:lvlText w:val="%1.0"/>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774D93"/>
    <w:multiLevelType w:val="multilevel"/>
    <w:tmpl w:val="A036A80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9A62AB"/>
    <w:multiLevelType w:val="multilevel"/>
    <w:tmpl w:val="B516C042"/>
    <w:lvl w:ilvl="0">
      <w:start w:val="6"/>
      <w:numFmt w:val="decimal"/>
      <w:lvlText w:val="%1.1"/>
      <w:lvlJc w:val="left"/>
      <w:pPr>
        <w:ind w:left="360" w:hanging="360"/>
      </w:pPr>
      <w:rPr>
        <w:rFonts w:ascii="Arial" w:hAnsi="Aria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DC5DF7"/>
    <w:multiLevelType w:val="singleLevel"/>
    <w:tmpl w:val="FC4208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AE25F4"/>
    <w:multiLevelType w:val="multilevel"/>
    <w:tmpl w:val="7CFC5E50"/>
    <w:lvl w:ilvl="0">
      <w:start w:val="7"/>
      <w:numFmt w:val="decimal"/>
      <w:suff w:val="space"/>
      <w:lvlText w:val="%1.0"/>
      <w:lvlJc w:val="left"/>
      <w:pPr>
        <w:ind w:left="360" w:hanging="360"/>
      </w:pPr>
      <w:rPr>
        <w:rFonts w:hint="default"/>
      </w:rPr>
    </w:lvl>
    <w:lvl w:ilvl="1">
      <w:start w:val="1"/>
      <w:numFmt w:val="decimal"/>
      <w:suff w:val="space"/>
      <w:lvlText w:val="%1.%2"/>
      <w:lvlJc w:val="left"/>
      <w:pPr>
        <w:ind w:left="454" w:hanging="454"/>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445EC1"/>
    <w:multiLevelType w:val="hybridMultilevel"/>
    <w:tmpl w:val="85E63C50"/>
    <w:lvl w:ilvl="0" w:tplc="7F08FB4E">
      <w:start w:val="1"/>
      <w:numFmt w:val="decimal"/>
      <w:lvlText w:val="6.9.%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151D43"/>
    <w:multiLevelType w:val="hybridMultilevel"/>
    <w:tmpl w:val="02665E44"/>
    <w:lvl w:ilvl="0" w:tplc="FFB694C6">
      <w:start w:val="1"/>
      <w:numFmt w:val="decimal"/>
      <w:lvlText w:val="6.3.%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665FFD"/>
    <w:multiLevelType w:val="hybridMultilevel"/>
    <w:tmpl w:val="CCFECF54"/>
    <w:lvl w:ilvl="0" w:tplc="ACA60FA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9D42A8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421C1C"/>
    <w:multiLevelType w:val="hybridMultilevel"/>
    <w:tmpl w:val="CC5207C0"/>
    <w:lvl w:ilvl="0" w:tplc="809A3946">
      <w:start w:val="1"/>
      <w:numFmt w:val="decimal"/>
      <w:lvlText w:val="6.5.%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C82350"/>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1F629E"/>
    <w:multiLevelType w:val="hybridMultilevel"/>
    <w:tmpl w:val="39C0C606"/>
    <w:lvl w:ilvl="0" w:tplc="63285FD0">
      <w:start w:val="1"/>
      <w:numFmt w:val="decimal"/>
      <w:lvlText w:val="6.1.%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3068B9"/>
    <w:multiLevelType w:val="multilevel"/>
    <w:tmpl w:val="94B097F2"/>
    <w:lvl w:ilvl="0">
      <w:start w:val="5"/>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2" w15:restartNumberingAfterBreak="0">
    <w:nsid w:val="7B0554A2"/>
    <w:multiLevelType w:val="hybridMultilevel"/>
    <w:tmpl w:val="23F83078"/>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3" w15:restartNumberingAfterBreak="0">
    <w:nsid w:val="7D4876AE"/>
    <w:multiLevelType w:val="hybridMultilevel"/>
    <w:tmpl w:val="E06AFE1C"/>
    <w:lvl w:ilvl="0" w:tplc="02B2D974">
      <w:start w:val="1"/>
      <w:numFmt w:val="decimal"/>
      <w:lvlText w:val="6.4.%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B00C84"/>
    <w:multiLevelType w:val="hybridMultilevel"/>
    <w:tmpl w:val="9DFA2496"/>
    <w:lvl w:ilvl="0" w:tplc="84F2E0D2">
      <w:start w:val="1"/>
      <w:numFmt w:val="decimal"/>
      <w:lvlText w:val="6.%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9"/>
  </w:num>
  <w:num w:numId="5">
    <w:abstractNumId w:val="17"/>
  </w:num>
  <w:num w:numId="6">
    <w:abstractNumId w:val="8"/>
  </w:num>
  <w:num w:numId="7">
    <w:abstractNumId w:val="21"/>
  </w:num>
  <w:num w:numId="8">
    <w:abstractNumId w:val="16"/>
  </w:num>
  <w:num w:numId="9">
    <w:abstractNumId w:val="11"/>
  </w:num>
  <w:num w:numId="10">
    <w:abstractNumId w:val="7"/>
  </w:num>
  <w:num w:numId="11">
    <w:abstractNumId w:val="22"/>
  </w:num>
  <w:num w:numId="12">
    <w:abstractNumId w:val="24"/>
  </w:num>
  <w:num w:numId="13">
    <w:abstractNumId w:val="20"/>
  </w:num>
  <w:num w:numId="14">
    <w:abstractNumId w:val="6"/>
  </w:num>
  <w:num w:numId="15">
    <w:abstractNumId w:val="15"/>
  </w:num>
  <w:num w:numId="16">
    <w:abstractNumId w:val="23"/>
  </w:num>
  <w:num w:numId="17">
    <w:abstractNumId w:val="18"/>
  </w:num>
  <w:num w:numId="18">
    <w:abstractNumId w:val="5"/>
  </w:num>
  <w:num w:numId="19">
    <w:abstractNumId w:val="14"/>
  </w:num>
  <w:num w:numId="20">
    <w:abstractNumId w:val="2"/>
  </w:num>
  <w:num w:numId="21">
    <w:abstractNumId w:val="0"/>
  </w:num>
  <w:num w:numId="22">
    <w:abstractNumId w:val="4"/>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92"/>
    <w:rsid w:val="00002828"/>
    <w:rsid w:val="000114DD"/>
    <w:rsid w:val="0004664E"/>
    <w:rsid w:val="001426A0"/>
    <w:rsid w:val="001A1C96"/>
    <w:rsid w:val="001A4B12"/>
    <w:rsid w:val="001C6B9D"/>
    <w:rsid w:val="001C7583"/>
    <w:rsid w:val="001F115D"/>
    <w:rsid w:val="001F756F"/>
    <w:rsid w:val="002107FA"/>
    <w:rsid w:val="00234268"/>
    <w:rsid w:val="002516D8"/>
    <w:rsid w:val="003167E0"/>
    <w:rsid w:val="003944A3"/>
    <w:rsid w:val="003B1ABF"/>
    <w:rsid w:val="003B1B59"/>
    <w:rsid w:val="003E5CB8"/>
    <w:rsid w:val="004575D7"/>
    <w:rsid w:val="004B159E"/>
    <w:rsid w:val="00522DB1"/>
    <w:rsid w:val="00522EA3"/>
    <w:rsid w:val="00535C12"/>
    <w:rsid w:val="00560850"/>
    <w:rsid w:val="00583F9E"/>
    <w:rsid w:val="005944DF"/>
    <w:rsid w:val="006012CF"/>
    <w:rsid w:val="006529A7"/>
    <w:rsid w:val="00682DB4"/>
    <w:rsid w:val="006B06AD"/>
    <w:rsid w:val="006C73F5"/>
    <w:rsid w:val="00710D1D"/>
    <w:rsid w:val="00767CE6"/>
    <w:rsid w:val="0082702C"/>
    <w:rsid w:val="00835778"/>
    <w:rsid w:val="0085557D"/>
    <w:rsid w:val="008C233D"/>
    <w:rsid w:val="008D251C"/>
    <w:rsid w:val="008E0F97"/>
    <w:rsid w:val="008E518F"/>
    <w:rsid w:val="0094139B"/>
    <w:rsid w:val="0094388F"/>
    <w:rsid w:val="009A148F"/>
    <w:rsid w:val="009A187A"/>
    <w:rsid w:val="009D5046"/>
    <w:rsid w:val="00A742D7"/>
    <w:rsid w:val="00AE0CF6"/>
    <w:rsid w:val="00B4319E"/>
    <w:rsid w:val="00B62F14"/>
    <w:rsid w:val="00B76A09"/>
    <w:rsid w:val="00BB2C24"/>
    <w:rsid w:val="00BE66B0"/>
    <w:rsid w:val="00C22608"/>
    <w:rsid w:val="00C25F53"/>
    <w:rsid w:val="00C71B48"/>
    <w:rsid w:val="00C738AC"/>
    <w:rsid w:val="00C95BE4"/>
    <w:rsid w:val="00CA5D8B"/>
    <w:rsid w:val="00CB5B9E"/>
    <w:rsid w:val="00CE15A9"/>
    <w:rsid w:val="00DA7308"/>
    <w:rsid w:val="00DE3591"/>
    <w:rsid w:val="00DF66C2"/>
    <w:rsid w:val="00E50892"/>
    <w:rsid w:val="00E66356"/>
    <w:rsid w:val="00E803C4"/>
    <w:rsid w:val="00F7139B"/>
    <w:rsid w:val="00F74566"/>
    <w:rsid w:val="00FB05B7"/>
    <w:rsid w:val="00FB3E4E"/>
    <w:rsid w:val="00FE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D9BB9D31-A35F-444B-8C2C-4DE59999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ind w:left="720"/>
      <w:outlineLvl w:val="2"/>
    </w:pPr>
    <w:rPr>
      <w:rFonts w:ascii="Arial" w:hAnsi="Arial"/>
      <w:sz w:val="24"/>
    </w:rPr>
  </w:style>
  <w:style w:type="paragraph" w:styleId="Heading4">
    <w:name w:val="heading 4"/>
    <w:basedOn w:val="Normal"/>
    <w:next w:val="Normal"/>
    <w:qFormat/>
    <w:pPr>
      <w:keepNext/>
      <w:numPr>
        <w:ilvl w:val="3"/>
        <w:numId w:val="6"/>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6"/>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6"/>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pPr>
    <w:rPr>
      <w:rFonts w:ascii="Arial" w:hAnsi="Arial"/>
      <w:sz w:val="24"/>
    </w:r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DE3591"/>
    <w:rPr>
      <w:rFonts w:ascii="Tahoma" w:hAnsi="Tahoma"/>
      <w:sz w:val="16"/>
      <w:szCs w:val="16"/>
    </w:rPr>
  </w:style>
  <w:style w:type="character" w:customStyle="1" w:styleId="BalloonTextChar">
    <w:name w:val="Balloon Text Char"/>
    <w:link w:val="BalloonText"/>
    <w:rsid w:val="00DE3591"/>
    <w:rPr>
      <w:rFonts w:ascii="Tahoma" w:hAnsi="Tahoma" w:cs="Tahoma"/>
      <w:sz w:val="16"/>
      <w:szCs w:val="16"/>
    </w:rPr>
  </w:style>
  <w:style w:type="paragraph" w:styleId="ListParagraph">
    <w:name w:val="List Paragraph"/>
    <w:basedOn w:val="Normal"/>
    <w:uiPriority w:val="34"/>
    <w:qFormat/>
    <w:rsid w:val="00DE3591"/>
    <w:pPr>
      <w:ind w:left="720"/>
    </w:pPr>
  </w:style>
  <w:style w:type="character" w:styleId="CommentReference">
    <w:name w:val="annotation reference"/>
    <w:rsid w:val="006B06AD"/>
    <w:rPr>
      <w:sz w:val="16"/>
      <w:szCs w:val="16"/>
    </w:rPr>
  </w:style>
  <w:style w:type="paragraph" w:styleId="CommentText">
    <w:name w:val="annotation text"/>
    <w:basedOn w:val="Normal"/>
    <w:link w:val="CommentTextChar"/>
    <w:rsid w:val="006B06AD"/>
  </w:style>
  <w:style w:type="character" w:customStyle="1" w:styleId="CommentTextChar">
    <w:name w:val="Comment Text Char"/>
    <w:link w:val="CommentText"/>
    <w:rsid w:val="006B06AD"/>
    <w:rPr>
      <w:lang w:val="en-US" w:eastAsia="en-US"/>
    </w:rPr>
  </w:style>
  <w:style w:type="paragraph" w:styleId="CommentSubject">
    <w:name w:val="annotation subject"/>
    <w:basedOn w:val="CommentText"/>
    <w:next w:val="CommentText"/>
    <w:link w:val="CommentSubjectChar"/>
    <w:rsid w:val="006B06AD"/>
    <w:rPr>
      <w:b/>
      <w:bCs/>
    </w:rPr>
  </w:style>
  <w:style w:type="character" w:customStyle="1" w:styleId="CommentSubjectChar">
    <w:name w:val="Comment Subject Char"/>
    <w:link w:val="CommentSubject"/>
    <w:rsid w:val="006B06AD"/>
    <w:rPr>
      <w:b/>
      <w:bCs/>
      <w:lang w:val="en-US" w:eastAsia="en-US"/>
    </w:rPr>
  </w:style>
  <w:style w:type="table" w:styleId="TableGrid">
    <w:name w:val="Table Grid"/>
    <w:basedOn w:val="TableNormal"/>
    <w:rsid w:val="00594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26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RT.001 ABO Grouping</vt:lpstr>
    </vt:vector>
  </TitlesOfParts>
  <Company>The Ottawa Hospital</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RT.001 ABO Grouping</dc:title>
  <dc:creator>Transfusion Ontario Program Office</dc:creator>
  <cp:lastModifiedBy>Nesrallah, Heather</cp:lastModifiedBy>
  <cp:revision>2</cp:revision>
  <cp:lastPrinted>2014-03-13T13:22:00Z</cp:lastPrinted>
  <dcterms:created xsi:type="dcterms:W3CDTF">2020-08-10T17:25:00Z</dcterms:created>
  <dcterms:modified xsi:type="dcterms:W3CDTF">2020-08-10T17:25:00Z</dcterms:modified>
</cp:coreProperties>
</file>