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FF" w:rsidRDefault="003245FF">
      <w:pPr>
        <w:numPr>
          <w:ilvl w:val="0"/>
          <w:numId w:val="1"/>
        </w:numPr>
        <w:rPr>
          <w:rFonts w:ascii="Arial" w:hAnsi="Arial"/>
          <w:b/>
          <w:sz w:val="28"/>
        </w:rPr>
      </w:pPr>
      <w:bookmarkStart w:id="0" w:name="_GoBack"/>
      <w:bookmarkEnd w:id="0"/>
      <w:r>
        <w:rPr>
          <w:rFonts w:ascii="Arial" w:hAnsi="Arial"/>
          <w:b/>
          <w:sz w:val="28"/>
        </w:rPr>
        <w:t>Principle</w:t>
      </w:r>
    </w:p>
    <w:p w:rsidR="003245FF" w:rsidRDefault="003245FF">
      <w:pPr>
        <w:rPr>
          <w:rFonts w:ascii="Arial" w:hAnsi="Arial"/>
          <w:b/>
          <w:sz w:val="24"/>
        </w:rPr>
      </w:pPr>
    </w:p>
    <w:p w:rsidR="003245FF" w:rsidRDefault="00714881">
      <w:pPr>
        <w:ind w:left="720"/>
        <w:rPr>
          <w:rFonts w:ascii="Arial" w:hAnsi="Arial"/>
          <w:sz w:val="24"/>
        </w:rPr>
      </w:pPr>
      <w:r>
        <w:rPr>
          <w:rFonts w:ascii="Arial" w:hAnsi="Arial"/>
          <w:spacing w:val="-2"/>
          <w:sz w:val="24"/>
          <w:lang w:val="en-GB"/>
        </w:rPr>
        <w:t>A red cell suspension of approximately 3% in normal saline is used for many common serologic procedures. This strength of red cell suspension results in the appropriate serum to cell ratio and ensures an adequate number of red cells to allow for grading and interpretation of test results.</w:t>
      </w:r>
    </w:p>
    <w:p w:rsidR="003245FF" w:rsidRDefault="003245FF">
      <w:pPr>
        <w:ind w:left="720"/>
        <w:rPr>
          <w:rFonts w:ascii="Arial" w:hAnsi="Arial"/>
          <w:sz w:val="24"/>
        </w:rPr>
      </w:pPr>
    </w:p>
    <w:p w:rsidR="003245FF" w:rsidRDefault="003245FF">
      <w:pPr>
        <w:numPr>
          <w:ilvl w:val="0"/>
          <w:numId w:val="1"/>
        </w:numPr>
        <w:rPr>
          <w:rFonts w:ascii="Arial" w:hAnsi="Arial"/>
          <w:b/>
          <w:sz w:val="28"/>
        </w:rPr>
      </w:pPr>
      <w:r>
        <w:rPr>
          <w:rFonts w:ascii="Arial" w:hAnsi="Arial"/>
          <w:b/>
          <w:sz w:val="28"/>
        </w:rPr>
        <w:t>Scope and Related Policies</w:t>
      </w:r>
    </w:p>
    <w:p w:rsidR="003245FF" w:rsidRDefault="003245FF">
      <w:pPr>
        <w:rPr>
          <w:rFonts w:ascii="Arial" w:hAnsi="Arial"/>
          <w:b/>
          <w:sz w:val="24"/>
        </w:rPr>
      </w:pPr>
    </w:p>
    <w:p w:rsidR="003245FF" w:rsidRDefault="00714881">
      <w:pPr>
        <w:numPr>
          <w:ilvl w:val="1"/>
          <w:numId w:val="1"/>
        </w:numPr>
        <w:suppressAutoHyphens/>
        <w:ind w:right="720"/>
        <w:rPr>
          <w:rFonts w:ascii="Arial" w:hAnsi="Arial"/>
          <w:spacing w:val="-2"/>
          <w:sz w:val="24"/>
          <w:lang w:val="en-GB"/>
        </w:rPr>
      </w:pPr>
      <w:r>
        <w:rPr>
          <w:rFonts w:ascii="Arial" w:hAnsi="Arial"/>
          <w:spacing w:val="-2"/>
          <w:sz w:val="24"/>
          <w:lang w:val="en-GB"/>
        </w:rPr>
        <w:t>A 3% red cell suspension is used for the following test methods:</w:t>
      </w:r>
    </w:p>
    <w:p w:rsidR="00A26689" w:rsidRDefault="00A26689" w:rsidP="00A26689">
      <w:pPr>
        <w:suppressAutoHyphens/>
        <w:ind w:left="720" w:right="720"/>
        <w:rPr>
          <w:rFonts w:ascii="Arial" w:hAnsi="Arial"/>
          <w:spacing w:val="-2"/>
          <w:sz w:val="24"/>
          <w:lang w:val="en-GB"/>
        </w:rPr>
      </w:pPr>
    </w:p>
    <w:p w:rsidR="00714881" w:rsidRDefault="00714881" w:rsidP="00A26689">
      <w:pPr>
        <w:numPr>
          <w:ilvl w:val="0"/>
          <w:numId w:val="15"/>
        </w:numPr>
        <w:tabs>
          <w:tab w:val="left" w:pos="1800"/>
        </w:tabs>
        <w:suppressAutoHyphens/>
        <w:ind w:right="720" w:hanging="720"/>
        <w:rPr>
          <w:rFonts w:ascii="Arial" w:hAnsi="Arial"/>
          <w:spacing w:val="-2"/>
          <w:sz w:val="24"/>
          <w:lang w:val="en-GB"/>
        </w:rPr>
      </w:pPr>
      <w:r>
        <w:rPr>
          <w:rFonts w:ascii="Arial" w:hAnsi="Arial"/>
          <w:spacing w:val="-2"/>
          <w:sz w:val="24"/>
          <w:lang w:val="en-GB"/>
        </w:rPr>
        <w:t>ABO and Rh typing</w:t>
      </w:r>
    </w:p>
    <w:p w:rsidR="00A26689" w:rsidRDefault="00A26689" w:rsidP="00A26689">
      <w:pPr>
        <w:tabs>
          <w:tab w:val="left" w:pos="1800"/>
        </w:tabs>
        <w:suppressAutoHyphens/>
        <w:ind w:left="1440" w:right="720"/>
        <w:rPr>
          <w:rFonts w:ascii="Arial" w:hAnsi="Arial"/>
          <w:spacing w:val="-2"/>
          <w:sz w:val="24"/>
          <w:lang w:val="en-GB"/>
        </w:rPr>
      </w:pPr>
    </w:p>
    <w:p w:rsidR="00714881" w:rsidRDefault="00714881" w:rsidP="00A26689">
      <w:pPr>
        <w:numPr>
          <w:ilvl w:val="0"/>
          <w:numId w:val="15"/>
        </w:numPr>
        <w:tabs>
          <w:tab w:val="left" w:pos="1800"/>
        </w:tabs>
        <w:suppressAutoHyphens/>
        <w:ind w:right="720" w:hanging="720"/>
        <w:rPr>
          <w:rFonts w:ascii="Arial" w:hAnsi="Arial"/>
          <w:spacing w:val="-2"/>
          <w:sz w:val="24"/>
          <w:lang w:val="en-GB"/>
        </w:rPr>
      </w:pPr>
      <w:r>
        <w:rPr>
          <w:rFonts w:ascii="Arial" w:hAnsi="Arial"/>
          <w:spacing w:val="-2"/>
          <w:sz w:val="24"/>
          <w:lang w:val="en-GB"/>
        </w:rPr>
        <w:t>Direct antiglobulin test and auto control</w:t>
      </w:r>
    </w:p>
    <w:p w:rsidR="00A26689" w:rsidRDefault="00A26689" w:rsidP="00A26689">
      <w:pPr>
        <w:tabs>
          <w:tab w:val="left" w:pos="1800"/>
        </w:tabs>
        <w:suppressAutoHyphens/>
        <w:ind w:right="720"/>
        <w:rPr>
          <w:rFonts w:ascii="Arial" w:hAnsi="Arial"/>
          <w:spacing w:val="-2"/>
          <w:sz w:val="24"/>
          <w:lang w:val="en-GB"/>
        </w:rPr>
      </w:pPr>
    </w:p>
    <w:p w:rsidR="00714881" w:rsidRDefault="00714881" w:rsidP="00A26689">
      <w:pPr>
        <w:numPr>
          <w:ilvl w:val="0"/>
          <w:numId w:val="15"/>
        </w:numPr>
        <w:tabs>
          <w:tab w:val="left" w:pos="1800"/>
        </w:tabs>
        <w:suppressAutoHyphens/>
        <w:ind w:right="720" w:hanging="720"/>
        <w:rPr>
          <w:rFonts w:ascii="Arial" w:hAnsi="Arial"/>
          <w:spacing w:val="-2"/>
          <w:sz w:val="24"/>
          <w:lang w:val="en-GB"/>
        </w:rPr>
      </w:pPr>
      <w:r>
        <w:rPr>
          <w:rFonts w:ascii="Arial" w:hAnsi="Arial"/>
          <w:spacing w:val="-2"/>
          <w:sz w:val="24"/>
          <w:lang w:val="en-GB"/>
        </w:rPr>
        <w:t>Donor unit compatibility (crossmatch)</w:t>
      </w:r>
    </w:p>
    <w:p w:rsidR="00A26689" w:rsidRDefault="00A26689" w:rsidP="00A26689">
      <w:pPr>
        <w:tabs>
          <w:tab w:val="left" w:pos="1800"/>
        </w:tabs>
        <w:suppressAutoHyphens/>
        <w:ind w:right="720"/>
        <w:rPr>
          <w:rFonts w:ascii="Arial" w:hAnsi="Arial"/>
          <w:spacing w:val="-2"/>
          <w:sz w:val="24"/>
          <w:lang w:val="en-GB"/>
        </w:rPr>
      </w:pPr>
    </w:p>
    <w:p w:rsidR="00714881" w:rsidRDefault="00714881" w:rsidP="00A26689">
      <w:pPr>
        <w:numPr>
          <w:ilvl w:val="0"/>
          <w:numId w:val="15"/>
        </w:numPr>
        <w:tabs>
          <w:tab w:val="left" w:pos="1800"/>
        </w:tabs>
        <w:suppressAutoHyphens/>
        <w:ind w:right="720" w:hanging="720"/>
        <w:rPr>
          <w:rFonts w:ascii="Arial" w:hAnsi="Arial"/>
          <w:spacing w:val="-2"/>
          <w:sz w:val="24"/>
          <w:lang w:val="en-GB"/>
        </w:rPr>
      </w:pPr>
      <w:r>
        <w:rPr>
          <w:rFonts w:ascii="Arial" w:hAnsi="Arial"/>
          <w:spacing w:val="-2"/>
          <w:sz w:val="24"/>
          <w:lang w:val="en-GB"/>
        </w:rPr>
        <w:t>Red cell phenotyping</w:t>
      </w:r>
    </w:p>
    <w:p w:rsidR="003245FF" w:rsidRDefault="003245FF">
      <w:pPr>
        <w:suppressAutoHyphens/>
        <w:ind w:left="1440"/>
        <w:rPr>
          <w:rFonts w:ascii="Arial" w:hAnsi="Arial"/>
          <w:spacing w:val="-2"/>
          <w:sz w:val="24"/>
          <w:lang w:val="en-GB"/>
        </w:rPr>
      </w:pPr>
    </w:p>
    <w:p w:rsidR="003245FF" w:rsidRDefault="00714881">
      <w:pPr>
        <w:numPr>
          <w:ilvl w:val="1"/>
          <w:numId w:val="1"/>
        </w:numPr>
        <w:suppressAutoHyphens/>
        <w:ind w:right="720"/>
        <w:rPr>
          <w:rFonts w:ascii="Arial" w:hAnsi="Arial"/>
          <w:spacing w:val="-2"/>
          <w:sz w:val="24"/>
          <w:lang w:val="en-GB"/>
        </w:rPr>
      </w:pPr>
      <w:r>
        <w:rPr>
          <w:rFonts w:ascii="Arial" w:hAnsi="Arial"/>
          <w:spacing w:val="-2"/>
          <w:sz w:val="24"/>
          <w:lang w:val="en-GB"/>
        </w:rPr>
        <w:t>Red cell suspensions should be</w:t>
      </w:r>
      <w:r w:rsidR="0066502C">
        <w:rPr>
          <w:rFonts w:ascii="Arial" w:hAnsi="Arial"/>
          <w:spacing w:val="-2"/>
          <w:sz w:val="24"/>
          <w:lang w:val="en-GB"/>
        </w:rPr>
        <w:t xml:space="preserve"> used for testing on the day of </w:t>
      </w:r>
      <w:r>
        <w:rPr>
          <w:rFonts w:ascii="Arial" w:hAnsi="Arial"/>
          <w:spacing w:val="-2"/>
          <w:sz w:val="24"/>
          <w:lang w:val="en-GB"/>
        </w:rPr>
        <w:t>preparation for best results.</w:t>
      </w:r>
    </w:p>
    <w:p w:rsidR="00714881" w:rsidRDefault="00714881" w:rsidP="00714881">
      <w:pPr>
        <w:suppressAutoHyphens/>
        <w:ind w:left="720" w:right="720"/>
        <w:rPr>
          <w:rFonts w:ascii="Arial" w:hAnsi="Arial"/>
          <w:spacing w:val="-2"/>
          <w:sz w:val="24"/>
          <w:lang w:val="en-GB"/>
        </w:rPr>
      </w:pPr>
    </w:p>
    <w:p w:rsidR="00714881" w:rsidRDefault="00714881">
      <w:pPr>
        <w:numPr>
          <w:ilvl w:val="1"/>
          <w:numId w:val="1"/>
        </w:numPr>
        <w:suppressAutoHyphens/>
        <w:ind w:right="720"/>
        <w:rPr>
          <w:rFonts w:ascii="Arial" w:hAnsi="Arial"/>
          <w:spacing w:val="-2"/>
          <w:sz w:val="24"/>
          <w:lang w:val="en-GB"/>
        </w:rPr>
      </w:pPr>
      <w:r>
        <w:rPr>
          <w:rFonts w:ascii="Arial" w:hAnsi="Arial"/>
          <w:spacing w:val="-2"/>
          <w:sz w:val="24"/>
          <w:lang w:val="en-GB"/>
        </w:rPr>
        <w:t xml:space="preserve">A clerical check must be performed to ensure the patient identification on the specimen used for testing is identical to the information on the request form. </w:t>
      </w:r>
    </w:p>
    <w:p w:rsidR="003245FF" w:rsidRDefault="003245FF">
      <w:pPr>
        <w:rPr>
          <w:rFonts w:ascii="Arial" w:hAnsi="Arial"/>
          <w:sz w:val="24"/>
        </w:rPr>
      </w:pPr>
    </w:p>
    <w:p w:rsidR="003245FF" w:rsidRDefault="003245FF">
      <w:pPr>
        <w:numPr>
          <w:ilvl w:val="0"/>
          <w:numId w:val="1"/>
        </w:numPr>
        <w:rPr>
          <w:rFonts w:ascii="Arial" w:hAnsi="Arial"/>
          <w:b/>
          <w:sz w:val="28"/>
        </w:rPr>
      </w:pPr>
      <w:r>
        <w:rPr>
          <w:rFonts w:ascii="Arial" w:hAnsi="Arial"/>
          <w:b/>
          <w:sz w:val="28"/>
        </w:rPr>
        <w:t>Specimen</w:t>
      </w:r>
    </w:p>
    <w:p w:rsidR="003245FF" w:rsidRDefault="003245FF">
      <w:pPr>
        <w:rPr>
          <w:rFonts w:ascii="Arial" w:hAnsi="Arial"/>
          <w:sz w:val="24"/>
        </w:rPr>
      </w:pPr>
    </w:p>
    <w:p w:rsidR="003245FF" w:rsidRDefault="00714881">
      <w:pPr>
        <w:ind w:left="720"/>
        <w:rPr>
          <w:rFonts w:ascii="Arial" w:hAnsi="Arial"/>
          <w:sz w:val="24"/>
        </w:rPr>
      </w:pPr>
      <w:r>
        <w:rPr>
          <w:rFonts w:ascii="Arial" w:hAnsi="Arial"/>
          <w:sz w:val="24"/>
        </w:rPr>
        <w:t>EDTA anticoagulated whole blood</w:t>
      </w:r>
      <w:r w:rsidR="00083C7B">
        <w:rPr>
          <w:rFonts w:ascii="Arial" w:hAnsi="Arial"/>
          <w:sz w:val="24"/>
        </w:rPr>
        <w:br/>
      </w:r>
      <w:r w:rsidR="00083C7B">
        <w:rPr>
          <w:rFonts w:ascii="Arial" w:hAnsi="Arial"/>
          <w:sz w:val="24"/>
        </w:rPr>
        <w:br/>
      </w:r>
      <w:r w:rsidR="00083C7B">
        <w:rPr>
          <w:rFonts w:ascii="Arial" w:hAnsi="Arial"/>
          <w:sz w:val="24"/>
        </w:rPr>
        <w:br/>
      </w:r>
    </w:p>
    <w:p w:rsidR="003245FF" w:rsidRDefault="003245FF">
      <w:pPr>
        <w:ind w:left="720"/>
        <w:rPr>
          <w:rFonts w:ascii="Arial" w:hAnsi="Arial"/>
          <w:sz w:val="24"/>
        </w:rPr>
      </w:pPr>
    </w:p>
    <w:p w:rsidR="003245FF" w:rsidRDefault="003245FF">
      <w:pPr>
        <w:numPr>
          <w:ilvl w:val="0"/>
          <w:numId w:val="1"/>
        </w:numPr>
        <w:rPr>
          <w:rFonts w:ascii="Arial" w:hAnsi="Arial"/>
          <w:b/>
          <w:sz w:val="28"/>
        </w:rPr>
      </w:pPr>
      <w:r>
        <w:rPr>
          <w:rFonts w:ascii="Arial" w:hAnsi="Arial"/>
          <w:b/>
          <w:sz w:val="28"/>
        </w:rPr>
        <w:t>Material</w:t>
      </w:r>
    </w:p>
    <w:p w:rsidR="003245FF" w:rsidRDefault="003245FF">
      <w:pPr>
        <w:rPr>
          <w:rFonts w:ascii="Arial" w:hAnsi="Arial"/>
          <w:sz w:val="24"/>
        </w:rPr>
      </w:pPr>
    </w:p>
    <w:p w:rsidR="003245FF" w:rsidRDefault="003245FF">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Block for test tubes</w:t>
      </w:r>
    </w:p>
    <w:p w:rsidR="003245FF" w:rsidRDefault="003245FF">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3245FF" w:rsidRDefault="003245FF">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4D4A5E">
        <w:rPr>
          <w:rFonts w:ascii="Arial" w:hAnsi="Arial"/>
          <w:sz w:val="24"/>
        </w:rPr>
        <w:t xml:space="preserve"> </w:t>
      </w:r>
      <w:r>
        <w:rPr>
          <w:rFonts w:ascii="Arial" w:hAnsi="Arial"/>
          <w:sz w:val="24"/>
        </w:rPr>
        <w:t>mm</w:t>
      </w:r>
    </w:p>
    <w:p w:rsidR="003245FF" w:rsidRDefault="003245FF">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3245FF" w:rsidRDefault="003245FF">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3245FF" w:rsidRDefault="003245FF">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smartTag w:uri="urn:schemas-microsoft-com:office:smarttags" w:element="place">
        <w:r w:rsidR="004D4A5E">
          <w:rPr>
            <w:rFonts w:ascii="Arial" w:hAnsi="Arial"/>
            <w:sz w:val="24"/>
          </w:rPr>
          <w:t>Normal</w:t>
        </w:r>
      </w:smartTag>
      <w:r w:rsidR="004D4A5E">
        <w:rPr>
          <w:rFonts w:ascii="Arial" w:hAnsi="Arial"/>
          <w:sz w:val="24"/>
        </w:rPr>
        <w:t xml:space="preserve"> s</w:t>
      </w:r>
      <w:r>
        <w:rPr>
          <w:rFonts w:ascii="Arial" w:hAnsi="Arial"/>
          <w:sz w:val="24"/>
        </w:rPr>
        <w:t>aline</w:t>
      </w:r>
    </w:p>
    <w:p w:rsidR="003245FF" w:rsidRDefault="003245FF" w:rsidP="00714881">
      <w:pPr>
        <w:suppressAutoHyphens/>
        <w:ind w:left="2880"/>
        <w:rPr>
          <w:rFonts w:ascii="Arial" w:hAnsi="Arial"/>
          <w:sz w:val="24"/>
        </w:rPr>
      </w:pPr>
      <w:r>
        <w:rPr>
          <w:rFonts w:ascii="Arial" w:hAnsi="Arial"/>
          <w:sz w:val="24"/>
        </w:rPr>
        <w:tab/>
      </w:r>
      <w:r>
        <w:rPr>
          <w:rFonts w:ascii="Arial" w:hAnsi="Arial"/>
          <w:sz w:val="24"/>
        </w:rPr>
        <w:tab/>
      </w:r>
    </w:p>
    <w:p w:rsidR="003245FF" w:rsidRDefault="00714881">
      <w:pPr>
        <w:numPr>
          <w:ilvl w:val="0"/>
          <w:numId w:val="1"/>
        </w:numPr>
        <w:rPr>
          <w:rFonts w:ascii="Arial" w:hAnsi="Arial"/>
          <w:b/>
          <w:sz w:val="28"/>
        </w:rPr>
      </w:pPr>
      <w:r>
        <w:rPr>
          <w:rFonts w:ascii="Arial" w:hAnsi="Arial"/>
          <w:b/>
          <w:sz w:val="28"/>
        </w:rPr>
        <w:t>Quality Control</w:t>
      </w:r>
    </w:p>
    <w:p w:rsidR="00714881" w:rsidRPr="00714881" w:rsidRDefault="00714881" w:rsidP="00714881">
      <w:pPr>
        <w:rPr>
          <w:rFonts w:ascii="Arial" w:hAnsi="Arial"/>
          <w:sz w:val="24"/>
          <w:szCs w:val="24"/>
        </w:rPr>
      </w:pPr>
    </w:p>
    <w:p w:rsidR="00714881" w:rsidRDefault="00714881" w:rsidP="00714881">
      <w:pPr>
        <w:numPr>
          <w:ilvl w:val="1"/>
          <w:numId w:val="1"/>
        </w:numPr>
        <w:rPr>
          <w:rFonts w:ascii="Arial" w:hAnsi="Arial"/>
          <w:sz w:val="24"/>
          <w:szCs w:val="24"/>
        </w:rPr>
      </w:pPr>
      <w:r w:rsidRPr="00714881">
        <w:rPr>
          <w:rFonts w:ascii="Arial" w:hAnsi="Arial"/>
          <w:sz w:val="24"/>
          <w:szCs w:val="24"/>
        </w:rPr>
        <w:t>The prepared 3% red cell can be compared visually to a commercially prepared 3% red cell suspension to ensure the appropriate strength has been achieved.</w:t>
      </w:r>
    </w:p>
    <w:p w:rsidR="00714881" w:rsidRDefault="00714881" w:rsidP="00714881">
      <w:pPr>
        <w:ind w:left="720"/>
        <w:rPr>
          <w:rFonts w:ascii="Arial" w:hAnsi="Arial"/>
          <w:sz w:val="24"/>
          <w:szCs w:val="24"/>
        </w:rPr>
      </w:pPr>
    </w:p>
    <w:p w:rsidR="00714881" w:rsidRDefault="00714881" w:rsidP="00714881">
      <w:pPr>
        <w:numPr>
          <w:ilvl w:val="1"/>
          <w:numId w:val="1"/>
        </w:numPr>
        <w:rPr>
          <w:rFonts w:ascii="Arial" w:hAnsi="Arial"/>
          <w:sz w:val="24"/>
          <w:szCs w:val="24"/>
        </w:rPr>
      </w:pPr>
      <w:r>
        <w:rPr>
          <w:rFonts w:ascii="Arial" w:hAnsi="Arial"/>
          <w:sz w:val="24"/>
          <w:szCs w:val="24"/>
        </w:rPr>
        <w:t>The 3% red cell suspension must be well mixed prior to using for testing.</w:t>
      </w:r>
    </w:p>
    <w:p w:rsidR="003245FF" w:rsidRDefault="003245FF">
      <w:pPr>
        <w:ind w:left="720"/>
        <w:rPr>
          <w:rFonts w:ascii="Arial" w:hAnsi="Arial"/>
          <w:sz w:val="24"/>
        </w:rPr>
      </w:pPr>
    </w:p>
    <w:p w:rsidR="003245FF" w:rsidRDefault="003245FF">
      <w:pPr>
        <w:numPr>
          <w:ilvl w:val="0"/>
          <w:numId w:val="1"/>
        </w:numPr>
        <w:rPr>
          <w:rFonts w:ascii="Arial" w:hAnsi="Arial"/>
          <w:b/>
          <w:sz w:val="28"/>
        </w:rPr>
      </w:pPr>
      <w:r>
        <w:rPr>
          <w:rFonts w:ascii="Arial" w:hAnsi="Arial"/>
          <w:b/>
          <w:sz w:val="28"/>
        </w:rPr>
        <w:t>Procedure</w:t>
      </w:r>
    </w:p>
    <w:p w:rsidR="00C73771" w:rsidRDefault="00C73771" w:rsidP="00C73771">
      <w:pPr>
        <w:ind w:left="720"/>
        <w:rPr>
          <w:rFonts w:ascii="Arial" w:hAnsi="Arial"/>
          <w:b/>
          <w:sz w:val="28"/>
        </w:rPr>
      </w:pPr>
    </w:p>
    <w:tbl>
      <w:tblPr>
        <w:tblW w:w="9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06"/>
      </w:tblGrid>
      <w:tr w:rsidR="0046797E" w:rsidRPr="003300E3" w:rsidTr="003300E3">
        <w:tc>
          <w:tcPr>
            <w:tcW w:w="2269" w:type="dxa"/>
            <w:shd w:val="clear" w:color="auto" w:fill="D9D9D9"/>
          </w:tcPr>
          <w:p w:rsidR="0046797E" w:rsidRPr="003300E3" w:rsidRDefault="0046797E" w:rsidP="003300E3">
            <w:pPr>
              <w:jc w:val="center"/>
              <w:rPr>
                <w:rFonts w:ascii="Arial" w:hAnsi="Arial"/>
                <w:b/>
                <w:sz w:val="24"/>
                <w:szCs w:val="24"/>
              </w:rPr>
            </w:pPr>
            <w:r w:rsidRPr="003300E3">
              <w:rPr>
                <w:rFonts w:ascii="Arial" w:hAnsi="Arial"/>
                <w:b/>
                <w:sz w:val="24"/>
                <w:szCs w:val="24"/>
              </w:rPr>
              <w:t>STEP</w:t>
            </w:r>
          </w:p>
        </w:tc>
        <w:tc>
          <w:tcPr>
            <w:tcW w:w="7006" w:type="dxa"/>
            <w:shd w:val="clear" w:color="auto" w:fill="D9D9D9"/>
          </w:tcPr>
          <w:p w:rsidR="0046797E" w:rsidRPr="003300E3" w:rsidRDefault="0046797E" w:rsidP="003300E3">
            <w:pPr>
              <w:jc w:val="center"/>
              <w:rPr>
                <w:rFonts w:ascii="Arial" w:hAnsi="Arial"/>
                <w:b/>
                <w:sz w:val="24"/>
                <w:szCs w:val="24"/>
              </w:rPr>
            </w:pPr>
            <w:r w:rsidRPr="003300E3">
              <w:rPr>
                <w:rFonts w:ascii="Arial" w:hAnsi="Arial"/>
                <w:b/>
                <w:sz w:val="24"/>
                <w:szCs w:val="24"/>
              </w:rPr>
              <w:t>ACTION</w:t>
            </w:r>
          </w:p>
        </w:tc>
      </w:tr>
      <w:tr w:rsidR="0046797E" w:rsidRPr="003300E3" w:rsidTr="003300E3">
        <w:trPr>
          <w:trHeight w:val="2434"/>
        </w:trPr>
        <w:tc>
          <w:tcPr>
            <w:tcW w:w="2269" w:type="dxa"/>
            <w:shd w:val="clear" w:color="auto" w:fill="auto"/>
          </w:tcPr>
          <w:p w:rsidR="0046797E" w:rsidRPr="003300E3" w:rsidRDefault="0046797E" w:rsidP="003300E3">
            <w:pPr>
              <w:numPr>
                <w:ilvl w:val="0"/>
                <w:numId w:val="18"/>
              </w:numPr>
              <w:ind w:left="601" w:hanging="567"/>
              <w:rPr>
                <w:rFonts w:ascii="Arial" w:hAnsi="Arial"/>
                <w:sz w:val="24"/>
                <w:szCs w:val="24"/>
              </w:rPr>
            </w:pPr>
            <w:r w:rsidRPr="003300E3">
              <w:rPr>
                <w:rFonts w:ascii="Arial" w:hAnsi="Arial"/>
                <w:sz w:val="24"/>
                <w:szCs w:val="24"/>
              </w:rPr>
              <w:t>Label Tubes</w:t>
            </w:r>
          </w:p>
        </w:tc>
        <w:tc>
          <w:tcPr>
            <w:tcW w:w="7006" w:type="dxa"/>
            <w:shd w:val="clear" w:color="auto" w:fill="auto"/>
          </w:tcPr>
          <w:tbl>
            <w:tblPr>
              <w:tblpPr w:leftFromText="180" w:rightFromText="180" w:vertAnchor="text" w:horzAnchor="margin"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525"/>
            </w:tblGrid>
            <w:tr w:rsidR="0046797E" w:rsidRPr="00934530" w:rsidTr="003300E3">
              <w:trPr>
                <w:trHeight w:val="305"/>
              </w:trPr>
              <w:tc>
                <w:tcPr>
                  <w:tcW w:w="2972" w:type="dxa"/>
                  <w:shd w:val="clear" w:color="auto" w:fill="F2F2F2"/>
                </w:tcPr>
                <w:p w:rsidR="0046797E" w:rsidRPr="00934530" w:rsidRDefault="0046797E" w:rsidP="0046797E">
                  <w:pPr>
                    <w:contextualSpacing/>
                    <w:jc w:val="center"/>
                    <w:rPr>
                      <w:rFonts w:ascii="Arial" w:eastAsia="Calibri" w:hAnsi="Arial"/>
                      <w:b/>
                      <w:i/>
                      <w:sz w:val="24"/>
                      <w:szCs w:val="22"/>
                      <w:lang w:val="en-CA"/>
                    </w:rPr>
                  </w:pPr>
                  <w:r w:rsidRPr="00934530">
                    <w:rPr>
                      <w:rFonts w:ascii="Arial" w:eastAsia="Calibri" w:hAnsi="Arial"/>
                      <w:b/>
                      <w:i/>
                      <w:sz w:val="24"/>
                      <w:szCs w:val="22"/>
                      <w:lang w:val="en-CA"/>
                    </w:rPr>
                    <w:t>If</w:t>
                  </w:r>
                </w:p>
              </w:tc>
              <w:tc>
                <w:tcPr>
                  <w:tcW w:w="6331" w:type="dxa"/>
                  <w:shd w:val="clear" w:color="auto" w:fill="F2F2F2"/>
                </w:tcPr>
                <w:p w:rsidR="0046797E" w:rsidRPr="00934530" w:rsidRDefault="00C73771" w:rsidP="0046797E">
                  <w:pPr>
                    <w:contextualSpacing/>
                    <w:jc w:val="center"/>
                    <w:rPr>
                      <w:rFonts w:ascii="Arial" w:eastAsia="Calibri" w:hAnsi="Arial"/>
                      <w:b/>
                      <w:i/>
                      <w:sz w:val="24"/>
                      <w:szCs w:val="22"/>
                      <w:lang w:val="en-CA"/>
                    </w:rPr>
                  </w:pPr>
                  <w:r>
                    <w:rPr>
                      <w:rFonts w:ascii="Arial" w:eastAsia="Calibri" w:hAnsi="Arial"/>
                      <w:b/>
                      <w:i/>
                      <w:sz w:val="24"/>
                      <w:szCs w:val="22"/>
                      <w:lang w:val="en-CA"/>
                    </w:rPr>
                    <w:t>T</w:t>
                  </w:r>
                  <w:r w:rsidR="0046797E" w:rsidRPr="00934530">
                    <w:rPr>
                      <w:rFonts w:ascii="Arial" w:eastAsia="Calibri" w:hAnsi="Arial"/>
                      <w:b/>
                      <w:i/>
                      <w:sz w:val="24"/>
                      <w:szCs w:val="22"/>
                      <w:lang w:val="en-CA"/>
                    </w:rPr>
                    <w:t>hen</w:t>
                  </w:r>
                </w:p>
              </w:tc>
            </w:tr>
            <w:tr w:rsidR="0046797E" w:rsidRPr="00934530" w:rsidTr="003300E3">
              <w:trPr>
                <w:trHeight w:val="1170"/>
              </w:trPr>
              <w:tc>
                <w:tcPr>
                  <w:tcW w:w="2972" w:type="dxa"/>
                  <w:shd w:val="clear" w:color="auto" w:fill="auto"/>
                </w:tcPr>
                <w:p w:rsidR="0046797E" w:rsidRPr="00934530" w:rsidRDefault="0046797E" w:rsidP="0046797E">
                  <w:pPr>
                    <w:rPr>
                      <w:rFonts w:ascii="Arial" w:eastAsia="Calibri" w:hAnsi="Arial"/>
                      <w:sz w:val="24"/>
                      <w:szCs w:val="22"/>
                      <w:lang w:val="en-CA"/>
                    </w:rPr>
                  </w:pPr>
                  <w:r w:rsidRPr="00934530">
                    <w:rPr>
                      <w:rFonts w:ascii="Arial" w:eastAsia="Calibri" w:hAnsi="Arial"/>
                      <w:sz w:val="24"/>
                      <w:szCs w:val="22"/>
                      <w:lang w:val="en-CA"/>
                    </w:rPr>
                    <w:t>Patient cells</w:t>
                  </w:r>
                </w:p>
                <w:p w:rsidR="0046797E" w:rsidRPr="00934530" w:rsidRDefault="0046797E" w:rsidP="0046797E">
                  <w:pPr>
                    <w:contextualSpacing/>
                    <w:rPr>
                      <w:rFonts w:ascii="Arial" w:eastAsia="Calibri" w:hAnsi="Arial"/>
                      <w:sz w:val="24"/>
                      <w:szCs w:val="22"/>
                      <w:lang w:val="en-CA"/>
                    </w:rPr>
                  </w:pPr>
                </w:p>
              </w:tc>
              <w:tc>
                <w:tcPr>
                  <w:tcW w:w="6331" w:type="dxa"/>
                  <w:shd w:val="clear" w:color="auto" w:fill="auto"/>
                </w:tcPr>
                <w:p w:rsidR="0046797E" w:rsidRPr="00934530" w:rsidRDefault="0046797E" w:rsidP="0046797E">
                  <w:pPr>
                    <w:contextualSpacing/>
                    <w:rPr>
                      <w:rFonts w:ascii="Arial" w:eastAsia="Calibri" w:hAnsi="Arial"/>
                      <w:sz w:val="24"/>
                      <w:szCs w:val="22"/>
                      <w:lang w:val="en-CA"/>
                    </w:rPr>
                  </w:pPr>
                  <w:r w:rsidRPr="00934530">
                    <w:rPr>
                      <w:rFonts w:ascii="Arial" w:eastAsia="Calibri" w:hAnsi="Arial"/>
                      <w:sz w:val="24"/>
                      <w:szCs w:val="22"/>
                      <w:lang w:val="en-CA"/>
                    </w:rPr>
                    <w:t>Label a test tube with the first three letters of the patient’s family name: transcribe this from the specimen tube not from the request form.</w:t>
                  </w:r>
                </w:p>
              </w:tc>
            </w:tr>
            <w:tr w:rsidR="0046797E" w:rsidRPr="00934530" w:rsidTr="003300E3">
              <w:trPr>
                <w:trHeight w:val="593"/>
              </w:trPr>
              <w:tc>
                <w:tcPr>
                  <w:tcW w:w="2972" w:type="dxa"/>
                  <w:shd w:val="clear" w:color="auto" w:fill="auto"/>
                </w:tcPr>
                <w:p w:rsidR="0046797E" w:rsidRPr="00934530" w:rsidRDefault="0046797E" w:rsidP="0046797E">
                  <w:pPr>
                    <w:rPr>
                      <w:rFonts w:ascii="Arial" w:eastAsia="Calibri" w:hAnsi="Arial"/>
                      <w:sz w:val="24"/>
                      <w:szCs w:val="22"/>
                      <w:lang w:val="en-CA"/>
                    </w:rPr>
                  </w:pPr>
                  <w:r w:rsidRPr="00934530">
                    <w:rPr>
                      <w:rFonts w:ascii="Arial" w:eastAsia="Calibri" w:hAnsi="Arial"/>
                      <w:sz w:val="24"/>
                      <w:szCs w:val="22"/>
                      <w:lang w:val="en-CA"/>
                    </w:rPr>
                    <w:t>Donor unit cells</w:t>
                  </w:r>
                </w:p>
                <w:p w:rsidR="0046797E" w:rsidRPr="00934530" w:rsidRDefault="0046797E" w:rsidP="0046797E">
                  <w:pPr>
                    <w:contextualSpacing/>
                    <w:rPr>
                      <w:rFonts w:ascii="Arial" w:eastAsia="Calibri" w:hAnsi="Arial"/>
                      <w:sz w:val="24"/>
                      <w:szCs w:val="22"/>
                      <w:lang w:val="en-CA"/>
                    </w:rPr>
                  </w:pPr>
                </w:p>
              </w:tc>
              <w:tc>
                <w:tcPr>
                  <w:tcW w:w="6331" w:type="dxa"/>
                  <w:shd w:val="clear" w:color="auto" w:fill="auto"/>
                </w:tcPr>
                <w:p w:rsidR="0046797E" w:rsidRPr="00934530" w:rsidRDefault="0046797E" w:rsidP="0046797E">
                  <w:pPr>
                    <w:contextualSpacing/>
                    <w:rPr>
                      <w:rFonts w:ascii="Arial" w:eastAsia="Calibri" w:hAnsi="Arial"/>
                      <w:sz w:val="24"/>
                      <w:szCs w:val="22"/>
                      <w:lang w:val="en-CA"/>
                    </w:rPr>
                  </w:pPr>
                  <w:r w:rsidRPr="00934530">
                    <w:rPr>
                      <w:rFonts w:ascii="Arial" w:eastAsia="Calibri" w:hAnsi="Arial"/>
                      <w:sz w:val="24"/>
                      <w:szCs w:val="22"/>
                      <w:lang w:val="en-CA"/>
                    </w:rPr>
                    <w:t>Label a test tube with the donor unit number.</w:t>
                  </w:r>
                </w:p>
              </w:tc>
            </w:tr>
          </w:tbl>
          <w:p w:rsidR="0046797E" w:rsidRPr="003300E3" w:rsidRDefault="0046797E" w:rsidP="0046797E">
            <w:pPr>
              <w:rPr>
                <w:rFonts w:ascii="Arial" w:hAnsi="Arial"/>
                <w:sz w:val="24"/>
                <w:szCs w:val="24"/>
                <w:lang w:val="en-CA"/>
              </w:rPr>
            </w:pPr>
          </w:p>
        </w:tc>
      </w:tr>
      <w:tr w:rsidR="0046797E" w:rsidRPr="003300E3" w:rsidTr="003300E3">
        <w:tc>
          <w:tcPr>
            <w:tcW w:w="2269" w:type="dxa"/>
            <w:shd w:val="clear" w:color="auto" w:fill="auto"/>
          </w:tcPr>
          <w:p w:rsidR="0046797E" w:rsidRPr="003300E3" w:rsidRDefault="00BE3855" w:rsidP="003300E3">
            <w:pPr>
              <w:numPr>
                <w:ilvl w:val="0"/>
                <w:numId w:val="18"/>
              </w:numPr>
              <w:ind w:left="601" w:hanging="567"/>
              <w:rPr>
                <w:rFonts w:ascii="Arial" w:hAnsi="Arial"/>
                <w:sz w:val="24"/>
                <w:szCs w:val="24"/>
              </w:rPr>
            </w:pPr>
            <w:r w:rsidRPr="003300E3">
              <w:rPr>
                <w:rFonts w:ascii="Arial" w:hAnsi="Arial"/>
                <w:sz w:val="24"/>
                <w:szCs w:val="24"/>
              </w:rPr>
              <w:t>Prepare 3% suspension</w:t>
            </w:r>
          </w:p>
        </w:tc>
        <w:tc>
          <w:tcPr>
            <w:tcW w:w="7006" w:type="dxa"/>
            <w:shd w:val="clear" w:color="auto" w:fill="auto"/>
          </w:tcPr>
          <w:p w:rsidR="00FE0459" w:rsidRPr="003300E3" w:rsidRDefault="00FE0459" w:rsidP="003300E3">
            <w:pPr>
              <w:numPr>
                <w:ilvl w:val="0"/>
                <w:numId w:val="21"/>
              </w:numPr>
              <w:ind w:left="702" w:hanging="709"/>
              <w:contextualSpacing/>
              <w:rPr>
                <w:rFonts w:ascii="Arial" w:eastAsia="Calibri" w:hAnsi="Arial"/>
                <w:sz w:val="24"/>
                <w:szCs w:val="22"/>
              </w:rPr>
            </w:pPr>
            <w:r w:rsidRPr="003300E3">
              <w:rPr>
                <w:rFonts w:ascii="Arial" w:eastAsia="Calibri" w:hAnsi="Arial"/>
                <w:sz w:val="24"/>
                <w:szCs w:val="22"/>
              </w:rPr>
              <w:t>Dispense 2 drops of whole blood (or equivalent: 1 drop of packed cells) in the labelled tube.</w:t>
            </w:r>
          </w:p>
          <w:p w:rsidR="00BE3855" w:rsidRPr="003300E3" w:rsidRDefault="00FE0459" w:rsidP="003300E3">
            <w:pPr>
              <w:numPr>
                <w:ilvl w:val="0"/>
                <w:numId w:val="21"/>
              </w:numPr>
              <w:ind w:left="702" w:hanging="709"/>
              <w:contextualSpacing/>
              <w:rPr>
                <w:rFonts w:ascii="Arial" w:eastAsia="Calibri" w:hAnsi="Arial"/>
                <w:sz w:val="24"/>
                <w:szCs w:val="22"/>
              </w:rPr>
            </w:pPr>
            <w:r w:rsidRPr="003300E3">
              <w:rPr>
                <w:rFonts w:ascii="Arial" w:eastAsia="Calibri" w:hAnsi="Arial"/>
                <w:sz w:val="24"/>
                <w:szCs w:val="22"/>
              </w:rPr>
              <w:t>Add 0.5 to 1.0 mL of normal saline and mix to resuspend to 3%.</w:t>
            </w:r>
          </w:p>
          <w:p w:rsidR="00BE3855" w:rsidRPr="003300E3" w:rsidRDefault="00FE0459" w:rsidP="003300E3">
            <w:pPr>
              <w:numPr>
                <w:ilvl w:val="0"/>
                <w:numId w:val="21"/>
              </w:numPr>
              <w:ind w:left="702" w:hanging="709"/>
              <w:contextualSpacing/>
              <w:rPr>
                <w:rFonts w:ascii="Arial" w:eastAsia="Calibri" w:hAnsi="Arial"/>
                <w:sz w:val="24"/>
                <w:szCs w:val="22"/>
              </w:rPr>
            </w:pPr>
            <w:r w:rsidRPr="003300E3">
              <w:rPr>
                <w:rFonts w:ascii="Arial" w:eastAsia="Calibri" w:hAnsi="Arial"/>
                <w:sz w:val="24"/>
                <w:szCs w:val="22"/>
                <w:lang w:val="en-CA"/>
              </w:rPr>
              <w:t>Compare the colour visually with a 3% commercial red cell suspension and adjust the suspension strength if necessary. Alternatively, one drop of the prepared red cell suspension and one drop of a commercial red cell suspension can be placed into test tubes, the tubes centrifuged and the size of the resulting red cell buttons can be compared.</w:t>
            </w:r>
          </w:p>
          <w:p w:rsidR="00FE0459" w:rsidRPr="003300E3" w:rsidRDefault="00BE3855" w:rsidP="003300E3">
            <w:pPr>
              <w:numPr>
                <w:ilvl w:val="0"/>
                <w:numId w:val="21"/>
              </w:numPr>
              <w:ind w:left="702" w:hanging="709"/>
              <w:contextualSpacing/>
              <w:rPr>
                <w:rFonts w:ascii="Arial" w:eastAsia="Calibri" w:hAnsi="Arial"/>
                <w:sz w:val="24"/>
                <w:szCs w:val="22"/>
              </w:rPr>
            </w:pPr>
            <w:r w:rsidRPr="003300E3">
              <w:rPr>
                <w:rFonts w:ascii="Arial" w:eastAsia="Calibri" w:hAnsi="Arial"/>
                <w:sz w:val="24"/>
                <w:szCs w:val="22"/>
                <w:lang w:val="en-CA"/>
              </w:rPr>
              <w:t>Mix the prepared 3% red cell suspension well immediately prior to use.</w:t>
            </w:r>
          </w:p>
        </w:tc>
      </w:tr>
    </w:tbl>
    <w:p w:rsidR="003245FF" w:rsidRPr="00844291" w:rsidRDefault="003245FF" w:rsidP="00BE3855">
      <w:pPr>
        <w:rPr>
          <w:rFonts w:ascii="Arial" w:hAnsi="Arial"/>
          <w:sz w:val="24"/>
          <w:lang w:val="en-CA"/>
        </w:rPr>
      </w:pPr>
    </w:p>
    <w:p w:rsidR="003245FF" w:rsidRDefault="00923F8E">
      <w:pPr>
        <w:numPr>
          <w:ilvl w:val="0"/>
          <w:numId w:val="1"/>
        </w:numPr>
        <w:rPr>
          <w:rFonts w:ascii="Arial" w:hAnsi="Arial"/>
          <w:b/>
          <w:sz w:val="28"/>
        </w:rPr>
      </w:pPr>
      <w:r>
        <w:rPr>
          <w:rFonts w:ascii="Arial" w:hAnsi="Arial"/>
          <w:b/>
          <w:sz w:val="28"/>
        </w:rPr>
        <w:t>Reporting – N/A</w:t>
      </w:r>
      <w:r w:rsidR="003245FF">
        <w:rPr>
          <w:rFonts w:ascii="Arial" w:hAnsi="Arial"/>
          <w:b/>
          <w:sz w:val="28"/>
        </w:rPr>
        <w:t xml:space="preserve"> </w:t>
      </w:r>
    </w:p>
    <w:p w:rsidR="003245FF" w:rsidRDefault="003245FF">
      <w:pPr>
        <w:rPr>
          <w:rFonts w:ascii="Arial" w:hAnsi="Arial"/>
          <w:sz w:val="24"/>
        </w:rPr>
      </w:pPr>
    </w:p>
    <w:p w:rsidR="003245FF" w:rsidRDefault="00923F8E">
      <w:pPr>
        <w:numPr>
          <w:ilvl w:val="0"/>
          <w:numId w:val="1"/>
        </w:numPr>
        <w:rPr>
          <w:rFonts w:ascii="Arial" w:hAnsi="Arial"/>
          <w:b/>
          <w:sz w:val="28"/>
        </w:rPr>
      </w:pPr>
      <w:r>
        <w:rPr>
          <w:rFonts w:ascii="Arial" w:hAnsi="Arial"/>
          <w:b/>
          <w:sz w:val="28"/>
        </w:rPr>
        <w:t>Procedural Notes</w:t>
      </w:r>
    </w:p>
    <w:p w:rsidR="00923F8E" w:rsidRDefault="00923F8E" w:rsidP="00923F8E">
      <w:pPr>
        <w:rPr>
          <w:rFonts w:ascii="Arial" w:hAnsi="Arial"/>
          <w:b/>
          <w:sz w:val="28"/>
        </w:rPr>
      </w:pPr>
    </w:p>
    <w:p w:rsidR="00923F8E" w:rsidRPr="00923F8E" w:rsidRDefault="00923F8E" w:rsidP="00923F8E">
      <w:pPr>
        <w:numPr>
          <w:ilvl w:val="1"/>
          <w:numId w:val="1"/>
        </w:numPr>
        <w:rPr>
          <w:rFonts w:ascii="Arial" w:hAnsi="Arial"/>
          <w:sz w:val="24"/>
          <w:szCs w:val="24"/>
        </w:rPr>
      </w:pPr>
      <w:r w:rsidRPr="00923F8E">
        <w:rPr>
          <w:rFonts w:ascii="Arial" w:hAnsi="Arial"/>
          <w:sz w:val="24"/>
          <w:szCs w:val="24"/>
        </w:rPr>
        <w:t>If desired, or if testing discrepancy is encountered, washing the red cells in normal saline prior to making up to a 3% red cell suspension may be performed. Dispense red cells into a test tube and fill test tube with normal saline. Centrifuge the tube (to obtain clear supernatant and a defined red cell pellet). Remove the supernatant and repeat. Following the last removal of supernatant, resuspend the red cells with normal saline to a 3% red cell suspension.</w:t>
      </w:r>
    </w:p>
    <w:p w:rsidR="003245FF" w:rsidRDefault="003245FF">
      <w:pPr>
        <w:rPr>
          <w:rFonts w:ascii="Arial" w:hAnsi="Arial"/>
          <w:sz w:val="24"/>
        </w:rPr>
      </w:pPr>
    </w:p>
    <w:p w:rsidR="003245FF" w:rsidRDefault="003245FF">
      <w:pPr>
        <w:numPr>
          <w:ilvl w:val="0"/>
          <w:numId w:val="1"/>
        </w:numPr>
        <w:rPr>
          <w:rFonts w:ascii="Arial" w:hAnsi="Arial"/>
          <w:b/>
          <w:sz w:val="28"/>
        </w:rPr>
      </w:pPr>
      <w:r>
        <w:rPr>
          <w:rFonts w:ascii="Arial" w:hAnsi="Arial"/>
          <w:b/>
          <w:sz w:val="28"/>
        </w:rPr>
        <w:t>References</w:t>
      </w:r>
    </w:p>
    <w:p w:rsidR="003245FF" w:rsidRDefault="003245FF">
      <w:pPr>
        <w:rPr>
          <w:rFonts w:ascii="Arial" w:hAnsi="Arial"/>
          <w:sz w:val="24"/>
        </w:rPr>
      </w:pPr>
    </w:p>
    <w:p w:rsidR="004D4A5E" w:rsidRDefault="004D4A5E">
      <w:pPr>
        <w:numPr>
          <w:ilvl w:val="1"/>
          <w:numId w:val="1"/>
        </w:numPr>
        <w:rPr>
          <w:rFonts w:ascii="Arial" w:hAnsi="Arial"/>
          <w:sz w:val="24"/>
        </w:rPr>
      </w:pPr>
      <w:r>
        <w:rPr>
          <w:rFonts w:ascii="Arial" w:hAnsi="Arial"/>
          <w:sz w:val="24"/>
        </w:rPr>
        <w:t>Roback JD, ed</w:t>
      </w:r>
      <w:r w:rsidR="00195073">
        <w:rPr>
          <w:rFonts w:ascii="Arial" w:hAnsi="Arial"/>
          <w:sz w:val="24"/>
        </w:rPr>
        <w:t xml:space="preserve"> AABB</w:t>
      </w:r>
      <w:r>
        <w:rPr>
          <w:rFonts w:ascii="Arial" w:hAnsi="Arial"/>
          <w:sz w:val="24"/>
        </w:rPr>
        <w:t xml:space="preserve"> Technical Manual, 1</w:t>
      </w:r>
      <w:r w:rsidR="00195073">
        <w:rPr>
          <w:rFonts w:ascii="Arial" w:hAnsi="Arial"/>
          <w:sz w:val="24"/>
        </w:rPr>
        <w:t>7</w:t>
      </w:r>
      <w:r>
        <w:rPr>
          <w:rFonts w:ascii="Arial" w:hAnsi="Arial"/>
          <w:sz w:val="24"/>
          <w:vertAlign w:val="superscript"/>
        </w:rPr>
        <w:t>th</w:t>
      </w:r>
      <w:r>
        <w:rPr>
          <w:rFonts w:ascii="Arial" w:hAnsi="Arial"/>
          <w:sz w:val="24"/>
        </w:rPr>
        <w:t xml:space="preserve"> ed. Bethesda, MD:  American As</w:t>
      </w:r>
      <w:r w:rsidR="00923F8E">
        <w:rPr>
          <w:rFonts w:ascii="Arial" w:hAnsi="Arial"/>
          <w:sz w:val="24"/>
        </w:rPr>
        <w:t>sociation of Blood Banks, 20</w:t>
      </w:r>
      <w:r w:rsidR="00195073">
        <w:rPr>
          <w:rFonts w:ascii="Arial" w:hAnsi="Arial"/>
          <w:sz w:val="24"/>
        </w:rPr>
        <w:t>11</w:t>
      </w:r>
    </w:p>
    <w:p w:rsidR="00D613F1" w:rsidRDefault="00D613F1" w:rsidP="00D613F1">
      <w:pPr>
        <w:ind w:left="1440"/>
        <w:rPr>
          <w:rFonts w:ascii="Arial" w:hAnsi="Arial"/>
          <w:sz w:val="24"/>
        </w:rPr>
      </w:pPr>
    </w:p>
    <w:p w:rsidR="00D613F1" w:rsidRPr="00D613F1" w:rsidRDefault="00D613F1" w:rsidP="00D613F1">
      <w:pPr>
        <w:numPr>
          <w:ilvl w:val="0"/>
          <w:numId w:val="1"/>
        </w:numPr>
        <w:rPr>
          <w:rFonts w:ascii="Arial" w:hAnsi="Arial"/>
          <w:b/>
          <w:sz w:val="28"/>
          <w:szCs w:val="28"/>
        </w:rPr>
      </w:pPr>
      <w:r w:rsidRPr="00D613F1">
        <w:rPr>
          <w:rFonts w:ascii="Arial" w:hAnsi="Arial"/>
          <w:b/>
          <w:sz w:val="28"/>
          <w:szCs w:val="28"/>
        </w:rPr>
        <w:t>Revision History</w:t>
      </w:r>
    </w:p>
    <w:p w:rsidR="003245FF" w:rsidRPr="00D613F1" w:rsidRDefault="003245FF" w:rsidP="00D613F1">
      <w:pPr>
        <w:jc w:val="cente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613F1" w:rsidRPr="00821599" w:rsidTr="00614528">
        <w:tc>
          <w:tcPr>
            <w:tcW w:w="4428" w:type="dxa"/>
            <w:shd w:val="clear" w:color="auto" w:fill="D9D9D9"/>
          </w:tcPr>
          <w:p w:rsidR="00D613F1" w:rsidRPr="00821599" w:rsidRDefault="00D613F1" w:rsidP="00821599">
            <w:pPr>
              <w:jc w:val="center"/>
              <w:rPr>
                <w:rFonts w:ascii="Arial" w:hAnsi="Arial"/>
                <w:b/>
                <w:sz w:val="22"/>
                <w:szCs w:val="22"/>
              </w:rPr>
            </w:pPr>
            <w:r w:rsidRPr="00821599">
              <w:rPr>
                <w:rFonts w:ascii="Arial" w:hAnsi="Arial"/>
                <w:b/>
                <w:sz w:val="22"/>
                <w:szCs w:val="22"/>
              </w:rPr>
              <w:t>Revision Date</w:t>
            </w:r>
          </w:p>
        </w:tc>
        <w:tc>
          <w:tcPr>
            <w:tcW w:w="4428" w:type="dxa"/>
            <w:shd w:val="clear" w:color="auto" w:fill="D9D9D9"/>
          </w:tcPr>
          <w:p w:rsidR="00D613F1" w:rsidRPr="00821599" w:rsidRDefault="00D613F1" w:rsidP="00821599">
            <w:pPr>
              <w:jc w:val="center"/>
              <w:rPr>
                <w:rFonts w:ascii="Arial" w:hAnsi="Arial"/>
                <w:b/>
                <w:sz w:val="22"/>
                <w:szCs w:val="22"/>
              </w:rPr>
            </w:pPr>
            <w:r w:rsidRPr="00821599">
              <w:rPr>
                <w:rFonts w:ascii="Arial" w:hAnsi="Arial"/>
                <w:b/>
                <w:sz w:val="22"/>
                <w:szCs w:val="22"/>
              </w:rPr>
              <w:t>Summary of Revision</w:t>
            </w:r>
          </w:p>
        </w:tc>
      </w:tr>
      <w:tr w:rsidR="00D613F1" w:rsidRPr="00821599" w:rsidTr="00821599">
        <w:tc>
          <w:tcPr>
            <w:tcW w:w="4428" w:type="dxa"/>
            <w:shd w:val="clear" w:color="auto" w:fill="auto"/>
          </w:tcPr>
          <w:p w:rsidR="00D613F1" w:rsidRPr="00821599" w:rsidRDefault="00D613F1">
            <w:pPr>
              <w:rPr>
                <w:rFonts w:ascii="Arial" w:hAnsi="Arial"/>
                <w:sz w:val="22"/>
                <w:szCs w:val="22"/>
              </w:rPr>
            </w:pPr>
            <w:r w:rsidRPr="00821599">
              <w:rPr>
                <w:rFonts w:ascii="Arial" w:hAnsi="Arial"/>
                <w:sz w:val="22"/>
                <w:szCs w:val="22"/>
              </w:rPr>
              <w:t>January 31, 2014</w:t>
            </w:r>
          </w:p>
        </w:tc>
        <w:tc>
          <w:tcPr>
            <w:tcW w:w="4428" w:type="dxa"/>
            <w:shd w:val="clear" w:color="auto" w:fill="auto"/>
          </w:tcPr>
          <w:p w:rsidR="00D613F1" w:rsidRPr="00821599" w:rsidRDefault="00D613F1" w:rsidP="00821599">
            <w:pPr>
              <w:numPr>
                <w:ilvl w:val="0"/>
                <w:numId w:val="16"/>
              </w:numPr>
              <w:rPr>
                <w:rFonts w:ascii="Arial" w:hAnsi="Arial"/>
                <w:sz w:val="22"/>
                <w:szCs w:val="22"/>
              </w:rPr>
            </w:pPr>
            <w:r w:rsidRPr="00821599">
              <w:rPr>
                <w:rFonts w:ascii="Arial" w:hAnsi="Arial"/>
                <w:sz w:val="22"/>
                <w:szCs w:val="22"/>
              </w:rPr>
              <w:t>Revised name of manual</w:t>
            </w:r>
          </w:p>
          <w:p w:rsidR="00D613F1" w:rsidRPr="00821599" w:rsidRDefault="00D613F1" w:rsidP="00821599">
            <w:pPr>
              <w:numPr>
                <w:ilvl w:val="0"/>
                <w:numId w:val="16"/>
              </w:numPr>
              <w:rPr>
                <w:rFonts w:ascii="Arial" w:hAnsi="Arial"/>
                <w:sz w:val="22"/>
                <w:szCs w:val="22"/>
              </w:rPr>
            </w:pPr>
            <w:r w:rsidRPr="00821599">
              <w:rPr>
                <w:rFonts w:ascii="Arial" w:hAnsi="Arial"/>
                <w:sz w:val="22"/>
                <w:szCs w:val="22"/>
              </w:rPr>
              <w:t>Changed document number from RT 014 to RT 003</w:t>
            </w:r>
          </w:p>
          <w:p w:rsidR="00D613F1" w:rsidRPr="00821599" w:rsidRDefault="00D613F1" w:rsidP="00821599">
            <w:pPr>
              <w:numPr>
                <w:ilvl w:val="0"/>
                <w:numId w:val="16"/>
              </w:numPr>
              <w:rPr>
                <w:rFonts w:ascii="Arial" w:hAnsi="Arial"/>
                <w:sz w:val="22"/>
                <w:szCs w:val="22"/>
              </w:rPr>
            </w:pPr>
            <w:r w:rsidRPr="00821599">
              <w:rPr>
                <w:rFonts w:ascii="Arial" w:hAnsi="Arial"/>
                <w:sz w:val="22"/>
                <w:szCs w:val="22"/>
              </w:rPr>
              <w:t>Updated reference list to include the most recent edition</w:t>
            </w:r>
          </w:p>
        </w:tc>
      </w:tr>
    </w:tbl>
    <w:p w:rsidR="00D613F1" w:rsidRPr="00D613F1" w:rsidRDefault="00D613F1">
      <w:pPr>
        <w:rPr>
          <w:rFonts w:ascii="Arial" w:hAnsi="Arial"/>
          <w:sz w:val="22"/>
          <w:szCs w:val="22"/>
        </w:rPr>
      </w:pPr>
    </w:p>
    <w:p w:rsidR="003245FF" w:rsidRDefault="003245FF">
      <w:pPr>
        <w:ind w:left="720"/>
        <w:rPr>
          <w:rFonts w:ascii="Arial" w:hAnsi="Arial"/>
          <w:sz w:val="24"/>
        </w:rPr>
      </w:pPr>
    </w:p>
    <w:p w:rsidR="003245FF" w:rsidRDefault="003245FF">
      <w:pPr>
        <w:ind w:left="720"/>
        <w:rPr>
          <w:rFonts w:ascii="Arial" w:hAnsi="Arial"/>
          <w:sz w:val="24"/>
        </w:rPr>
      </w:pPr>
    </w:p>
    <w:sectPr w:rsidR="003245FF">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5B" w:rsidRDefault="00D40C5B">
      <w:r>
        <w:separator/>
      </w:r>
    </w:p>
  </w:endnote>
  <w:endnote w:type="continuationSeparator" w:id="0">
    <w:p w:rsidR="00D40C5B" w:rsidRDefault="00D4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70DAB">
      <w:trPr>
        <w:trHeight w:val="720"/>
      </w:trPr>
      <w:tc>
        <w:tcPr>
          <w:tcW w:w="1368" w:type="dxa"/>
        </w:tcPr>
        <w:p w:rsidR="00470DAB" w:rsidRDefault="00470DAB">
          <w:pPr>
            <w:pStyle w:val="Footer"/>
            <w:jc w:val="center"/>
            <w:rPr>
              <w:sz w:val="8"/>
            </w:rPr>
          </w:pPr>
        </w:p>
        <w:p w:rsidR="00470DAB" w:rsidRDefault="00B23A5E">
          <w:pPr>
            <w:pStyle w:val="Footer"/>
            <w:jc w:val="center"/>
            <w:rPr>
              <w:rFonts w:ascii="Verdana" w:hAnsi="Verdana"/>
              <w:sz w:val="8"/>
            </w:rPr>
          </w:pPr>
          <w:r>
            <w:rPr>
              <w:noProof/>
            </w:rPr>
            <w:drawing>
              <wp:inline distT="0" distB="0" distL="0" distR="0">
                <wp:extent cx="723900" cy="295275"/>
                <wp:effectExtent l="19050" t="0" r="0" b="0"/>
                <wp:docPr id="2" name="Picture 2"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470DAB" w:rsidRDefault="00470DAB">
          <w:pPr>
            <w:pStyle w:val="Footer"/>
            <w:jc w:val="center"/>
            <w:rPr>
              <w:rFonts w:ascii="Arial" w:hAnsi="Arial"/>
              <w:sz w:val="18"/>
            </w:rPr>
          </w:pPr>
        </w:p>
        <w:p w:rsidR="00470DAB" w:rsidRDefault="00470DAB">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470DAB" w:rsidRDefault="00470DAB">
          <w:pPr>
            <w:pStyle w:val="Footer"/>
            <w:jc w:val="center"/>
            <w:rPr>
              <w:rFonts w:ascii="Arial" w:hAnsi="Arial"/>
              <w:sz w:val="18"/>
            </w:rPr>
          </w:pPr>
          <w:r>
            <w:rPr>
              <w:rFonts w:ascii="Arial" w:hAnsi="Arial"/>
              <w:sz w:val="18"/>
            </w:rPr>
            <w:t>Standard Work Instruction Manual</w:t>
          </w:r>
        </w:p>
        <w:p w:rsidR="00470DAB" w:rsidRDefault="00470DAB">
          <w:pPr>
            <w:pStyle w:val="Footer"/>
            <w:jc w:val="center"/>
            <w:rPr>
              <w:rFonts w:ascii="Arial" w:hAnsi="Arial"/>
              <w:sz w:val="18"/>
            </w:rPr>
          </w:pPr>
        </w:p>
      </w:tc>
      <w:tc>
        <w:tcPr>
          <w:tcW w:w="1494" w:type="dxa"/>
        </w:tcPr>
        <w:p w:rsidR="00470DAB" w:rsidRDefault="00470DAB">
          <w:pPr>
            <w:pStyle w:val="Footer"/>
            <w:jc w:val="right"/>
            <w:rPr>
              <w:rFonts w:ascii="Arial" w:hAnsi="Arial"/>
              <w:sz w:val="18"/>
            </w:rPr>
          </w:pPr>
        </w:p>
        <w:p w:rsidR="00470DAB" w:rsidRDefault="00470DAB">
          <w:pPr>
            <w:pStyle w:val="Footer"/>
            <w:jc w:val="right"/>
            <w:rPr>
              <w:rFonts w:ascii="Arial" w:hAnsi="Arial"/>
              <w:sz w:val="18"/>
            </w:rPr>
          </w:pPr>
          <w:r>
            <w:rPr>
              <w:rFonts w:ascii="Arial" w:hAnsi="Arial"/>
              <w:sz w:val="18"/>
            </w:rPr>
            <w:t xml:space="preserve">RT.013 </w:t>
          </w:r>
          <w:r>
            <w:rPr>
              <w:rFonts w:ascii="Arial" w:hAnsi="Arial"/>
              <w:sz w:val="18"/>
            </w:rPr>
            <w:br/>
          </w:r>
        </w:p>
        <w:p w:rsidR="00470DAB" w:rsidRDefault="00470DA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B60D10">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B60D10">
            <w:rPr>
              <w:rFonts w:ascii="Arial" w:hAnsi="Arial"/>
              <w:noProof/>
              <w:snapToGrid w:val="0"/>
              <w:sz w:val="18"/>
            </w:rPr>
            <w:t>3</w:t>
          </w:r>
          <w:r>
            <w:rPr>
              <w:rFonts w:ascii="Arial" w:hAnsi="Arial"/>
              <w:snapToGrid w:val="0"/>
              <w:sz w:val="18"/>
            </w:rPr>
            <w:fldChar w:fldCharType="end"/>
          </w:r>
        </w:p>
      </w:tc>
    </w:tr>
  </w:tbl>
  <w:p w:rsidR="00470DAB" w:rsidRDefault="0047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70DAB">
      <w:trPr>
        <w:trHeight w:val="720"/>
      </w:trPr>
      <w:tc>
        <w:tcPr>
          <w:tcW w:w="1368" w:type="dxa"/>
        </w:tcPr>
        <w:p w:rsidR="00470DAB" w:rsidRDefault="00470DAB">
          <w:pPr>
            <w:pStyle w:val="Footer"/>
            <w:jc w:val="center"/>
            <w:rPr>
              <w:rFonts w:ascii="Verdana" w:hAnsi="Verdana"/>
              <w:sz w:val="8"/>
            </w:rPr>
          </w:pPr>
        </w:p>
        <w:p w:rsidR="00470DAB" w:rsidRDefault="00B23A5E">
          <w:pPr>
            <w:pStyle w:val="Footer"/>
            <w:jc w:val="center"/>
            <w:rPr>
              <w:rFonts w:ascii="Verdana" w:hAnsi="Verdana"/>
              <w:sz w:val="8"/>
            </w:rPr>
          </w:pPr>
          <w:r>
            <w:rPr>
              <w:noProof/>
            </w:rPr>
            <w:drawing>
              <wp:inline distT="0" distB="0" distL="0" distR="0">
                <wp:extent cx="723900" cy="295275"/>
                <wp:effectExtent l="19050" t="0" r="0" b="0"/>
                <wp:docPr id="3" name="Picture 3"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470DAB" w:rsidRDefault="00470DAB">
          <w:pPr>
            <w:pStyle w:val="Footer"/>
            <w:jc w:val="center"/>
            <w:rPr>
              <w:rFonts w:ascii="Arial" w:hAnsi="Arial"/>
              <w:sz w:val="18"/>
            </w:rPr>
          </w:pPr>
        </w:p>
        <w:p w:rsidR="00470DAB" w:rsidRDefault="00470DAB">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470DAB" w:rsidRDefault="00C60DBF">
          <w:pPr>
            <w:pStyle w:val="Footer"/>
            <w:jc w:val="center"/>
            <w:rPr>
              <w:rFonts w:ascii="Arial" w:hAnsi="Arial"/>
              <w:sz w:val="18"/>
            </w:rPr>
          </w:pPr>
          <w:r>
            <w:rPr>
              <w:rFonts w:ascii="Arial" w:hAnsi="Arial"/>
              <w:sz w:val="18"/>
            </w:rPr>
            <w:t>Transfusion Technical Resource Manual</w:t>
          </w:r>
        </w:p>
        <w:p w:rsidR="00470DAB" w:rsidRDefault="00470DAB">
          <w:pPr>
            <w:pStyle w:val="Footer"/>
            <w:jc w:val="center"/>
            <w:rPr>
              <w:rFonts w:ascii="Arial" w:hAnsi="Arial"/>
              <w:sz w:val="18"/>
            </w:rPr>
          </w:pPr>
        </w:p>
      </w:tc>
      <w:tc>
        <w:tcPr>
          <w:tcW w:w="1494" w:type="dxa"/>
        </w:tcPr>
        <w:p w:rsidR="00470DAB" w:rsidRDefault="00470DAB">
          <w:pPr>
            <w:pStyle w:val="Footer"/>
            <w:jc w:val="right"/>
            <w:rPr>
              <w:rFonts w:ascii="Arial" w:hAnsi="Arial"/>
              <w:sz w:val="18"/>
            </w:rPr>
          </w:pPr>
        </w:p>
        <w:p w:rsidR="00470DAB" w:rsidRDefault="00470DAB">
          <w:pPr>
            <w:pStyle w:val="Footer"/>
            <w:jc w:val="right"/>
            <w:rPr>
              <w:rFonts w:ascii="Arial" w:hAnsi="Arial"/>
              <w:sz w:val="18"/>
            </w:rPr>
          </w:pPr>
          <w:r>
            <w:rPr>
              <w:rFonts w:ascii="Arial" w:hAnsi="Arial"/>
              <w:sz w:val="18"/>
            </w:rPr>
            <w:t>RT.0</w:t>
          </w:r>
          <w:r w:rsidR="00C60DBF">
            <w:rPr>
              <w:rFonts w:ascii="Arial" w:hAnsi="Arial"/>
              <w:sz w:val="18"/>
            </w:rPr>
            <w:t>03</w:t>
          </w:r>
          <w:r>
            <w:rPr>
              <w:rFonts w:ascii="Arial" w:hAnsi="Arial"/>
              <w:sz w:val="18"/>
            </w:rPr>
            <w:t xml:space="preserve"> </w:t>
          </w:r>
          <w:r>
            <w:rPr>
              <w:rFonts w:ascii="Arial" w:hAnsi="Arial"/>
              <w:sz w:val="18"/>
            </w:rPr>
            <w:br/>
          </w:r>
        </w:p>
        <w:p w:rsidR="00470DAB" w:rsidRDefault="00470DA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B60D1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B60D10">
            <w:rPr>
              <w:rFonts w:ascii="Arial" w:hAnsi="Arial"/>
              <w:noProof/>
              <w:snapToGrid w:val="0"/>
              <w:sz w:val="18"/>
            </w:rPr>
            <w:t>3</w:t>
          </w:r>
          <w:r>
            <w:rPr>
              <w:rFonts w:ascii="Arial" w:hAnsi="Arial"/>
              <w:snapToGrid w:val="0"/>
              <w:sz w:val="18"/>
            </w:rPr>
            <w:fldChar w:fldCharType="end"/>
          </w:r>
        </w:p>
      </w:tc>
    </w:tr>
  </w:tbl>
  <w:p w:rsidR="00470DAB" w:rsidRDefault="00470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5B" w:rsidRDefault="00D40C5B">
      <w:r>
        <w:separator/>
      </w:r>
    </w:p>
  </w:footnote>
  <w:footnote w:type="continuationSeparator" w:id="0">
    <w:p w:rsidR="00D40C5B" w:rsidRDefault="00D4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AB" w:rsidRDefault="00470DAB">
    <w:pPr>
      <w:pStyle w:val="Header"/>
      <w:jc w:val="center"/>
      <w:rPr>
        <w:rFonts w:ascii="Arial" w:hAnsi="Arial"/>
        <w:b/>
        <w:sz w:val="28"/>
      </w:rPr>
    </w:pPr>
    <w:r>
      <w:rPr>
        <w:rFonts w:ascii="Arial" w:hAnsi="Arial"/>
        <w:b/>
        <w:spacing w:val="-2"/>
        <w:sz w:val="28"/>
        <w:lang w:val="en-GB"/>
      </w:rPr>
      <w:t>Preparation of a 3% Red Cell Suspension</w:t>
    </w:r>
  </w:p>
  <w:p w:rsidR="00470DAB" w:rsidRDefault="00470DAB">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AB" w:rsidRDefault="00B23A5E">
    <w:pPr>
      <w:pStyle w:val="Header"/>
    </w:pPr>
    <w:r>
      <w:rPr>
        <w:noProof/>
      </w:rPr>
      <w:drawing>
        <wp:inline distT="0" distB="0" distL="0" distR="0">
          <wp:extent cx="1314450" cy="533400"/>
          <wp:effectExtent l="19050" t="0" r="0"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srcRect/>
                  <a:stretch>
                    <a:fillRect/>
                  </a:stretch>
                </pic:blipFill>
                <pic:spPr bwMode="auto">
                  <a:xfrm>
                    <a:off x="0" y="0"/>
                    <a:ext cx="1314450" cy="533400"/>
                  </a:xfrm>
                  <a:prstGeom prst="rect">
                    <a:avLst/>
                  </a:prstGeom>
                  <a:noFill/>
                  <a:ln w="9525">
                    <a:noFill/>
                    <a:miter lim="800000"/>
                    <a:headEnd/>
                    <a:tailEnd/>
                  </a:ln>
                </pic:spPr>
              </pic:pic>
            </a:graphicData>
          </a:graphic>
        </wp:inline>
      </w:drawing>
    </w:r>
  </w:p>
  <w:p w:rsidR="00470DAB" w:rsidRDefault="00470DAB">
    <w:pPr>
      <w:pStyle w:val="Header"/>
      <w:rPr>
        <w:rFonts w:ascii="Arial" w:hAnsi="Arial" w:cs="Arial"/>
        <w:b/>
        <w:bCs/>
        <w:sz w:val="22"/>
      </w:rPr>
    </w:pPr>
  </w:p>
  <w:p w:rsidR="00844291" w:rsidRPr="005F6AE3" w:rsidRDefault="00CA72CB">
    <w:pPr>
      <w:pStyle w:val="Header"/>
      <w:jc w:val="center"/>
      <w:rPr>
        <w:rFonts w:ascii="Arial" w:hAnsi="Arial"/>
        <w:b/>
        <w:spacing w:val="-2"/>
        <w:sz w:val="24"/>
        <w:szCs w:val="24"/>
        <w:lang w:val="en-GB"/>
      </w:rPr>
    </w:pPr>
    <w:r w:rsidRPr="005F6AE3">
      <w:rPr>
        <w:rFonts w:ascii="Arial" w:hAnsi="Arial"/>
        <w:b/>
        <w:spacing w:val="-2"/>
        <w:sz w:val="24"/>
        <w:szCs w:val="24"/>
        <w:lang w:val="en-GB"/>
      </w:rPr>
      <w:t xml:space="preserve">Ontario Regional Blood Coordinating Network </w:t>
    </w:r>
  </w:p>
  <w:p w:rsidR="00CA72CB" w:rsidRPr="005F6AE3" w:rsidRDefault="00CA72CB">
    <w:pPr>
      <w:pStyle w:val="Header"/>
      <w:jc w:val="center"/>
      <w:rPr>
        <w:rFonts w:ascii="Arial" w:hAnsi="Arial"/>
        <w:b/>
        <w:spacing w:val="-2"/>
        <w:sz w:val="24"/>
        <w:szCs w:val="24"/>
        <w:lang w:val="en-GB"/>
      </w:rPr>
    </w:pPr>
    <w:r w:rsidRPr="005F6AE3">
      <w:rPr>
        <w:rFonts w:ascii="Arial" w:hAnsi="Arial"/>
        <w:b/>
        <w:spacing w:val="-2"/>
        <w:sz w:val="24"/>
        <w:szCs w:val="24"/>
        <w:lang w:val="en-GB"/>
      </w:rPr>
      <w:t>Transfusion Technical Resource Manual</w:t>
    </w:r>
  </w:p>
  <w:p w:rsidR="00844291" w:rsidRDefault="00844291">
    <w:pPr>
      <w:pStyle w:val="Header"/>
      <w:jc w:val="center"/>
      <w:rPr>
        <w:rFonts w:ascii="Arial" w:hAnsi="Arial"/>
        <w:b/>
        <w:spacing w:val="-2"/>
        <w:sz w:val="28"/>
        <w:lang w:val="en-GB"/>
      </w:rPr>
    </w:pPr>
  </w:p>
  <w:p w:rsidR="00470DAB" w:rsidRDefault="00470DAB">
    <w:pPr>
      <w:pStyle w:val="Header"/>
      <w:jc w:val="center"/>
      <w:rPr>
        <w:rFonts w:ascii="Arial" w:hAnsi="Arial"/>
        <w:b/>
        <w:spacing w:val="-2"/>
        <w:sz w:val="28"/>
        <w:lang w:val="en-GB"/>
      </w:rPr>
    </w:pPr>
    <w:r>
      <w:rPr>
        <w:rFonts w:ascii="Arial" w:hAnsi="Arial"/>
        <w:b/>
        <w:spacing w:val="-2"/>
        <w:sz w:val="28"/>
        <w:lang w:val="en-GB"/>
      </w:rPr>
      <w:t>Preparation of a 3% Red Cell Suspension</w:t>
    </w:r>
  </w:p>
  <w:p w:rsidR="00470DAB" w:rsidRDefault="00470DAB">
    <w:pPr>
      <w:pStyle w:val="Header"/>
      <w:jc w:val="center"/>
      <w:rPr>
        <w:rFonts w:ascii="Arial" w:hAnsi="Arial"/>
        <w:b/>
        <w:sz w:val="28"/>
      </w:rPr>
    </w:pPr>
  </w:p>
  <w:p w:rsidR="00470DAB" w:rsidRDefault="00470DAB">
    <w:pPr>
      <w:pStyle w:val="Header"/>
      <w:jc w:val="center"/>
      <w:rPr>
        <w:rFonts w:ascii="Arial" w:hAnsi="Arial" w:cs="Arial"/>
        <w:b/>
        <w:bCs/>
      </w:rPr>
    </w:pPr>
    <w:r>
      <w:rPr>
        <w:rFonts w:ascii="Arial" w:hAnsi="Arial" w:cs="Arial"/>
        <w:b/>
        <w:bCs/>
      </w:rPr>
      <w:tab/>
    </w:r>
    <w:r w:rsidR="00B60D10">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882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470DAB">
      <w:tc>
        <w:tcPr>
          <w:tcW w:w="4428" w:type="dxa"/>
        </w:tcPr>
        <w:p w:rsidR="00470DAB" w:rsidRDefault="00470DAB" w:rsidP="00CA72CB">
          <w:pPr>
            <w:pStyle w:val="Header"/>
            <w:rPr>
              <w:rFonts w:ascii="Arial" w:hAnsi="Arial" w:cs="Arial"/>
            </w:rPr>
          </w:pPr>
          <w:r>
            <w:rPr>
              <w:rFonts w:ascii="Arial" w:hAnsi="Arial" w:cs="Arial"/>
            </w:rPr>
            <w:t>Approved By:</w:t>
          </w:r>
          <w:r w:rsidR="009C7F7B">
            <w:rPr>
              <w:rFonts w:ascii="Arial" w:hAnsi="Arial" w:cs="Arial"/>
            </w:rPr>
            <w:t xml:space="preserve">  </w:t>
          </w:r>
        </w:p>
      </w:tc>
      <w:tc>
        <w:tcPr>
          <w:tcW w:w="4428" w:type="dxa"/>
        </w:tcPr>
        <w:p w:rsidR="00470DAB" w:rsidRDefault="00470DAB">
          <w:pPr>
            <w:pStyle w:val="Header"/>
            <w:rPr>
              <w:rFonts w:ascii="Arial" w:hAnsi="Arial" w:cs="Arial"/>
            </w:rPr>
          </w:pPr>
          <w:r>
            <w:rPr>
              <w:rFonts w:ascii="Arial" w:hAnsi="Arial" w:cs="Arial"/>
            </w:rPr>
            <w:t>Document No: RT.0</w:t>
          </w:r>
          <w:r w:rsidR="00CA72CB">
            <w:rPr>
              <w:rFonts w:ascii="Arial" w:hAnsi="Arial" w:cs="Arial"/>
            </w:rPr>
            <w:t>03</w:t>
          </w:r>
        </w:p>
      </w:tc>
    </w:tr>
    <w:tr w:rsidR="00470DAB">
      <w:tc>
        <w:tcPr>
          <w:tcW w:w="4428" w:type="dxa"/>
        </w:tcPr>
        <w:p w:rsidR="00470DAB" w:rsidRDefault="00470DAB">
          <w:pPr>
            <w:pStyle w:val="Header"/>
            <w:rPr>
              <w:rFonts w:ascii="Arial" w:hAnsi="Arial" w:cs="Arial"/>
            </w:rPr>
          </w:pPr>
          <w:r>
            <w:rPr>
              <w:rFonts w:ascii="Arial" w:hAnsi="Arial" w:cs="Arial"/>
            </w:rPr>
            <w:t>Date Issued:  2009/09/01</w:t>
          </w:r>
        </w:p>
      </w:tc>
      <w:tc>
        <w:tcPr>
          <w:tcW w:w="4428" w:type="dxa"/>
        </w:tcPr>
        <w:p w:rsidR="00470DAB" w:rsidRDefault="00470DAB">
          <w:pPr>
            <w:pStyle w:val="Header"/>
            <w:rPr>
              <w:rFonts w:ascii="Arial" w:hAnsi="Arial" w:cs="Arial"/>
            </w:rPr>
          </w:pPr>
          <w:r>
            <w:rPr>
              <w:rFonts w:ascii="Arial" w:hAnsi="Arial" w:cs="Arial"/>
            </w:rPr>
            <w:t>Category:  Routine Testing</w:t>
          </w:r>
        </w:p>
      </w:tc>
    </w:tr>
    <w:tr w:rsidR="00470DAB">
      <w:tc>
        <w:tcPr>
          <w:tcW w:w="4428" w:type="dxa"/>
        </w:tcPr>
        <w:p w:rsidR="00470DAB" w:rsidRDefault="00470DAB">
          <w:pPr>
            <w:pStyle w:val="Header"/>
            <w:rPr>
              <w:rFonts w:ascii="Arial" w:hAnsi="Arial" w:cs="Arial"/>
            </w:rPr>
          </w:pPr>
          <w:r>
            <w:rPr>
              <w:rFonts w:ascii="Arial" w:hAnsi="Arial" w:cs="Arial"/>
            </w:rPr>
            <w:t xml:space="preserve">Date Revised:  </w:t>
          </w:r>
          <w:r w:rsidR="00CA72CB">
            <w:rPr>
              <w:rFonts w:ascii="Arial" w:hAnsi="Arial" w:cs="Arial"/>
            </w:rPr>
            <w:t>2014/01/31</w:t>
          </w:r>
        </w:p>
      </w:tc>
      <w:tc>
        <w:tcPr>
          <w:tcW w:w="4428" w:type="dxa"/>
        </w:tcPr>
        <w:p w:rsidR="00470DAB" w:rsidRDefault="00470DAB">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60D1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60D10">
            <w:rPr>
              <w:rFonts w:ascii="Arial" w:hAnsi="Arial" w:cs="Arial"/>
              <w:noProof/>
            </w:rPr>
            <w:t>3</w:t>
          </w:r>
          <w:r>
            <w:rPr>
              <w:rFonts w:ascii="Arial" w:hAnsi="Arial" w:cs="Arial"/>
            </w:rPr>
            <w:fldChar w:fldCharType="end"/>
          </w:r>
        </w:p>
      </w:tc>
    </w:tr>
  </w:tbl>
  <w:p w:rsidR="00470DAB" w:rsidRDefault="00B60D10">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F074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470DAB">
      <w:rPr>
        <w:rFonts w:ascii="Arial" w:hAnsi="Arial" w:cs="Arial"/>
      </w:rPr>
      <w:tab/>
    </w:r>
    <w:r w:rsidR="00470DAB">
      <w:rPr>
        <w:rFonts w:ascii="Arial" w:hAnsi="Arial" w:cs="Arial"/>
      </w:rPr>
      <w:tab/>
    </w:r>
  </w:p>
  <w:p w:rsidR="00470DAB" w:rsidRDefault="00470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3A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DA46C0"/>
    <w:multiLevelType w:val="hybridMultilevel"/>
    <w:tmpl w:val="D62022B2"/>
    <w:lvl w:ilvl="0" w:tplc="E8F49830">
      <w:start w:val="1"/>
      <w:numFmt w:val="decimal"/>
      <w:lvlText w:val="6.2.%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951CEA"/>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27E3E7F"/>
    <w:multiLevelType w:val="hybridMultilevel"/>
    <w:tmpl w:val="B1601B3A"/>
    <w:lvl w:ilvl="0" w:tplc="C1348D66">
      <w:start w:val="1"/>
      <w:numFmt w:val="decimal"/>
      <w:lvlText w:val="6.%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AD713A0"/>
    <w:multiLevelType w:val="hybridMultilevel"/>
    <w:tmpl w:val="D56ACB06"/>
    <w:lvl w:ilvl="0" w:tplc="1244199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9" w15:restartNumberingAfterBreak="0">
    <w:nsid w:val="533724EC"/>
    <w:multiLevelType w:val="hybridMultilevel"/>
    <w:tmpl w:val="7D8E4F44"/>
    <w:lvl w:ilvl="0" w:tplc="EC309A8C">
      <w:start w:val="1"/>
      <w:numFmt w:val="decimal"/>
      <w:lvlText w:val="6.1.%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9A62AB"/>
    <w:multiLevelType w:val="multilevel"/>
    <w:tmpl w:val="8F92682C"/>
    <w:lvl w:ilvl="0">
      <w:start w:val="6"/>
      <w:numFmt w:val="decimal"/>
      <w:lvlText w:val="%1.1"/>
      <w:lvlJc w:val="left"/>
      <w:pPr>
        <w:ind w:left="360" w:hanging="360"/>
      </w:pPr>
      <w:rPr>
        <w:rFonts w:ascii="Arial" w:hAnsi="Arial"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626A590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57925B3"/>
    <w:multiLevelType w:val="hybridMultilevel"/>
    <w:tmpl w:val="1BB2EACA"/>
    <w:lvl w:ilvl="0" w:tplc="E8F49830">
      <w:start w:val="1"/>
      <w:numFmt w:val="decimal"/>
      <w:lvlText w:val="6.2.%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8C65F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4D444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9A64A42"/>
    <w:multiLevelType w:val="hybridMultilevel"/>
    <w:tmpl w:val="2BC69C7C"/>
    <w:lvl w:ilvl="0" w:tplc="A162B3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1"/>
  </w:num>
  <w:num w:numId="3">
    <w:abstractNumId w:val="6"/>
  </w:num>
  <w:num w:numId="4">
    <w:abstractNumId w:val="4"/>
  </w:num>
  <w:num w:numId="5">
    <w:abstractNumId w:val="19"/>
  </w:num>
  <w:num w:numId="6">
    <w:abstractNumId w:val="18"/>
  </w:num>
  <w:num w:numId="7">
    <w:abstractNumId w:val="17"/>
  </w:num>
  <w:num w:numId="8">
    <w:abstractNumId w:val="2"/>
  </w:num>
  <w:num w:numId="9">
    <w:abstractNumId w:val="3"/>
  </w:num>
  <w:num w:numId="10">
    <w:abstractNumId w:val="3"/>
    <w:lvlOverride w:ilvl="0">
      <w:lvl w:ilvl="0">
        <w:start w:val="1"/>
        <w:numFmt w:val="decimal"/>
        <w:lvlText w:val="%1."/>
        <w:lvlJc w:val="left"/>
        <w:pPr>
          <w:tabs>
            <w:tab w:val="num" w:pos="360"/>
          </w:tabs>
          <w:ind w:left="360" w:hanging="360"/>
        </w:pPr>
      </w:lvl>
    </w:lvlOverride>
  </w:num>
  <w:num w:numId="11">
    <w:abstractNumId w:val="12"/>
  </w:num>
  <w:num w:numId="12">
    <w:abstractNumId w:val="15"/>
  </w:num>
  <w:num w:numId="13">
    <w:abstractNumId w:val="0"/>
  </w:num>
  <w:num w:numId="14">
    <w:abstractNumId w:val="14"/>
  </w:num>
  <w:num w:numId="15">
    <w:abstractNumId w:val="16"/>
  </w:num>
  <w:num w:numId="16">
    <w:abstractNumId w:val="8"/>
  </w:num>
  <w:num w:numId="17">
    <w:abstractNumId w:val="10"/>
  </w:num>
  <w:num w:numId="18">
    <w:abstractNumId w:val="5"/>
  </w:num>
  <w:num w:numId="19">
    <w:abstractNumId w:val="9"/>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FF"/>
    <w:rsid w:val="00083C7B"/>
    <w:rsid w:val="000A1854"/>
    <w:rsid w:val="00195073"/>
    <w:rsid w:val="001D5144"/>
    <w:rsid w:val="001D58AE"/>
    <w:rsid w:val="001E5C5F"/>
    <w:rsid w:val="002A6537"/>
    <w:rsid w:val="00310290"/>
    <w:rsid w:val="003245FF"/>
    <w:rsid w:val="003300E3"/>
    <w:rsid w:val="003645E5"/>
    <w:rsid w:val="003A0FDD"/>
    <w:rsid w:val="0046797E"/>
    <w:rsid w:val="00470DAB"/>
    <w:rsid w:val="004D4A5E"/>
    <w:rsid w:val="00500505"/>
    <w:rsid w:val="005F6AE3"/>
    <w:rsid w:val="00614528"/>
    <w:rsid w:val="0066502C"/>
    <w:rsid w:val="00714881"/>
    <w:rsid w:val="007F7E99"/>
    <w:rsid w:val="00821599"/>
    <w:rsid w:val="00844291"/>
    <w:rsid w:val="008A2DD0"/>
    <w:rsid w:val="008E3D58"/>
    <w:rsid w:val="00923F8E"/>
    <w:rsid w:val="00934530"/>
    <w:rsid w:val="009C7F7B"/>
    <w:rsid w:val="009E62EF"/>
    <w:rsid w:val="00A26689"/>
    <w:rsid w:val="00AC4F92"/>
    <w:rsid w:val="00B23A5E"/>
    <w:rsid w:val="00B36DCC"/>
    <w:rsid w:val="00B60D10"/>
    <w:rsid w:val="00BE3855"/>
    <w:rsid w:val="00C60DBF"/>
    <w:rsid w:val="00C73771"/>
    <w:rsid w:val="00CA72CB"/>
    <w:rsid w:val="00D40C5B"/>
    <w:rsid w:val="00D613F1"/>
    <w:rsid w:val="00E03331"/>
    <w:rsid w:val="00F914E0"/>
    <w:rsid w:val="00FE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9346740E-6914-41CB-9CE9-E0AAB52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2">
    <w:name w:val="Body Text 2"/>
    <w:basedOn w:val="Normal"/>
    <w:pPr>
      <w:suppressAutoHyphens/>
      <w:spacing w:after="54"/>
      <w:jc w:val="center"/>
    </w:pPr>
    <w:rPr>
      <w:spacing w:val="-2"/>
      <w:lang w:val="en-GB"/>
    </w:rPr>
  </w:style>
  <w:style w:type="paragraph" w:styleId="BalloonText">
    <w:name w:val="Balloon Text"/>
    <w:basedOn w:val="Normal"/>
    <w:semiHidden/>
    <w:rsid w:val="00AC4F92"/>
    <w:rPr>
      <w:rFonts w:ascii="Tahoma" w:hAnsi="Tahoma" w:cs="Tahoma"/>
      <w:sz w:val="16"/>
      <w:szCs w:val="16"/>
    </w:rPr>
  </w:style>
  <w:style w:type="table" w:styleId="TableGrid">
    <w:name w:val="Table Grid"/>
    <w:basedOn w:val="TableNormal"/>
    <w:rsid w:val="00D6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42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RT.013 Anti-A1 Lectin or Anti-H</vt:lpstr>
    </vt:vector>
  </TitlesOfParts>
  <Company>The Ottawa Hospital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RT.013 Anti-A1 Lectin or Anti-H</dc:title>
  <dc:creator>Transfusion Ontario Program Office</dc:creator>
  <cp:lastModifiedBy>Nesrallah, Heather</cp:lastModifiedBy>
  <cp:revision>2</cp:revision>
  <cp:lastPrinted>2014-03-13T13:21:00Z</cp:lastPrinted>
  <dcterms:created xsi:type="dcterms:W3CDTF">2020-08-10T17:26:00Z</dcterms:created>
  <dcterms:modified xsi:type="dcterms:W3CDTF">2020-08-10T17:26:00Z</dcterms:modified>
</cp:coreProperties>
</file>