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02B" w:rsidRDefault="0055302B">
      <w:pPr>
        <w:pStyle w:val="Heading1"/>
        <w:numPr>
          <w:ilvl w:val="0"/>
          <w:numId w:val="2"/>
        </w:numPr>
        <w:rPr>
          <w:b/>
          <w:sz w:val="28"/>
        </w:rPr>
      </w:pPr>
      <w:bookmarkStart w:id="0" w:name="_GoBack"/>
      <w:bookmarkEnd w:id="0"/>
      <w:r>
        <w:rPr>
          <w:b/>
          <w:sz w:val="28"/>
        </w:rPr>
        <w:t>Principle</w:t>
      </w:r>
    </w:p>
    <w:p w:rsidR="0055302B" w:rsidRDefault="0055302B">
      <w:pPr>
        <w:ind w:left="720"/>
        <w:rPr>
          <w:rFonts w:ascii="Arial" w:hAnsi="Arial"/>
          <w:sz w:val="24"/>
        </w:rPr>
      </w:pPr>
    </w:p>
    <w:p w:rsidR="0055302B" w:rsidRDefault="0055302B">
      <w:pPr>
        <w:pStyle w:val="BodyTextIndent"/>
      </w:pPr>
      <w:r>
        <w:t>To remove unbound human plasma proteins before the addition of antiglobulin reagents or to resolve test discrepancies.</w:t>
      </w:r>
    </w:p>
    <w:p w:rsidR="0055302B" w:rsidRDefault="0055302B">
      <w:pPr>
        <w:ind w:left="390"/>
        <w:rPr>
          <w:rFonts w:ascii="Arial" w:hAnsi="Arial"/>
          <w:sz w:val="24"/>
        </w:rPr>
      </w:pPr>
    </w:p>
    <w:p w:rsidR="0055302B" w:rsidRDefault="0055302B">
      <w:pPr>
        <w:ind w:left="720"/>
        <w:rPr>
          <w:rFonts w:ascii="Arial" w:hAnsi="Arial"/>
          <w:sz w:val="24"/>
        </w:rPr>
      </w:pPr>
      <w:r>
        <w:rPr>
          <w:rFonts w:ascii="Arial" w:hAnsi="Arial"/>
          <w:sz w:val="24"/>
        </w:rPr>
        <w:t xml:space="preserve">Incomplete washing may leave residual proteins which may neutralize antihuman globulin used in </w:t>
      </w:r>
      <w:r w:rsidR="00810E65">
        <w:rPr>
          <w:rFonts w:ascii="Arial" w:hAnsi="Arial"/>
          <w:sz w:val="24"/>
        </w:rPr>
        <w:t xml:space="preserve">indirect antiglobulin testing. </w:t>
      </w:r>
      <w:r>
        <w:rPr>
          <w:rFonts w:ascii="Arial" w:hAnsi="Arial"/>
          <w:sz w:val="24"/>
        </w:rPr>
        <w:t>This neutralization will be detected by the failure of IgG coated red cells to agglutinate resulting in an invalid test result.</w:t>
      </w:r>
    </w:p>
    <w:p w:rsidR="0055302B" w:rsidRDefault="0055302B">
      <w:pPr>
        <w:ind w:left="720"/>
        <w:rPr>
          <w:rFonts w:ascii="Arial" w:hAnsi="Arial"/>
          <w:sz w:val="24"/>
        </w:rPr>
      </w:pPr>
    </w:p>
    <w:p w:rsidR="0055302B" w:rsidRDefault="0055302B">
      <w:pPr>
        <w:numPr>
          <w:ilvl w:val="0"/>
          <w:numId w:val="2"/>
        </w:numPr>
        <w:rPr>
          <w:rFonts w:ascii="Arial" w:hAnsi="Arial"/>
          <w:b/>
          <w:sz w:val="28"/>
        </w:rPr>
      </w:pPr>
      <w:r>
        <w:rPr>
          <w:rFonts w:ascii="Arial" w:hAnsi="Arial"/>
          <w:b/>
          <w:sz w:val="28"/>
        </w:rPr>
        <w:t>Scope and Related Policies</w:t>
      </w:r>
    </w:p>
    <w:p w:rsidR="0055302B" w:rsidRDefault="0055302B">
      <w:pPr>
        <w:ind w:left="720"/>
        <w:rPr>
          <w:rFonts w:ascii="Arial" w:hAnsi="Arial"/>
          <w:sz w:val="24"/>
        </w:rPr>
      </w:pPr>
    </w:p>
    <w:p w:rsidR="0055302B" w:rsidRDefault="0055302B">
      <w:pPr>
        <w:numPr>
          <w:ilvl w:val="1"/>
          <w:numId w:val="2"/>
        </w:numPr>
        <w:rPr>
          <w:rFonts w:ascii="Arial" w:hAnsi="Arial"/>
          <w:sz w:val="24"/>
        </w:rPr>
      </w:pPr>
      <w:r>
        <w:rPr>
          <w:rFonts w:ascii="Arial" w:hAnsi="Arial"/>
          <w:sz w:val="24"/>
        </w:rPr>
        <w:t>Red cells are washed when performing a direct antiglobulin test(s) (DAT) or indirect antiglobulin test(s) (IAT).</w:t>
      </w:r>
    </w:p>
    <w:p w:rsidR="0055302B" w:rsidRDefault="0055302B">
      <w:pPr>
        <w:ind w:left="720"/>
        <w:rPr>
          <w:rFonts w:ascii="Arial" w:hAnsi="Arial"/>
          <w:sz w:val="24"/>
        </w:rPr>
      </w:pPr>
    </w:p>
    <w:p w:rsidR="0055302B" w:rsidRDefault="0055302B">
      <w:pPr>
        <w:numPr>
          <w:ilvl w:val="1"/>
          <w:numId w:val="2"/>
        </w:numPr>
        <w:rPr>
          <w:rFonts w:ascii="Arial" w:hAnsi="Arial"/>
          <w:sz w:val="24"/>
        </w:rPr>
      </w:pPr>
      <w:r>
        <w:rPr>
          <w:rFonts w:ascii="Arial" w:hAnsi="Arial"/>
          <w:sz w:val="24"/>
        </w:rPr>
        <w:t>Washing patient and/or donor cells before preparing a 3% cell suspension may be done when resolving problems detected in compatibility testing.</w:t>
      </w:r>
    </w:p>
    <w:p w:rsidR="0055302B" w:rsidRDefault="0055302B">
      <w:pPr>
        <w:ind w:left="720"/>
        <w:rPr>
          <w:rFonts w:ascii="Arial" w:hAnsi="Arial"/>
          <w:sz w:val="24"/>
        </w:rPr>
      </w:pPr>
    </w:p>
    <w:p w:rsidR="0055302B" w:rsidRDefault="0055302B">
      <w:pPr>
        <w:numPr>
          <w:ilvl w:val="0"/>
          <w:numId w:val="2"/>
        </w:numPr>
        <w:rPr>
          <w:rFonts w:ascii="Arial" w:hAnsi="Arial"/>
          <w:b/>
          <w:sz w:val="28"/>
        </w:rPr>
      </w:pPr>
      <w:r>
        <w:rPr>
          <w:rFonts w:ascii="Arial" w:hAnsi="Arial"/>
          <w:b/>
          <w:sz w:val="28"/>
        </w:rPr>
        <w:t>Specimens – N/A</w:t>
      </w:r>
    </w:p>
    <w:p w:rsidR="0055302B" w:rsidRDefault="0055302B">
      <w:pPr>
        <w:ind w:left="720"/>
        <w:rPr>
          <w:rFonts w:ascii="Arial" w:hAnsi="Arial"/>
          <w:sz w:val="24"/>
        </w:rPr>
      </w:pPr>
    </w:p>
    <w:p w:rsidR="0055302B" w:rsidRDefault="0055302B">
      <w:pPr>
        <w:numPr>
          <w:ilvl w:val="0"/>
          <w:numId w:val="2"/>
        </w:numPr>
        <w:rPr>
          <w:rFonts w:ascii="Arial" w:hAnsi="Arial"/>
          <w:b/>
          <w:sz w:val="28"/>
        </w:rPr>
      </w:pPr>
      <w:r>
        <w:rPr>
          <w:rFonts w:ascii="Arial" w:hAnsi="Arial"/>
          <w:b/>
          <w:sz w:val="28"/>
        </w:rPr>
        <w:t>Materials</w:t>
      </w:r>
    </w:p>
    <w:p w:rsidR="0055302B" w:rsidRDefault="0055302B">
      <w:pPr>
        <w:ind w:left="720"/>
        <w:rPr>
          <w:rFonts w:ascii="Arial" w:hAnsi="Arial"/>
          <w:sz w:val="24"/>
        </w:rPr>
      </w:pPr>
    </w:p>
    <w:p w:rsidR="0055302B" w:rsidRDefault="0055302B">
      <w:pPr>
        <w:ind w:left="720"/>
        <w:rPr>
          <w:rFonts w:ascii="Arial" w:hAnsi="Arial"/>
          <w:sz w:val="24"/>
        </w:rPr>
      </w:pPr>
      <w:r>
        <w:rPr>
          <w:rFonts w:ascii="Arial" w:hAnsi="Arial"/>
          <w:b/>
          <w:bCs/>
          <w:sz w:val="24"/>
        </w:rPr>
        <w:t>Equipment:</w:t>
      </w:r>
      <w:r>
        <w:rPr>
          <w:rFonts w:ascii="Arial" w:hAnsi="Arial"/>
          <w:sz w:val="24"/>
        </w:rPr>
        <w:tab/>
        <w:t>Automated cell washer</w:t>
      </w:r>
    </w:p>
    <w:p w:rsidR="0055302B" w:rsidRDefault="0055302B">
      <w:pPr>
        <w:pStyle w:val="Heading2"/>
      </w:pPr>
      <w:r>
        <w:tab/>
      </w:r>
      <w:r>
        <w:tab/>
        <w:t>Serologic centrifuge</w:t>
      </w:r>
    </w:p>
    <w:p w:rsidR="0055302B" w:rsidRPr="000D6262" w:rsidRDefault="0055302B" w:rsidP="000D6262">
      <w:pPr>
        <w:rPr>
          <w:rFonts w:ascii="Arial" w:hAnsi="Arial" w:cs="Arial"/>
          <w:sz w:val="24"/>
          <w:szCs w:val="24"/>
        </w:rPr>
      </w:pPr>
      <w:r>
        <w:tab/>
      </w:r>
      <w:r>
        <w:tab/>
      </w:r>
      <w:r>
        <w:tab/>
      </w:r>
      <w:r w:rsidRPr="000D6262">
        <w:rPr>
          <w:rFonts w:ascii="Arial" w:hAnsi="Arial" w:cs="Arial"/>
          <w:sz w:val="24"/>
          <w:szCs w:val="24"/>
        </w:rPr>
        <w:t>Pipette vacuum device, if applicable</w:t>
      </w:r>
    </w:p>
    <w:p w:rsidR="0055302B" w:rsidRDefault="0055302B">
      <w:pPr>
        <w:ind w:left="720"/>
        <w:rPr>
          <w:rFonts w:ascii="Arial" w:hAnsi="Arial"/>
          <w:sz w:val="24"/>
        </w:rPr>
      </w:pPr>
    </w:p>
    <w:p w:rsidR="0055302B" w:rsidRDefault="0055302B">
      <w:pPr>
        <w:ind w:left="720"/>
        <w:rPr>
          <w:rFonts w:ascii="Arial" w:hAnsi="Arial"/>
          <w:sz w:val="24"/>
        </w:rPr>
      </w:pPr>
      <w:r>
        <w:rPr>
          <w:rFonts w:ascii="Arial" w:hAnsi="Arial"/>
          <w:b/>
          <w:bCs/>
          <w:sz w:val="24"/>
        </w:rPr>
        <w:t>Supplies:</w:t>
      </w:r>
      <w:r>
        <w:rPr>
          <w:rFonts w:ascii="Arial" w:hAnsi="Arial"/>
          <w:sz w:val="24"/>
        </w:rPr>
        <w:tab/>
        <w:t>Test tubes - 10 x 75mm</w:t>
      </w:r>
    </w:p>
    <w:p w:rsidR="0055302B" w:rsidRDefault="0055302B">
      <w:pPr>
        <w:ind w:left="720"/>
        <w:rPr>
          <w:rFonts w:ascii="Arial" w:hAnsi="Arial"/>
          <w:bCs/>
          <w:sz w:val="24"/>
        </w:rPr>
      </w:pPr>
      <w:r>
        <w:rPr>
          <w:rFonts w:ascii="Arial" w:hAnsi="Arial"/>
          <w:b/>
          <w:bCs/>
          <w:sz w:val="24"/>
        </w:rPr>
        <w:tab/>
      </w:r>
      <w:r>
        <w:rPr>
          <w:rFonts w:ascii="Arial" w:hAnsi="Arial"/>
          <w:b/>
          <w:bCs/>
          <w:sz w:val="24"/>
        </w:rPr>
        <w:tab/>
      </w:r>
      <w:r>
        <w:rPr>
          <w:rFonts w:ascii="Arial" w:hAnsi="Arial"/>
          <w:bCs/>
          <w:sz w:val="24"/>
        </w:rPr>
        <w:t>Biohazard container</w:t>
      </w:r>
    </w:p>
    <w:p w:rsidR="0055302B" w:rsidRDefault="0055302B">
      <w:pPr>
        <w:ind w:left="720"/>
        <w:rPr>
          <w:rFonts w:ascii="Arial" w:hAnsi="Arial"/>
          <w:bCs/>
          <w:sz w:val="24"/>
        </w:rPr>
      </w:pPr>
      <w:r>
        <w:rPr>
          <w:rFonts w:ascii="Arial" w:hAnsi="Arial"/>
          <w:bCs/>
          <w:sz w:val="24"/>
        </w:rPr>
        <w:tab/>
      </w:r>
      <w:r>
        <w:rPr>
          <w:rFonts w:ascii="Arial" w:hAnsi="Arial"/>
          <w:bCs/>
          <w:sz w:val="24"/>
        </w:rPr>
        <w:tab/>
        <w:t>Saline dispenser</w:t>
      </w:r>
    </w:p>
    <w:p w:rsidR="0055302B" w:rsidRDefault="0055302B" w:rsidP="000D6262">
      <w:pPr>
        <w:ind w:left="1440" w:firstLine="720"/>
        <w:rPr>
          <w:rFonts w:ascii="Arial" w:hAnsi="Arial"/>
          <w:bCs/>
          <w:sz w:val="24"/>
        </w:rPr>
      </w:pPr>
      <w:r>
        <w:rPr>
          <w:rFonts w:ascii="Arial" w:hAnsi="Arial"/>
          <w:bCs/>
          <w:sz w:val="24"/>
        </w:rPr>
        <w:t>Absorbent material</w:t>
      </w:r>
    </w:p>
    <w:p w:rsidR="0055302B" w:rsidRPr="000D6262" w:rsidRDefault="0055302B" w:rsidP="000D6262">
      <w:pPr>
        <w:ind w:left="1440" w:firstLine="720"/>
        <w:rPr>
          <w:rFonts w:ascii="Arial" w:hAnsi="Arial"/>
          <w:sz w:val="24"/>
        </w:rPr>
      </w:pPr>
      <w:r>
        <w:rPr>
          <w:rFonts w:ascii="Arial" w:hAnsi="Arial"/>
          <w:bCs/>
          <w:sz w:val="24"/>
        </w:rPr>
        <w:t>Serological pipettes</w:t>
      </w:r>
    </w:p>
    <w:p w:rsidR="0055302B" w:rsidRDefault="0055302B" w:rsidP="009A3E05">
      <w:pPr>
        <w:ind w:left="1440" w:firstLine="720"/>
        <w:rPr>
          <w:rFonts w:ascii="Arial" w:hAnsi="Arial"/>
          <w:sz w:val="24"/>
        </w:rPr>
      </w:pPr>
      <w:r>
        <w:rPr>
          <w:rFonts w:ascii="Arial" w:hAnsi="Arial"/>
          <w:sz w:val="24"/>
        </w:rPr>
        <w:t>Personal protective attire, if applicable</w:t>
      </w:r>
    </w:p>
    <w:p w:rsidR="009B03B1" w:rsidRDefault="0055302B">
      <w:pPr>
        <w:rPr>
          <w:rFonts w:ascii="Arial" w:hAnsi="Arial"/>
          <w:sz w:val="24"/>
        </w:rPr>
      </w:pPr>
      <w:r>
        <w:rPr>
          <w:rFonts w:ascii="Arial" w:hAnsi="Arial"/>
          <w:sz w:val="24"/>
        </w:rPr>
        <w:tab/>
      </w:r>
    </w:p>
    <w:p w:rsidR="0055302B" w:rsidRDefault="0055302B" w:rsidP="009B03B1">
      <w:pPr>
        <w:ind w:firstLine="720"/>
        <w:rPr>
          <w:rFonts w:ascii="Arial" w:hAnsi="Arial"/>
          <w:sz w:val="24"/>
        </w:rPr>
      </w:pPr>
      <w:r>
        <w:rPr>
          <w:rFonts w:ascii="Arial" w:hAnsi="Arial"/>
          <w:b/>
          <w:bCs/>
          <w:sz w:val="24"/>
        </w:rPr>
        <w:lastRenderedPageBreak/>
        <w:t>Reagents:</w:t>
      </w:r>
      <w:r w:rsidR="009B03B1">
        <w:rPr>
          <w:rFonts w:ascii="Arial" w:hAnsi="Arial"/>
          <w:sz w:val="24"/>
        </w:rPr>
        <w:tab/>
      </w:r>
      <w:r>
        <w:rPr>
          <w:rFonts w:ascii="Arial" w:hAnsi="Arial"/>
          <w:sz w:val="24"/>
        </w:rPr>
        <w:t>3% cell suspension</w:t>
      </w:r>
    </w:p>
    <w:p w:rsidR="0055302B" w:rsidRDefault="0055302B">
      <w:pPr>
        <w:ind w:left="1440" w:firstLine="720"/>
        <w:rPr>
          <w:rFonts w:ascii="Arial" w:hAnsi="Arial"/>
          <w:sz w:val="24"/>
        </w:rPr>
      </w:pPr>
      <w:r>
        <w:rPr>
          <w:rFonts w:ascii="Arial" w:hAnsi="Arial"/>
          <w:sz w:val="24"/>
        </w:rPr>
        <w:t>Normal saline</w:t>
      </w:r>
    </w:p>
    <w:p w:rsidR="0055302B" w:rsidRDefault="0055302B">
      <w:pPr>
        <w:rPr>
          <w:rFonts w:ascii="Arial" w:hAnsi="Arial"/>
          <w:sz w:val="24"/>
        </w:rPr>
      </w:pPr>
    </w:p>
    <w:p w:rsidR="0055302B" w:rsidRDefault="0055302B">
      <w:pPr>
        <w:numPr>
          <w:ilvl w:val="0"/>
          <w:numId w:val="2"/>
        </w:numPr>
        <w:rPr>
          <w:rFonts w:ascii="Arial" w:hAnsi="Arial"/>
          <w:b/>
          <w:sz w:val="28"/>
        </w:rPr>
      </w:pPr>
      <w:r>
        <w:rPr>
          <w:rFonts w:ascii="Arial" w:hAnsi="Arial"/>
          <w:b/>
          <w:sz w:val="28"/>
        </w:rPr>
        <w:t>Quality Control</w:t>
      </w:r>
    </w:p>
    <w:p w:rsidR="0055302B" w:rsidRDefault="0055302B">
      <w:pPr>
        <w:ind w:left="720"/>
        <w:rPr>
          <w:rFonts w:ascii="Arial" w:hAnsi="Arial"/>
          <w:sz w:val="24"/>
        </w:rPr>
      </w:pPr>
    </w:p>
    <w:p w:rsidR="0055302B" w:rsidRDefault="0055302B">
      <w:pPr>
        <w:ind w:left="720"/>
        <w:rPr>
          <w:rFonts w:ascii="Arial" w:hAnsi="Arial"/>
          <w:sz w:val="24"/>
        </w:rPr>
      </w:pPr>
      <w:r>
        <w:rPr>
          <w:rFonts w:ascii="Arial" w:hAnsi="Arial"/>
          <w:sz w:val="24"/>
        </w:rPr>
        <w:t xml:space="preserve">See QCA.007 – Functional Calibration of Serologic Centrifuges </w:t>
      </w:r>
    </w:p>
    <w:p w:rsidR="0055302B" w:rsidRDefault="0055302B">
      <w:pPr>
        <w:ind w:left="720"/>
        <w:rPr>
          <w:rFonts w:ascii="Arial" w:hAnsi="Arial"/>
          <w:sz w:val="24"/>
        </w:rPr>
      </w:pPr>
    </w:p>
    <w:p w:rsidR="0055302B" w:rsidRDefault="0055302B">
      <w:pPr>
        <w:numPr>
          <w:ilvl w:val="0"/>
          <w:numId w:val="2"/>
        </w:numPr>
        <w:rPr>
          <w:rFonts w:ascii="Arial" w:hAnsi="Arial"/>
          <w:b/>
          <w:sz w:val="28"/>
        </w:rPr>
      </w:pPr>
      <w:r>
        <w:rPr>
          <w:rFonts w:ascii="Arial" w:hAnsi="Arial"/>
          <w:b/>
          <w:sz w:val="28"/>
        </w:rPr>
        <w:t>Procedure</w:t>
      </w:r>
    </w:p>
    <w:p w:rsidR="00E57FF7" w:rsidRDefault="00E57FF7" w:rsidP="00E57FF7">
      <w:pPr>
        <w:ind w:left="720"/>
        <w:rPr>
          <w:rFonts w:ascii="Arial" w:hAnsi="Arial"/>
          <w:b/>
          <w:sz w:val="28"/>
        </w:rPr>
      </w:pPr>
    </w:p>
    <w:tbl>
      <w:tblPr>
        <w:tblStyle w:val="TableGrid"/>
        <w:tblW w:w="0" w:type="auto"/>
        <w:tblInd w:w="-34" w:type="dxa"/>
        <w:tblLook w:val="04A0" w:firstRow="1" w:lastRow="0" w:firstColumn="1" w:lastColumn="0" w:noHBand="0" w:noVBand="1"/>
      </w:tblPr>
      <w:tblGrid>
        <w:gridCol w:w="2794"/>
        <w:gridCol w:w="5870"/>
      </w:tblGrid>
      <w:tr w:rsidR="0060748F" w:rsidRPr="0060748F" w:rsidTr="0060748F">
        <w:tc>
          <w:tcPr>
            <w:tcW w:w="2836" w:type="dxa"/>
            <w:shd w:val="clear" w:color="auto" w:fill="D9D9D9" w:themeFill="background1" w:themeFillShade="D9"/>
          </w:tcPr>
          <w:p w:rsidR="0060748F" w:rsidRPr="0060748F" w:rsidRDefault="0060748F" w:rsidP="0060748F">
            <w:pPr>
              <w:jc w:val="center"/>
              <w:rPr>
                <w:rFonts w:ascii="Arial" w:hAnsi="Arial"/>
                <w:b/>
                <w:sz w:val="24"/>
                <w:szCs w:val="24"/>
              </w:rPr>
            </w:pPr>
            <w:r w:rsidRPr="0060748F">
              <w:rPr>
                <w:rFonts w:ascii="Arial" w:hAnsi="Arial"/>
                <w:b/>
                <w:sz w:val="24"/>
                <w:szCs w:val="24"/>
              </w:rPr>
              <w:t>STEP</w:t>
            </w:r>
          </w:p>
        </w:tc>
        <w:tc>
          <w:tcPr>
            <w:tcW w:w="6054" w:type="dxa"/>
            <w:shd w:val="clear" w:color="auto" w:fill="D9D9D9" w:themeFill="background1" w:themeFillShade="D9"/>
          </w:tcPr>
          <w:p w:rsidR="0060748F" w:rsidRPr="0060748F" w:rsidRDefault="0060748F" w:rsidP="0060748F">
            <w:pPr>
              <w:jc w:val="center"/>
              <w:rPr>
                <w:rFonts w:ascii="Arial" w:hAnsi="Arial"/>
                <w:b/>
                <w:sz w:val="24"/>
                <w:szCs w:val="24"/>
              </w:rPr>
            </w:pPr>
            <w:r w:rsidRPr="0060748F">
              <w:rPr>
                <w:rFonts w:ascii="Arial" w:hAnsi="Arial"/>
                <w:b/>
                <w:sz w:val="24"/>
                <w:szCs w:val="24"/>
              </w:rPr>
              <w:t>ACTION</w:t>
            </w:r>
          </w:p>
        </w:tc>
      </w:tr>
      <w:tr w:rsidR="0060748F" w:rsidTr="0060748F">
        <w:tc>
          <w:tcPr>
            <w:tcW w:w="2836" w:type="dxa"/>
          </w:tcPr>
          <w:p w:rsidR="0060748F" w:rsidRPr="0060748F" w:rsidRDefault="0060748F" w:rsidP="0060748F">
            <w:pPr>
              <w:pStyle w:val="ListParagraph"/>
              <w:numPr>
                <w:ilvl w:val="0"/>
                <w:numId w:val="12"/>
              </w:numPr>
              <w:ind w:hanging="589"/>
              <w:rPr>
                <w:rFonts w:ascii="Arial" w:hAnsi="Arial"/>
                <w:sz w:val="24"/>
                <w:szCs w:val="24"/>
              </w:rPr>
            </w:pPr>
            <w:r w:rsidRPr="0060748F">
              <w:rPr>
                <w:rFonts w:ascii="Arial" w:hAnsi="Arial"/>
                <w:sz w:val="24"/>
                <w:szCs w:val="24"/>
              </w:rPr>
              <w:t>Automatic Washing of IAT or DAT tubes</w:t>
            </w:r>
          </w:p>
        </w:tc>
        <w:tc>
          <w:tcPr>
            <w:tcW w:w="6054" w:type="dxa"/>
          </w:tcPr>
          <w:p w:rsidR="0060748F" w:rsidRPr="0060748F" w:rsidRDefault="0060748F" w:rsidP="0060748F">
            <w:pPr>
              <w:pStyle w:val="ListParagraph"/>
              <w:numPr>
                <w:ilvl w:val="0"/>
                <w:numId w:val="14"/>
              </w:numPr>
              <w:ind w:hanging="720"/>
              <w:rPr>
                <w:rFonts w:ascii="Arial" w:hAnsi="Arial"/>
                <w:b/>
                <w:sz w:val="28"/>
              </w:rPr>
            </w:pPr>
            <w:r w:rsidRPr="0060748F">
              <w:rPr>
                <w:rFonts w:ascii="Arial" w:hAnsi="Arial" w:cs="Arial"/>
                <w:sz w:val="24"/>
                <w:szCs w:val="24"/>
                <w:lang w:val="en-CA"/>
              </w:rPr>
              <w:t>Automated cell washing of IAT or DAT must be done following the cell washer manufacturer’s instructions.</w:t>
            </w:r>
          </w:p>
        </w:tc>
      </w:tr>
      <w:tr w:rsidR="0060748F" w:rsidTr="0060748F">
        <w:tc>
          <w:tcPr>
            <w:tcW w:w="2836" w:type="dxa"/>
          </w:tcPr>
          <w:p w:rsidR="0060748F" w:rsidRPr="0060748F" w:rsidRDefault="0060748F" w:rsidP="0060748F">
            <w:pPr>
              <w:pStyle w:val="ListParagraph"/>
              <w:numPr>
                <w:ilvl w:val="0"/>
                <w:numId w:val="12"/>
              </w:numPr>
              <w:ind w:hanging="589"/>
              <w:rPr>
                <w:rFonts w:ascii="Arial" w:hAnsi="Arial"/>
                <w:sz w:val="24"/>
                <w:szCs w:val="24"/>
              </w:rPr>
            </w:pPr>
            <w:r w:rsidRPr="0093537F">
              <w:rPr>
                <w:rFonts w:ascii="Arial" w:hAnsi="Arial" w:cs="Arial"/>
                <w:sz w:val="24"/>
                <w:szCs w:val="24"/>
                <w:lang w:val="en-CA"/>
              </w:rPr>
              <w:t>Manual cell washing of IAT or DAT tubes</w:t>
            </w:r>
          </w:p>
        </w:tc>
        <w:tc>
          <w:tcPr>
            <w:tcW w:w="6054" w:type="dxa"/>
          </w:tcPr>
          <w:p w:rsidR="0060748F" w:rsidRPr="0060748F" w:rsidRDefault="0060748F" w:rsidP="00C43303">
            <w:pPr>
              <w:pStyle w:val="ListParagraph"/>
              <w:numPr>
                <w:ilvl w:val="0"/>
                <w:numId w:val="16"/>
              </w:numPr>
              <w:ind w:hanging="720"/>
              <w:rPr>
                <w:rFonts w:ascii="Arial" w:hAnsi="Arial" w:cs="Arial"/>
                <w:sz w:val="24"/>
                <w:szCs w:val="24"/>
                <w:lang w:val="en-CA"/>
              </w:rPr>
            </w:pPr>
            <w:r>
              <w:rPr>
                <w:rFonts w:ascii="Arial" w:hAnsi="Arial"/>
                <w:sz w:val="24"/>
                <w:lang w:val="en-CA"/>
              </w:rPr>
              <w:t>Add normal saline u</w:t>
            </w:r>
            <w:r w:rsidRPr="0093537F">
              <w:rPr>
                <w:rFonts w:ascii="Arial" w:hAnsi="Arial"/>
                <w:sz w:val="24"/>
                <w:lang w:val="en-CA"/>
              </w:rPr>
              <w:t>sing a plastic bottle with a</w:t>
            </w:r>
            <w:r>
              <w:rPr>
                <w:rFonts w:ascii="Arial" w:hAnsi="Arial"/>
                <w:sz w:val="24"/>
                <w:lang w:val="en-CA"/>
              </w:rPr>
              <w:t xml:space="preserve"> spout, squeeze the </w:t>
            </w:r>
            <w:r w:rsidRPr="0093537F">
              <w:rPr>
                <w:rFonts w:ascii="Arial" w:hAnsi="Arial"/>
                <w:sz w:val="24"/>
                <w:lang w:val="en-CA"/>
              </w:rPr>
              <w:t>bottle (or al</w:t>
            </w:r>
            <w:r>
              <w:rPr>
                <w:rFonts w:ascii="Arial" w:hAnsi="Arial"/>
                <w:sz w:val="24"/>
                <w:lang w:val="en-CA"/>
              </w:rPr>
              <w:t>ternative dispensing</w:t>
            </w:r>
            <w:r w:rsidRPr="0093537F">
              <w:rPr>
                <w:rFonts w:ascii="Arial" w:hAnsi="Arial"/>
                <w:sz w:val="24"/>
                <w:lang w:val="en-CA"/>
              </w:rPr>
              <w:t xml:space="preserve"> device) and di</w:t>
            </w:r>
            <w:r>
              <w:rPr>
                <w:rFonts w:ascii="Arial" w:hAnsi="Arial"/>
                <w:sz w:val="24"/>
                <w:lang w:val="en-CA"/>
              </w:rPr>
              <w:t xml:space="preserve">spense 5 to 6 cm of </w:t>
            </w:r>
            <w:r w:rsidRPr="0093537F">
              <w:rPr>
                <w:rFonts w:ascii="Arial" w:hAnsi="Arial"/>
                <w:sz w:val="24"/>
                <w:lang w:val="en-CA"/>
              </w:rPr>
              <w:t>normal saline in</w:t>
            </w:r>
            <w:r>
              <w:rPr>
                <w:rFonts w:ascii="Arial" w:hAnsi="Arial"/>
                <w:sz w:val="24"/>
                <w:lang w:val="en-CA"/>
              </w:rPr>
              <w:t xml:space="preserve"> each tube (leave 1 </w:t>
            </w:r>
            <w:r w:rsidRPr="0093537F">
              <w:rPr>
                <w:rFonts w:ascii="Arial" w:hAnsi="Arial"/>
                <w:sz w:val="24"/>
                <w:lang w:val="en-CA"/>
              </w:rPr>
              <w:t xml:space="preserve">cm from the top </w:t>
            </w:r>
            <w:r>
              <w:rPr>
                <w:rFonts w:ascii="Arial" w:hAnsi="Arial"/>
                <w:sz w:val="24"/>
                <w:lang w:val="en-CA"/>
              </w:rPr>
              <w:t xml:space="preserve">of the tube empty). </w:t>
            </w:r>
            <w:r w:rsidRPr="0093537F">
              <w:rPr>
                <w:rFonts w:ascii="Arial" w:hAnsi="Arial"/>
                <w:sz w:val="24"/>
                <w:lang w:val="en-CA"/>
              </w:rPr>
              <w:t>See Procedural Notes 8.1.</w:t>
            </w:r>
          </w:p>
          <w:p w:rsidR="0060748F" w:rsidRDefault="0060748F" w:rsidP="00C43303">
            <w:pPr>
              <w:pStyle w:val="ListParagraph"/>
              <w:numPr>
                <w:ilvl w:val="0"/>
                <w:numId w:val="16"/>
              </w:numPr>
              <w:ind w:hanging="720"/>
              <w:rPr>
                <w:rFonts w:ascii="Arial" w:hAnsi="Arial" w:cs="Arial"/>
                <w:sz w:val="24"/>
                <w:szCs w:val="24"/>
                <w:lang w:val="en-CA"/>
              </w:rPr>
            </w:pPr>
            <w:r w:rsidRPr="0093537F">
              <w:rPr>
                <w:rFonts w:ascii="Arial" w:hAnsi="Arial" w:cs="Arial"/>
                <w:sz w:val="24"/>
                <w:szCs w:val="24"/>
                <w:lang w:val="en-CA"/>
              </w:rPr>
              <w:t>Place the tub</w:t>
            </w:r>
            <w:r>
              <w:rPr>
                <w:rFonts w:ascii="Arial" w:hAnsi="Arial" w:cs="Arial"/>
                <w:sz w:val="24"/>
                <w:szCs w:val="24"/>
                <w:lang w:val="en-CA"/>
              </w:rPr>
              <w:t xml:space="preserve">e(s) in a serologic </w:t>
            </w:r>
            <w:r w:rsidRPr="0093537F">
              <w:rPr>
                <w:rFonts w:ascii="Arial" w:hAnsi="Arial" w:cs="Arial"/>
                <w:sz w:val="24"/>
                <w:szCs w:val="24"/>
                <w:lang w:val="en-CA"/>
              </w:rPr>
              <w:t>centrifuge and c</w:t>
            </w:r>
            <w:r>
              <w:rPr>
                <w:rFonts w:ascii="Arial" w:hAnsi="Arial" w:cs="Arial"/>
                <w:sz w:val="24"/>
                <w:szCs w:val="24"/>
                <w:lang w:val="en-CA"/>
              </w:rPr>
              <w:t xml:space="preserve">entrifuge for 45 to </w:t>
            </w:r>
            <w:r w:rsidRPr="0093537F">
              <w:rPr>
                <w:rFonts w:ascii="Arial" w:hAnsi="Arial" w:cs="Arial"/>
                <w:sz w:val="24"/>
                <w:szCs w:val="24"/>
                <w:lang w:val="en-CA"/>
              </w:rPr>
              <w:t>60 sec</w:t>
            </w:r>
            <w:r>
              <w:rPr>
                <w:rFonts w:ascii="Arial" w:hAnsi="Arial" w:cs="Arial"/>
                <w:sz w:val="24"/>
                <w:szCs w:val="24"/>
                <w:lang w:val="en-CA"/>
              </w:rPr>
              <w:t xml:space="preserve">onds at 3500 rpm or </w:t>
            </w:r>
            <w:r>
              <w:rPr>
                <w:rFonts w:ascii="Arial" w:hAnsi="Arial" w:cs="Arial"/>
                <w:sz w:val="24"/>
                <w:szCs w:val="24"/>
                <w:lang w:val="en-CA"/>
              </w:rPr>
              <w:br/>
            </w:r>
            <w:r w:rsidRPr="0093537F">
              <w:rPr>
                <w:rFonts w:ascii="Arial" w:hAnsi="Arial" w:cs="Arial"/>
                <w:sz w:val="24"/>
                <w:szCs w:val="24"/>
                <w:lang w:val="en-CA"/>
              </w:rPr>
              <w:t>equivalent.  S</w:t>
            </w:r>
            <w:r>
              <w:rPr>
                <w:rFonts w:ascii="Arial" w:hAnsi="Arial" w:cs="Arial"/>
                <w:sz w:val="24"/>
                <w:szCs w:val="24"/>
                <w:lang w:val="en-CA"/>
              </w:rPr>
              <w:t xml:space="preserve">ee Procedural Notes </w:t>
            </w:r>
            <w:r w:rsidRPr="0093537F">
              <w:rPr>
                <w:rFonts w:ascii="Arial" w:hAnsi="Arial" w:cs="Arial"/>
                <w:sz w:val="24"/>
                <w:szCs w:val="24"/>
                <w:lang w:val="en-CA"/>
              </w:rPr>
              <w:t>8.2.</w:t>
            </w:r>
          </w:p>
          <w:p w:rsidR="0060748F" w:rsidRPr="0060748F" w:rsidRDefault="0060748F" w:rsidP="00C43303">
            <w:pPr>
              <w:pStyle w:val="ListParagraph"/>
              <w:numPr>
                <w:ilvl w:val="0"/>
                <w:numId w:val="16"/>
              </w:numPr>
              <w:ind w:hanging="720"/>
              <w:rPr>
                <w:rFonts w:ascii="Arial" w:hAnsi="Arial" w:cs="Arial"/>
                <w:sz w:val="24"/>
                <w:szCs w:val="24"/>
                <w:lang w:val="en-CA"/>
              </w:rPr>
            </w:pPr>
            <w:r w:rsidRPr="0093537F">
              <w:rPr>
                <w:rFonts w:ascii="Arial" w:hAnsi="Arial" w:cs="Arial"/>
                <w:sz w:val="24"/>
                <w:szCs w:val="24"/>
                <w:lang w:val="en-CA"/>
              </w:rPr>
              <w:t>Decant the nor</w:t>
            </w:r>
            <w:r>
              <w:rPr>
                <w:rFonts w:ascii="Arial" w:hAnsi="Arial" w:cs="Arial"/>
                <w:sz w:val="24"/>
                <w:szCs w:val="24"/>
                <w:lang w:val="en-CA"/>
              </w:rPr>
              <w:t xml:space="preserve">mal saline from the </w:t>
            </w:r>
            <w:r w:rsidRPr="0093537F">
              <w:rPr>
                <w:rFonts w:ascii="Arial" w:hAnsi="Arial" w:cs="Arial"/>
                <w:sz w:val="24"/>
                <w:szCs w:val="24"/>
                <w:lang w:val="en-CA"/>
              </w:rPr>
              <w:t>tubes as follows:</w:t>
            </w:r>
          </w:p>
          <w:tbl>
            <w:tblPr>
              <w:tblStyle w:val="TableGrid"/>
              <w:tblW w:w="0" w:type="auto"/>
              <w:tblInd w:w="166" w:type="dxa"/>
              <w:tblLook w:val="04A0" w:firstRow="1" w:lastRow="0" w:firstColumn="1" w:lastColumn="0" w:noHBand="0" w:noVBand="1"/>
            </w:tblPr>
            <w:tblGrid>
              <w:gridCol w:w="2556"/>
              <w:gridCol w:w="2835"/>
            </w:tblGrid>
            <w:tr w:rsidR="0060748F" w:rsidTr="005E1820">
              <w:tc>
                <w:tcPr>
                  <w:tcW w:w="2556" w:type="dxa"/>
                  <w:shd w:val="clear" w:color="auto" w:fill="D9D9D9" w:themeFill="background1" w:themeFillShade="D9"/>
                </w:tcPr>
                <w:p w:rsidR="0060748F" w:rsidRDefault="0060748F" w:rsidP="0060748F">
                  <w:pPr>
                    <w:pStyle w:val="ListParagraph"/>
                    <w:ind w:left="0"/>
                    <w:rPr>
                      <w:rFonts w:ascii="Arial" w:hAnsi="Arial" w:cs="Arial"/>
                      <w:sz w:val="24"/>
                      <w:szCs w:val="24"/>
                      <w:lang w:val="en-CA"/>
                    </w:rPr>
                  </w:pPr>
                  <w:r>
                    <w:rPr>
                      <w:rFonts w:ascii="Arial" w:hAnsi="Arial" w:cs="Arial"/>
                      <w:sz w:val="24"/>
                      <w:szCs w:val="24"/>
                      <w:lang w:val="en-CA"/>
                    </w:rPr>
                    <w:t>By</w:t>
                  </w:r>
                </w:p>
              </w:tc>
              <w:tc>
                <w:tcPr>
                  <w:tcW w:w="2835" w:type="dxa"/>
                  <w:shd w:val="clear" w:color="auto" w:fill="D9D9D9" w:themeFill="background1" w:themeFillShade="D9"/>
                </w:tcPr>
                <w:p w:rsidR="0060748F" w:rsidRDefault="0060748F" w:rsidP="0060748F">
                  <w:pPr>
                    <w:pStyle w:val="ListParagraph"/>
                    <w:ind w:left="0"/>
                    <w:rPr>
                      <w:rFonts w:ascii="Arial" w:hAnsi="Arial" w:cs="Arial"/>
                      <w:sz w:val="24"/>
                      <w:szCs w:val="24"/>
                      <w:lang w:val="en-CA"/>
                    </w:rPr>
                  </w:pPr>
                  <w:r>
                    <w:rPr>
                      <w:rFonts w:ascii="Arial" w:hAnsi="Arial" w:cs="Arial"/>
                      <w:sz w:val="24"/>
                      <w:szCs w:val="24"/>
                      <w:lang w:val="en-CA"/>
                    </w:rPr>
                    <w:t>then</w:t>
                  </w:r>
                </w:p>
              </w:tc>
            </w:tr>
            <w:tr w:rsidR="0060748F" w:rsidTr="0060748F">
              <w:tc>
                <w:tcPr>
                  <w:tcW w:w="2556" w:type="dxa"/>
                </w:tcPr>
                <w:p w:rsidR="0060748F" w:rsidRPr="0093537F" w:rsidRDefault="0060748F" w:rsidP="00C43303">
                  <w:pPr>
                    <w:tabs>
                      <w:tab w:val="left" w:pos="3150"/>
                    </w:tabs>
                    <w:rPr>
                      <w:rFonts w:ascii="Arial" w:hAnsi="Arial"/>
                      <w:sz w:val="24"/>
                      <w:lang w:val="en-CA"/>
                    </w:rPr>
                  </w:pPr>
                  <w:r w:rsidRPr="0093537F">
                    <w:rPr>
                      <w:rFonts w:ascii="Arial" w:hAnsi="Arial"/>
                      <w:sz w:val="24"/>
                      <w:lang w:val="en-CA"/>
                    </w:rPr>
                    <w:t>Hold</w:t>
                  </w:r>
                  <w:r w:rsidR="00C43303">
                    <w:rPr>
                      <w:rFonts w:ascii="Arial" w:hAnsi="Arial"/>
                      <w:sz w:val="24"/>
                      <w:lang w:val="en-CA"/>
                    </w:rPr>
                    <w:t>ing</w:t>
                  </w:r>
                  <w:r w:rsidRPr="0093537F">
                    <w:rPr>
                      <w:rFonts w:ascii="Arial" w:hAnsi="Arial"/>
                      <w:sz w:val="24"/>
                      <w:lang w:val="en-CA"/>
                    </w:rPr>
                    <w:t xml:space="preserve"> the tube(s) between the thumb and four  fingers </w:t>
                  </w:r>
                </w:p>
                <w:p w:rsidR="0060748F" w:rsidRDefault="0060748F" w:rsidP="0060748F">
                  <w:pPr>
                    <w:pStyle w:val="ListParagraph"/>
                    <w:ind w:left="0"/>
                    <w:rPr>
                      <w:rFonts w:ascii="Arial" w:hAnsi="Arial" w:cs="Arial"/>
                      <w:sz w:val="24"/>
                      <w:szCs w:val="24"/>
                      <w:lang w:val="en-CA"/>
                    </w:rPr>
                  </w:pPr>
                </w:p>
              </w:tc>
              <w:tc>
                <w:tcPr>
                  <w:tcW w:w="2835" w:type="dxa"/>
                </w:tcPr>
                <w:p w:rsidR="00C43303" w:rsidRPr="00C43303" w:rsidRDefault="00C43303" w:rsidP="00C43303">
                  <w:pPr>
                    <w:pStyle w:val="ListParagraph"/>
                    <w:numPr>
                      <w:ilvl w:val="0"/>
                      <w:numId w:val="15"/>
                    </w:numPr>
                    <w:tabs>
                      <w:tab w:val="left" w:pos="3150"/>
                    </w:tabs>
                    <w:ind w:left="459"/>
                    <w:rPr>
                      <w:rFonts w:ascii="Arial" w:hAnsi="Arial"/>
                      <w:sz w:val="24"/>
                      <w:lang w:val="en-CA"/>
                    </w:rPr>
                  </w:pPr>
                  <w:r w:rsidRPr="00C43303">
                    <w:rPr>
                      <w:rFonts w:ascii="Arial" w:hAnsi="Arial"/>
                      <w:sz w:val="24"/>
                      <w:lang w:val="en-CA"/>
                    </w:rPr>
                    <w:t>Quickly invert the tube(s) upside down to allow all the normal saline to drain out of the tube(s)</w:t>
                  </w:r>
                </w:p>
                <w:p w:rsidR="00C43303" w:rsidRPr="005E1820" w:rsidRDefault="00C43303" w:rsidP="00C43303">
                  <w:pPr>
                    <w:shd w:val="clear" w:color="auto" w:fill="D9D9D9" w:themeFill="background1" w:themeFillShade="D9"/>
                    <w:tabs>
                      <w:tab w:val="left" w:pos="3150"/>
                    </w:tabs>
                    <w:ind w:left="33"/>
                    <w:rPr>
                      <w:rFonts w:ascii="Arial" w:hAnsi="Arial"/>
                      <w:i/>
                      <w:sz w:val="22"/>
                      <w:szCs w:val="22"/>
                      <w:lang w:val="en-CA"/>
                    </w:rPr>
                  </w:pPr>
                  <w:r w:rsidRPr="005E1820">
                    <w:rPr>
                      <w:rFonts w:ascii="Arial" w:hAnsi="Arial"/>
                      <w:i/>
                      <w:sz w:val="22"/>
                      <w:szCs w:val="22"/>
                      <w:lang w:val="en-CA"/>
                    </w:rPr>
                    <w:t>If manually decanting into a biohazard container (see Procedural Notes 8.3), follow established safety procedures (i.e., use protective equipment such as goggles, face shield or safety shield).</w:t>
                  </w:r>
                </w:p>
                <w:p w:rsidR="00C43303" w:rsidRDefault="005E1820" w:rsidP="00C43303">
                  <w:pPr>
                    <w:numPr>
                      <w:ilvl w:val="3"/>
                      <w:numId w:val="15"/>
                    </w:numPr>
                    <w:ind w:left="459"/>
                    <w:contextualSpacing/>
                    <w:rPr>
                      <w:rFonts w:ascii="Arial" w:hAnsi="Arial"/>
                      <w:sz w:val="24"/>
                      <w:lang w:val="en-CA"/>
                    </w:rPr>
                  </w:pPr>
                  <w:r w:rsidRPr="0093537F">
                    <w:rPr>
                      <w:rFonts w:ascii="Arial" w:hAnsi="Arial"/>
                      <w:sz w:val="24"/>
                      <w:lang w:val="en-CA"/>
                    </w:rPr>
                    <w:t>Firmly</w:t>
                  </w:r>
                  <w:r w:rsidR="00C43303" w:rsidRPr="0093537F">
                    <w:rPr>
                      <w:rFonts w:ascii="Arial" w:hAnsi="Arial"/>
                      <w:sz w:val="24"/>
                      <w:lang w:val="en-CA"/>
                    </w:rPr>
                    <w:t xml:space="preserve"> shake your arm down to expel the normal saline remaining. </w:t>
                  </w:r>
                </w:p>
                <w:p w:rsidR="00C43303" w:rsidRDefault="00C43303" w:rsidP="00C43303">
                  <w:pPr>
                    <w:numPr>
                      <w:ilvl w:val="3"/>
                      <w:numId w:val="15"/>
                    </w:numPr>
                    <w:ind w:left="459"/>
                    <w:contextualSpacing/>
                    <w:rPr>
                      <w:rFonts w:ascii="Arial" w:hAnsi="Arial"/>
                      <w:sz w:val="24"/>
                      <w:lang w:val="en-CA"/>
                    </w:rPr>
                  </w:pPr>
                  <w:r w:rsidRPr="0093537F">
                    <w:rPr>
                      <w:rFonts w:ascii="Arial" w:hAnsi="Arial"/>
                      <w:sz w:val="24"/>
                      <w:lang w:val="en-CA"/>
                    </w:rPr>
                    <w:t xml:space="preserve">Blot any normal saline left at the top of the tube(s) on absorbent material. </w:t>
                  </w:r>
                </w:p>
                <w:p w:rsidR="0060748F" w:rsidRPr="00C43303" w:rsidRDefault="00C43303" w:rsidP="00C43303">
                  <w:pPr>
                    <w:numPr>
                      <w:ilvl w:val="3"/>
                      <w:numId w:val="15"/>
                    </w:numPr>
                    <w:ind w:left="459"/>
                    <w:contextualSpacing/>
                    <w:rPr>
                      <w:rFonts w:ascii="Arial" w:hAnsi="Arial"/>
                      <w:sz w:val="24"/>
                      <w:lang w:val="en-CA"/>
                    </w:rPr>
                  </w:pPr>
                  <w:r w:rsidRPr="0093537F">
                    <w:rPr>
                      <w:rFonts w:ascii="Arial" w:hAnsi="Arial"/>
                      <w:sz w:val="24"/>
                      <w:lang w:val="en-CA"/>
                    </w:rPr>
                    <w:t>Turn the tube(s) up and mix them gently to dislodge the cell button.</w:t>
                  </w:r>
                </w:p>
              </w:tc>
            </w:tr>
          </w:tbl>
          <w:p w:rsidR="0060748F" w:rsidRDefault="00C43303" w:rsidP="00C43303">
            <w:pPr>
              <w:pStyle w:val="ListParagraph"/>
              <w:numPr>
                <w:ilvl w:val="0"/>
                <w:numId w:val="16"/>
              </w:numPr>
              <w:ind w:hanging="720"/>
              <w:rPr>
                <w:rFonts w:ascii="Arial" w:hAnsi="Arial" w:cs="Arial"/>
                <w:sz w:val="24"/>
                <w:szCs w:val="24"/>
                <w:lang w:val="en-CA"/>
              </w:rPr>
            </w:pPr>
            <w:r w:rsidRPr="0093537F">
              <w:rPr>
                <w:rFonts w:ascii="Arial" w:hAnsi="Arial" w:cs="Arial"/>
                <w:sz w:val="24"/>
                <w:szCs w:val="24"/>
                <w:lang w:val="en-CA"/>
              </w:rPr>
              <w:t xml:space="preserve">Repeat </w:t>
            </w:r>
            <w:r>
              <w:rPr>
                <w:rFonts w:ascii="Arial" w:hAnsi="Arial" w:cs="Arial"/>
                <w:sz w:val="24"/>
                <w:szCs w:val="24"/>
                <w:lang w:val="en-CA"/>
              </w:rPr>
              <w:t>the above action</w:t>
            </w:r>
            <w:r w:rsidRPr="0093537F">
              <w:rPr>
                <w:rFonts w:ascii="Arial" w:hAnsi="Arial" w:cs="Arial"/>
                <w:sz w:val="24"/>
                <w:szCs w:val="24"/>
                <w:lang w:val="en-CA"/>
              </w:rPr>
              <w:t xml:space="preserve"> three more times.</w:t>
            </w:r>
          </w:p>
          <w:p w:rsidR="00C43303" w:rsidRDefault="00C43303" w:rsidP="00C43303">
            <w:pPr>
              <w:pStyle w:val="ListParagraph"/>
              <w:numPr>
                <w:ilvl w:val="0"/>
                <w:numId w:val="16"/>
              </w:numPr>
              <w:ind w:hanging="720"/>
              <w:rPr>
                <w:rFonts w:ascii="Arial" w:hAnsi="Arial" w:cs="Arial"/>
                <w:sz w:val="24"/>
                <w:szCs w:val="24"/>
                <w:lang w:val="en-CA"/>
              </w:rPr>
            </w:pPr>
            <w:r w:rsidRPr="0093537F">
              <w:rPr>
                <w:rFonts w:ascii="Arial" w:hAnsi="Arial" w:cs="Arial"/>
                <w:sz w:val="24"/>
                <w:szCs w:val="24"/>
                <w:lang w:val="en-CA"/>
              </w:rPr>
              <w:t>After the last wash, thoroug</w:t>
            </w:r>
            <w:r>
              <w:rPr>
                <w:rFonts w:ascii="Arial" w:hAnsi="Arial" w:cs="Arial"/>
                <w:sz w:val="24"/>
                <w:szCs w:val="24"/>
                <w:lang w:val="en-CA"/>
              </w:rPr>
              <w:t xml:space="preserve">hly blot the normal </w:t>
            </w:r>
            <w:r>
              <w:rPr>
                <w:rFonts w:ascii="Arial" w:hAnsi="Arial" w:cs="Arial"/>
                <w:sz w:val="24"/>
                <w:szCs w:val="24"/>
                <w:lang w:val="en-CA"/>
              </w:rPr>
              <w:br/>
            </w:r>
            <w:r w:rsidRPr="0093537F">
              <w:rPr>
                <w:rFonts w:ascii="Arial" w:hAnsi="Arial" w:cs="Arial"/>
                <w:sz w:val="24"/>
                <w:szCs w:val="24"/>
                <w:lang w:val="en-CA"/>
              </w:rPr>
              <w:t>saline left at the top of the t</w:t>
            </w:r>
            <w:r>
              <w:rPr>
                <w:rFonts w:ascii="Arial" w:hAnsi="Arial" w:cs="Arial"/>
                <w:sz w:val="24"/>
                <w:szCs w:val="24"/>
                <w:lang w:val="en-CA"/>
              </w:rPr>
              <w:t xml:space="preserve">ube(s) on absorbent </w:t>
            </w:r>
            <w:r w:rsidRPr="0093537F">
              <w:rPr>
                <w:rFonts w:ascii="Arial" w:hAnsi="Arial" w:cs="Arial"/>
                <w:sz w:val="24"/>
                <w:szCs w:val="24"/>
                <w:lang w:val="en-CA"/>
              </w:rPr>
              <w:t>material.</w:t>
            </w:r>
          </w:p>
          <w:p w:rsidR="00C43303" w:rsidRPr="0060748F" w:rsidRDefault="00C43303" w:rsidP="00C43303">
            <w:pPr>
              <w:pStyle w:val="ListParagraph"/>
              <w:numPr>
                <w:ilvl w:val="0"/>
                <w:numId w:val="16"/>
              </w:numPr>
              <w:ind w:hanging="720"/>
              <w:rPr>
                <w:rFonts w:ascii="Arial" w:hAnsi="Arial" w:cs="Arial"/>
                <w:sz w:val="24"/>
                <w:szCs w:val="24"/>
                <w:lang w:val="en-CA"/>
              </w:rPr>
            </w:pPr>
            <w:r w:rsidRPr="0093537F">
              <w:rPr>
                <w:rFonts w:ascii="Arial" w:hAnsi="Arial" w:cs="Arial"/>
                <w:sz w:val="24"/>
                <w:szCs w:val="24"/>
                <w:lang w:val="en-CA"/>
              </w:rPr>
              <w:t>Check that the size of</w:t>
            </w:r>
            <w:r>
              <w:rPr>
                <w:rFonts w:ascii="Arial" w:hAnsi="Arial" w:cs="Arial"/>
                <w:sz w:val="24"/>
                <w:szCs w:val="24"/>
                <w:lang w:val="en-CA"/>
              </w:rPr>
              <w:t xml:space="preserve"> the cell button is </w:t>
            </w:r>
            <w:r w:rsidRPr="0093537F">
              <w:rPr>
                <w:rFonts w:ascii="Arial" w:hAnsi="Arial" w:cs="Arial"/>
                <w:sz w:val="24"/>
                <w:szCs w:val="24"/>
                <w:lang w:val="en-CA"/>
              </w:rPr>
              <w:t>approximately 3-4 mm in diameter.</w:t>
            </w:r>
          </w:p>
        </w:tc>
      </w:tr>
      <w:tr w:rsidR="00C43303" w:rsidTr="0060748F">
        <w:tc>
          <w:tcPr>
            <w:tcW w:w="2836" w:type="dxa"/>
          </w:tcPr>
          <w:p w:rsidR="00C43303" w:rsidRPr="0093537F" w:rsidRDefault="00C43303" w:rsidP="0060748F">
            <w:pPr>
              <w:pStyle w:val="ListParagraph"/>
              <w:numPr>
                <w:ilvl w:val="0"/>
                <w:numId w:val="12"/>
              </w:numPr>
              <w:ind w:hanging="589"/>
              <w:rPr>
                <w:rFonts w:ascii="Arial" w:hAnsi="Arial" w:cs="Arial"/>
                <w:sz w:val="24"/>
                <w:szCs w:val="24"/>
                <w:lang w:val="en-CA"/>
              </w:rPr>
            </w:pPr>
            <w:r w:rsidRPr="0093537F">
              <w:rPr>
                <w:rFonts w:ascii="Arial" w:hAnsi="Arial" w:cs="Arial"/>
                <w:sz w:val="24"/>
                <w:szCs w:val="24"/>
                <w:lang w:val="en-CA"/>
              </w:rPr>
              <w:t>Manual cell washing to prepare a 3% suspension.</w:t>
            </w:r>
          </w:p>
        </w:tc>
        <w:tc>
          <w:tcPr>
            <w:tcW w:w="6054" w:type="dxa"/>
          </w:tcPr>
          <w:p w:rsidR="00C43303" w:rsidRPr="00C43303" w:rsidRDefault="00C43303" w:rsidP="00C43303">
            <w:pPr>
              <w:pStyle w:val="ListParagraph"/>
              <w:numPr>
                <w:ilvl w:val="0"/>
                <w:numId w:val="17"/>
              </w:numPr>
              <w:ind w:hanging="720"/>
              <w:rPr>
                <w:rFonts w:ascii="Arial" w:hAnsi="Arial"/>
                <w:sz w:val="24"/>
                <w:lang w:val="en-CA"/>
              </w:rPr>
            </w:pPr>
            <w:r w:rsidRPr="0093537F">
              <w:rPr>
                <w:rFonts w:ascii="Arial" w:hAnsi="Arial" w:cs="Arial"/>
                <w:sz w:val="24"/>
                <w:szCs w:val="24"/>
                <w:lang w:val="en-CA"/>
              </w:rPr>
              <w:t>Dispense one drop of packed cel</w:t>
            </w:r>
            <w:r>
              <w:rPr>
                <w:rFonts w:ascii="Arial" w:hAnsi="Arial" w:cs="Arial"/>
                <w:sz w:val="24"/>
                <w:szCs w:val="24"/>
                <w:lang w:val="en-CA"/>
              </w:rPr>
              <w:t xml:space="preserve">ls (or two drops of </w:t>
            </w:r>
            <w:r w:rsidRPr="0093537F">
              <w:rPr>
                <w:rFonts w:ascii="Arial" w:hAnsi="Arial" w:cs="Arial"/>
                <w:sz w:val="24"/>
                <w:szCs w:val="24"/>
                <w:lang w:val="en-CA"/>
              </w:rPr>
              <w:t>whole blood) in a labeled tube.</w:t>
            </w:r>
          </w:p>
          <w:p w:rsidR="00C43303" w:rsidRPr="0060748F" w:rsidRDefault="00C43303" w:rsidP="00C43303">
            <w:pPr>
              <w:pStyle w:val="ListParagraph"/>
              <w:numPr>
                <w:ilvl w:val="0"/>
                <w:numId w:val="17"/>
              </w:numPr>
              <w:ind w:hanging="720"/>
              <w:rPr>
                <w:rFonts w:ascii="Arial" w:hAnsi="Arial" w:cs="Arial"/>
                <w:sz w:val="24"/>
                <w:szCs w:val="24"/>
                <w:lang w:val="en-CA"/>
              </w:rPr>
            </w:pPr>
            <w:r>
              <w:rPr>
                <w:rFonts w:ascii="Arial" w:hAnsi="Arial"/>
                <w:sz w:val="24"/>
                <w:lang w:val="en-CA"/>
              </w:rPr>
              <w:t>Add normal saline u</w:t>
            </w:r>
            <w:r w:rsidRPr="0093537F">
              <w:rPr>
                <w:rFonts w:ascii="Arial" w:hAnsi="Arial"/>
                <w:sz w:val="24"/>
                <w:lang w:val="en-CA"/>
              </w:rPr>
              <w:t>sing a plastic bottle with a</w:t>
            </w:r>
            <w:r>
              <w:rPr>
                <w:rFonts w:ascii="Arial" w:hAnsi="Arial"/>
                <w:sz w:val="24"/>
                <w:lang w:val="en-CA"/>
              </w:rPr>
              <w:t xml:space="preserve"> spout, squeeze the </w:t>
            </w:r>
            <w:r w:rsidRPr="0093537F">
              <w:rPr>
                <w:rFonts w:ascii="Arial" w:hAnsi="Arial"/>
                <w:sz w:val="24"/>
                <w:lang w:val="en-CA"/>
              </w:rPr>
              <w:t>bottle (or al</w:t>
            </w:r>
            <w:r>
              <w:rPr>
                <w:rFonts w:ascii="Arial" w:hAnsi="Arial"/>
                <w:sz w:val="24"/>
                <w:lang w:val="en-CA"/>
              </w:rPr>
              <w:t>ternative dispensing</w:t>
            </w:r>
            <w:r w:rsidRPr="0093537F">
              <w:rPr>
                <w:rFonts w:ascii="Arial" w:hAnsi="Arial"/>
                <w:sz w:val="24"/>
                <w:lang w:val="en-CA"/>
              </w:rPr>
              <w:t xml:space="preserve"> device) and di</w:t>
            </w:r>
            <w:r>
              <w:rPr>
                <w:rFonts w:ascii="Arial" w:hAnsi="Arial"/>
                <w:sz w:val="24"/>
                <w:lang w:val="en-CA"/>
              </w:rPr>
              <w:t xml:space="preserve">spense 5 to 6 cm of </w:t>
            </w:r>
            <w:r w:rsidRPr="0093537F">
              <w:rPr>
                <w:rFonts w:ascii="Arial" w:hAnsi="Arial"/>
                <w:sz w:val="24"/>
                <w:lang w:val="en-CA"/>
              </w:rPr>
              <w:t>normal saline in</w:t>
            </w:r>
            <w:r>
              <w:rPr>
                <w:rFonts w:ascii="Arial" w:hAnsi="Arial"/>
                <w:sz w:val="24"/>
                <w:lang w:val="en-CA"/>
              </w:rPr>
              <w:t xml:space="preserve"> each tube (leave 1 </w:t>
            </w:r>
            <w:r w:rsidRPr="0093537F">
              <w:rPr>
                <w:rFonts w:ascii="Arial" w:hAnsi="Arial"/>
                <w:sz w:val="24"/>
                <w:lang w:val="en-CA"/>
              </w:rPr>
              <w:t xml:space="preserve">cm from the top </w:t>
            </w:r>
            <w:r>
              <w:rPr>
                <w:rFonts w:ascii="Arial" w:hAnsi="Arial"/>
                <w:sz w:val="24"/>
                <w:lang w:val="en-CA"/>
              </w:rPr>
              <w:t xml:space="preserve">of the tube empty). </w:t>
            </w:r>
            <w:r w:rsidRPr="0093537F">
              <w:rPr>
                <w:rFonts w:ascii="Arial" w:hAnsi="Arial"/>
                <w:sz w:val="24"/>
                <w:lang w:val="en-CA"/>
              </w:rPr>
              <w:t>See Procedural Notes 8.1.</w:t>
            </w:r>
          </w:p>
          <w:p w:rsidR="00C43303" w:rsidRPr="00C43303" w:rsidRDefault="00C43303" w:rsidP="00C43303">
            <w:pPr>
              <w:pStyle w:val="ListParagraph"/>
              <w:numPr>
                <w:ilvl w:val="0"/>
                <w:numId w:val="17"/>
              </w:numPr>
              <w:ind w:hanging="720"/>
              <w:rPr>
                <w:rFonts w:ascii="Arial" w:hAnsi="Arial"/>
                <w:sz w:val="24"/>
                <w:lang w:val="en-CA"/>
              </w:rPr>
            </w:pPr>
            <w:r w:rsidRPr="0093537F">
              <w:rPr>
                <w:rFonts w:ascii="Arial" w:hAnsi="Arial" w:cs="Arial"/>
                <w:sz w:val="24"/>
                <w:szCs w:val="24"/>
                <w:lang w:val="en-CA"/>
              </w:rPr>
              <w:t>Place the tubes in a serolog</w:t>
            </w:r>
            <w:r>
              <w:rPr>
                <w:rFonts w:ascii="Arial" w:hAnsi="Arial" w:cs="Arial"/>
                <w:sz w:val="24"/>
                <w:szCs w:val="24"/>
                <w:lang w:val="en-CA"/>
              </w:rPr>
              <w:t xml:space="preserve">ical centrifuge and </w:t>
            </w:r>
            <w:r w:rsidRPr="0093537F">
              <w:rPr>
                <w:rFonts w:ascii="Arial" w:hAnsi="Arial" w:cs="Arial"/>
                <w:sz w:val="24"/>
                <w:szCs w:val="24"/>
                <w:lang w:val="en-CA"/>
              </w:rPr>
              <w:t>centri</w:t>
            </w:r>
            <w:r>
              <w:rPr>
                <w:rFonts w:ascii="Arial" w:hAnsi="Arial" w:cs="Arial"/>
                <w:sz w:val="24"/>
                <w:szCs w:val="24"/>
                <w:lang w:val="en-CA"/>
              </w:rPr>
              <w:t xml:space="preserve">fuge for 45 to 60 seconds.  See Procedural </w:t>
            </w:r>
            <w:r w:rsidRPr="0093537F">
              <w:rPr>
                <w:rFonts w:ascii="Arial" w:hAnsi="Arial" w:cs="Arial"/>
                <w:sz w:val="24"/>
                <w:szCs w:val="24"/>
                <w:lang w:val="en-CA"/>
              </w:rPr>
              <w:t>Notes 8.2.</w:t>
            </w:r>
          </w:p>
          <w:p w:rsidR="00C43303" w:rsidRPr="00C43303" w:rsidRDefault="00C43303" w:rsidP="00C43303">
            <w:pPr>
              <w:pStyle w:val="ListParagraph"/>
              <w:numPr>
                <w:ilvl w:val="0"/>
                <w:numId w:val="17"/>
              </w:numPr>
              <w:ind w:hanging="720"/>
              <w:rPr>
                <w:rFonts w:ascii="Arial" w:hAnsi="Arial"/>
                <w:sz w:val="24"/>
                <w:lang w:val="en-CA"/>
              </w:rPr>
            </w:pPr>
            <w:r w:rsidRPr="0093537F">
              <w:rPr>
                <w:rFonts w:ascii="Arial" w:hAnsi="Arial" w:cs="Arial"/>
                <w:sz w:val="24"/>
                <w:szCs w:val="24"/>
                <w:lang w:val="en-CA"/>
              </w:rPr>
              <w:t>Remove the normal saline</w:t>
            </w:r>
            <w:r>
              <w:rPr>
                <w:rFonts w:ascii="Arial" w:hAnsi="Arial" w:cs="Arial"/>
                <w:sz w:val="24"/>
                <w:szCs w:val="24"/>
                <w:lang w:val="en-CA"/>
              </w:rPr>
              <w:t xml:space="preserve"> using a pipette or </w:t>
            </w:r>
            <w:r>
              <w:rPr>
                <w:rFonts w:ascii="Arial" w:hAnsi="Arial" w:cs="Arial"/>
                <w:sz w:val="24"/>
                <w:szCs w:val="24"/>
                <w:lang w:val="en-CA"/>
              </w:rPr>
              <w:br/>
            </w:r>
            <w:r w:rsidRPr="0093537F">
              <w:rPr>
                <w:rFonts w:ascii="Arial" w:hAnsi="Arial" w:cs="Arial"/>
                <w:sz w:val="24"/>
                <w:szCs w:val="24"/>
                <w:lang w:val="en-CA"/>
              </w:rPr>
              <w:t>vacuum aspiration equipmen</w:t>
            </w:r>
            <w:r>
              <w:rPr>
                <w:rFonts w:ascii="Arial" w:hAnsi="Arial" w:cs="Arial"/>
                <w:sz w:val="24"/>
                <w:szCs w:val="24"/>
                <w:lang w:val="en-CA"/>
              </w:rPr>
              <w:t xml:space="preserve">t, leaving the cell </w:t>
            </w:r>
            <w:r>
              <w:rPr>
                <w:rFonts w:ascii="Arial" w:hAnsi="Arial" w:cs="Arial"/>
                <w:sz w:val="24"/>
                <w:szCs w:val="24"/>
                <w:lang w:val="en-CA"/>
              </w:rPr>
              <w:br/>
            </w:r>
            <w:r w:rsidRPr="0093537F">
              <w:rPr>
                <w:rFonts w:ascii="Arial" w:hAnsi="Arial" w:cs="Arial"/>
                <w:sz w:val="24"/>
                <w:szCs w:val="24"/>
                <w:lang w:val="en-CA"/>
              </w:rPr>
              <w:t xml:space="preserve">button intact.      </w:t>
            </w:r>
          </w:p>
          <w:p w:rsidR="00C43303" w:rsidRPr="005E1820" w:rsidRDefault="00C43303" w:rsidP="005E1820">
            <w:pPr>
              <w:pStyle w:val="ListParagraph"/>
              <w:shd w:val="clear" w:color="auto" w:fill="D9D9D9" w:themeFill="background1" w:themeFillShade="D9"/>
              <w:rPr>
                <w:rFonts w:ascii="Arial" w:hAnsi="Arial"/>
                <w:i/>
                <w:lang w:val="en-CA"/>
              </w:rPr>
            </w:pPr>
            <w:r w:rsidRPr="005E1820">
              <w:rPr>
                <w:rFonts w:ascii="Arial" w:hAnsi="Arial" w:cs="Arial"/>
                <w:i/>
                <w:lang w:val="en-CA"/>
              </w:rPr>
              <w:t>If manually decanting into a biohazard container, follow established safety procedures (i.</w:t>
            </w:r>
            <w:r w:rsidR="005E1820" w:rsidRPr="005E1820">
              <w:rPr>
                <w:rFonts w:ascii="Arial" w:hAnsi="Arial" w:cs="Arial"/>
                <w:i/>
                <w:lang w:val="en-CA"/>
              </w:rPr>
              <w:t>e., use</w:t>
            </w:r>
            <w:r w:rsidRPr="005E1820">
              <w:rPr>
                <w:rFonts w:ascii="Arial" w:hAnsi="Arial" w:cs="Arial"/>
                <w:i/>
                <w:lang w:val="en-CA"/>
              </w:rPr>
              <w:t xml:space="preserve"> protective equipment such as g</w:t>
            </w:r>
            <w:r w:rsidR="005E1820" w:rsidRPr="005E1820">
              <w:rPr>
                <w:rFonts w:ascii="Arial" w:hAnsi="Arial" w:cs="Arial"/>
                <w:i/>
                <w:lang w:val="en-CA"/>
              </w:rPr>
              <w:t xml:space="preserve">oggles, face shield </w:t>
            </w:r>
            <w:r w:rsidRPr="005E1820">
              <w:rPr>
                <w:rFonts w:ascii="Arial" w:hAnsi="Arial" w:cs="Arial"/>
                <w:i/>
                <w:lang w:val="en-CA"/>
              </w:rPr>
              <w:t>or safety shield).  See Procedural Notes 8</w:t>
            </w:r>
            <w:r w:rsidR="005E1820" w:rsidRPr="005E1820">
              <w:rPr>
                <w:rFonts w:ascii="Arial" w:hAnsi="Arial" w:cs="Arial"/>
                <w:i/>
                <w:lang w:val="en-CA"/>
              </w:rPr>
              <w:t>.3. Ensure</w:t>
            </w:r>
            <w:r w:rsidRPr="005E1820">
              <w:rPr>
                <w:rFonts w:ascii="Arial" w:hAnsi="Arial" w:cs="Arial"/>
                <w:i/>
                <w:lang w:val="en-CA"/>
              </w:rPr>
              <w:t xml:space="preserve"> decant of saline is gentle to avoid loss of cells.</w:t>
            </w:r>
          </w:p>
          <w:p w:rsidR="00C43303" w:rsidRPr="005E1820" w:rsidRDefault="005E1820" w:rsidP="00C43303">
            <w:pPr>
              <w:pStyle w:val="ListParagraph"/>
              <w:numPr>
                <w:ilvl w:val="0"/>
                <w:numId w:val="17"/>
              </w:numPr>
              <w:ind w:hanging="720"/>
              <w:rPr>
                <w:rFonts w:ascii="Arial" w:hAnsi="Arial"/>
                <w:sz w:val="24"/>
                <w:lang w:val="en-CA"/>
              </w:rPr>
            </w:pPr>
            <w:r w:rsidRPr="0093537F">
              <w:rPr>
                <w:rFonts w:ascii="Arial" w:hAnsi="Arial" w:cs="Arial"/>
                <w:sz w:val="24"/>
                <w:szCs w:val="24"/>
                <w:lang w:val="en-CA"/>
              </w:rPr>
              <w:t>Mix the tube(s) gently to dislodge the cell button.</w:t>
            </w:r>
          </w:p>
          <w:p w:rsidR="005E1820" w:rsidRPr="005E1820" w:rsidRDefault="005E1820" w:rsidP="00C43303">
            <w:pPr>
              <w:pStyle w:val="ListParagraph"/>
              <w:numPr>
                <w:ilvl w:val="0"/>
                <w:numId w:val="17"/>
              </w:numPr>
              <w:ind w:hanging="720"/>
              <w:rPr>
                <w:rFonts w:ascii="Arial" w:hAnsi="Arial"/>
                <w:sz w:val="24"/>
                <w:lang w:val="en-CA"/>
              </w:rPr>
            </w:pPr>
            <w:r>
              <w:rPr>
                <w:rFonts w:ascii="Arial" w:hAnsi="Arial" w:cs="Arial"/>
                <w:sz w:val="24"/>
                <w:szCs w:val="24"/>
                <w:lang w:val="en-CA"/>
              </w:rPr>
              <w:t xml:space="preserve">Repeat steps </w:t>
            </w:r>
            <w:r w:rsidRPr="0093537F">
              <w:rPr>
                <w:rFonts w:ascii="Arial" w:hAnsi="Arial" w:cs="Arial"/>
                <w:sz w:val="24"/>
                <w:szCs w:val="24"/>
                <w:lang w:val="en-CA"/>
              </w:rPr>
              <w:t xml:space="preserve">6.3.2 through 6.3.5. </w:t>
            </w:r>
            <w:r>
              <w:rPr>
                <w:rFonts w:ascii="Arial" w:hAnsi="Arial" w:cs="Arial"/>
                <w:sz w:val="24"/>
                <w:szCs w:val="24"/>
                <w:lang w:val="en-CA"/>
              </w:rPr>
              <w:t>i</w:t>
            </w:r>
            <w:r w:rsidRPr="0093537F">
              <w:rPr>
                <w:rFonts w:ascii="Arial" w:hAnsi="Arial" w:cs="Arial"/>
                <w:sz w:val="24"/>
                <w:szCs w:val="24"/>
                <w:lang w:val="en-CA"/>
              </w:rPr>
              <w:t>f more than one wash is required</w:t>
            </w:r>
          </w:p>
          <w:p w:rsidR="005E1820" w:rsidRDefault="005E1820" w:rsidP="00C43303">
            <w:pPr>
              <w:pStyle w:val="ListParagraph"/>
              <w:numPr>
                <w:ilvl w:val="0"/>
                <w:numId w:val="17"/>
              </w:numPr>
              <w:ind w:hanging="720"/>
              <w:rPr>
                <w:rFonts w:ascii="Arial" w:hAnsi="Arial"/>
                <w:sz w:val="24"/>
                <w:lang w:val="en-CA"/>
              </w:rPr>
            </w:pPr>
            <w:r w:rsidRPr="0093537F">
              <w:rPr>
                <w:rFonts w:ascii="Arial" w:hAnsi="Arial" w:cs="Arial"/>
                <w:sz w:val="24"/>
                <w:szCs w:val="24"/>
                <w:lang w:val="en-CA"/>
              </w:rPr>
              <w:t>Add</w:t>
            </w:r>
            <w:r>
              <w:rPr>
                <w:rFonts w:ascii="Arial" w:hAnsi="Arial" w:cs="Arial"/>
                <w:sz w:val="24"/>
                <w:szCs w:val="24"/>
                <w:lang w:val="en-CA"/>
              </w:rPr>
              <w:t xml:space="preserve"> 0.5 to 1.0 mL of normal saline resuspend to 3%</w:t>
            </w:r>
            <w:r w:rsidRPr="0093537F">
              <w:rPr>
                <w:rFonts w:ascii="Arial" w:hAnsi="Arial" w:cs="Arial"/>
                <w:sz w:val="24"/>
                <w:szCs w:val="24"/>
                <w:lang w:val="en-CA"/>
              </w:rPr>
              <w:t xml:space="preserve"> </w:t>
            </w:r>
            <w:r>
              <w:rPr>
                <w:rFonts w:ascii="Arial" w:hAnsi="Arial" w:cs="Arial"/>
                <w:sz w:val="24"/>
                <w:szCs w:val="24"/>
                <w:lang w:val="en-CA"/>
              </w:rPr>
              <w:t>a</w:t>
            </w:r>
            <w:r w:rsidRPr="0093537F">
              <w:rPr>
                <w:rFonts w:ascii="Arial" w:hAnsi="Arial" w:cs="Arial"/>
                <w:sz w:val="24"/>
                <w:szCs w:val="24"/>
                <w:lang w:val="en-CA"/>
              </w:rPr>
              <w:t>fter the last wash</w:t>
            </w:r>
            <w:r>
              <w:rPr>
                <w:rFonts w:ascii="Arial" w:hAnsi="Arial" w:cs="Arial"/>
                <w:sz w:val="24"/>
                <w:szCs w:val="24"/>
                <w:lang w:val="en-CA"/>
              </w:rPr>
              <w:t>;</w:t>
            </w:r>
            <w:r w:rsidRPr="0093537F">
              <w:rPr>
                <w:rFonts w:ascii="Arial" w:hAnsi="Arial" w:cs="Arial"/>
                <w:sz w:val="24"/>
                <w:szCs w:val="24"/>
                <w:lang w:val="en-CA"/>
              </w:rPr>
              <w:t xml:space="preserve"> mix we</w:t>
            </w:r>
            <w:r>
              <w:rPr>
                <w:rFonts w:ascii="Arial" w:hAnsi="Arial" w:cs="Arial"/>
                <w:sz w:val="24"/>
                <w:szCs w:val="24"/>
                <w:lang w:val="en-CA"/>
              </w:rPr>
              <w:t xml:space="preserve">ll and compare with </w:t>
            </w:r>
            <w:r w:rsidRPr="0093537F">
              <w:rPr>
                <w:rFonts w:ascii="Arial" w:hAnsi="Arial" w:cs="Arial"/>
                <w:sz w:val="24"/>
                <w:szCs w:val="24"/>
                <w:lang w:val="en-CA"/>
              </w:rPr>
              <w:t>a commercial 3% suspe</w:t>
            </w:r>
            <w:r>
              <w:rPr>
                <w:rFonts w:ascii="Arial" w:hAnsi="Arial" w:cs="Arial"/>
                <w:sz w:val="24"/>
                <w:szCs w:val="24"/>
                <w:lang w:val="en-CA"/>
              </w:rPr>
              <w:t xml:space="preserve">nsion.  If the cell </w:t>
            </w:r>
            <w:r>
              <w:rPr>
                <w:rFonts w:ascii="Arial" w:hAnsi="Arial" w:cs="Arial"/>
                <w:sz w:val="24"/>
                <w:szCs w:val="24"/>
                <w:lang w:val="en-CA"/>
              </w:rPr>
              <w:br/>
            </w:r>
            <w:r w:rsidRPr="0093537F">
              <w:rPr>
                <w:rFonts w:ascii="Arial" w:hAnsi="Arial" w:cs="Arial"/>
                <w:sz w:val="24"/>
                <w:szCs w:val="24"/>
                <w:lang w:val="en-CA"/>
              </w:rPr>
              <w:t>suspension is too heavy ad</w:t>
            </w:r>
            <w:r>
              <w:rPr>
                <w:rFonts w:ascii="Arial" w:hAnsi="Arial" w:cs="Arial"/>
                <w:sz w:val="24"/>
                <w:szCs w:val="24"/>
                <w:lang w:val="en-CA"/>
              </w:rPr>
              <w:t xml:space="preserve">d additional normal </w:t>
            </w:r>
            <w:r>
              <w:rPr>
                <w:rFonts w:ascii="Arial" w:hAnsi="Arial" w:cs="Arial"/>
                <w:sz w:val="24"/>
                <w:szCs w:val="24"/>
                <w:lang w:val="en-CA"/>
              </w:rPr>
              <w:br/>
            </w:r>
            <w:r w:rsidRPr="0093537F">
              <w:rPr>
                <w:rFonts w:ascii="Arial" w:hAnsi="Arial" w:cs="Arial"/>
                <w:sz w:val="24"/>
                <w:szCs w:val="24"/>
                <w:lang w:val="en-CA"/>
              </w:rPr>
              <w:t xml:space="preserve">saline.  If the cell suspension </w:t>
            </w:r>
            <w:r>
              <w:rPr>
                <w:rFonts w:ascii="Arial" w:hAnsi="Arial" w:cs="Arial"/>
                <w:sz w:val="24"/>
                <w:szCs w:val="24"/>
                <w:lang w:val="en-CA"/>
              </w:rPr>
              <w:t xml:space="preserve">is too light repeat </w:t>
            </w:r>
            <w:r w:rsidRPr="0093537F">
              <w:rPr>
                <w:rFonts w:ascii="Arial" w:hAnsi="Arial" w:cs="Arial"/>
                <w:sz w:val="24"/>
                <w:szCs w:val="24"/>
                <w:lang w:val="en-CA"/>
              </w:rPr>
              <w:t>steps 6.3.3 – 6.3.5 adding less normal saline.</w:t>
            </w:r>
          </w:p>
        </w:tc>
      </w:tr>
    </w:tbl>
    <w:p w:rsidR="0093537F" w:rsidRDefault="0093537F" w:rsidP="0093537F">
      <w:pPr>
        <w:ind w:left="720"/>
        <w:rPr>
          <w:rFonts w:ascii="Arial" w:hAnsi="Arial"/>
          <w:b/>
          <w:sz w:val="28"/>
        </w:rPr>
      </w:pPr>
    </w:p>
    <w:tbl>
      <w:tblPr>
        <w:tblStyle w:val="TableGrid1"/>
        <w:tblW w:w="0" w:type="auto"/>
        <w:tblLook w:val="04A0" w:firstRow="1" w:lastRow="0" w:firstColumn="1" w:lastColumn="0" w:noHBand="0" w:noVBand="1"/>
      </w:tblPr>
      <w:tblGrid>
        <w:gridCol w:w="8856"/>
      </w:tblGrid>
      <w:tr w:rsidR="0060748F" w:rsidRPr="0093537F" w:rsidTr="0060748F">
        <w:trPr>
          <w:trHeight w:val="699"/>
          <w:hidden/>
        </w:trPr>
        <w:tc>
          <w:tcPr>
            <w:tcW w:w="8856" w:type="dxa"/>
          </w:tcPr>
          <w:p w:rsidR="0060748F" w:rsidRPr="0093537F" w:rsidRDefault="0060748F" w:rsidP="001B021C">
            <w:pPr>
              <w:contextualSpacing/>
              <w:rPr>
                <w:rFonts w:ascii="Arial" w:hAnsi="Arial" w:cs="Arial"/>
                <w:vanish/>
                <w:sz w:val="24"/>
                <w:szCs w:val="24"/>
                <w:lang w:val="en-CA"/>
              </w:rPr>
            </w:pPr>
          </w:p>
        </w:tc>
      </w:tr>
      <w:tr w:rsidR="0060748F" w:rsidRPr="0093537F" w:rsidTr="0060748F">
        <w:trPr>
          <w:trHeight w:val="699"/>
          <w:hidden/>
        </w:trPr>
        <w:tc>
          <w:tcPr>
            <w:tcW w:w="8856" w:type="dxa"/>
          </w:tcPr>
          <w:p w:rsidR="0060748F" w:rsidRPr="0093537F" w:rsidRDefault="0060748F" w:rsidP="001B021C">
            <w:pPr>
              <w:contextualSpacing/>
              <w:rPr>
                <w:rFonts w:ascii="Arial" w:hAnsi="Arial" w:cs="Arial"/>
                <w:vanish/>
                <w:sz w:val="24"/>
                <w:szCs w:val="24"/>
                <w:lang w:val="en-CA"/>
              </w:rPr>
            </w:pPr>
          </w:p>
        </w:tc>
      </w:tr>
      <w:tr w:rsidR="0060748F" w:rsidRPr="0093537F" w:rsidTr="0060748F">
        <w:trPr>
          <w:trHeight w:val="699"/>
          <w:hidden/>
        </w:trPr>
        <w:tc>
          <w:tcPr>
            <w:tcW w:w="8856" w:type="dxa"/>
          </w:tcPr>
          <w:p w:rsidR="0060748F" w:rsidRPr="0093537F" w:rsidRDefault="0060748F" w:rsidP="001B021C">
            <w:pPr>
              <w:contextualSpacing/>
              <w:rPr>
                <w:rFonts w:ascii="Arial" w:hAnsi="Arial" w:cs="Arial"/>
                <w:vanish/>
                <w:sz w:val="24"/>
                <w:szCs w:val="24"/>
                <w:lang w:val="en-CA"/>
              </w:rPr>
            </w:pPr>
          </w:p>
        </w:tc>
      </w:tr>
    </w:tbl>
    <w:p w:rsidR="0055302B" w:rsidRDefault="0055302B" w:rsidP="005E1820">
      <w:pPr>
        <w:rPr>
          <w:rFonts w:ascii="Arial" w:hAnsi="Arial"/>
          <w:sz w:val="24"/>
        </w:rPr>
      </w:pPr>
    </w:p>
    <w:p w:rsidR="00505873" w:rsidRDefault="0055302B" w:rsidP="005E1820">
      <w:pPr>
        <w:numPr>
          <w:ilvl w:val="0"/>
          <w:numId w:val="6"/>
        </w:numPr>
        <w:rPr>
          <w:rFonts w:ascii="Arial" w:hAnsi="Arial"/>
          <w:b/>
          <w:sz w:val="28"/>
        </w:rPr>
      </w:pPr>
      <w:r>
        <w:rPr>
          <w:rFonts w:ascii="Arial" w:hAnsi="Arial"/>
          <w:b/>
          <w:sz w:val="28"/>
        </w:rPr>
        <w:t>Reporting – N/A</w:t>
      </w:r>
    </w:p>
    <w:p w:rsidR="0055302B" w:rsidRDefault="0055302B">
      <w:pPr>
        <w:rPr>
          <w:rFonts w:ascii="Arial" w:hAnsi="Arial"/>
          <w:b/>
          <w:sz w:val="28"/>
        </w:rPr>
      </w:pPr>
    </w:p>
    <w:p w:rsidR="005E1820" w:rsidRDefault="005E1820">
      <w:pPr>
        <w:rPr>
          <w:rFonts w:ascii="Arial" w:hAnsi="Arial"/>
          <w:b/>
          <w:sz w:val="28"/>
        </w:rPr>
      </w:pPr>
    </w:p>
    <w:p w:rsidR="005E1820" w:rsidRDefault="005E1820">
      <w:pPr>
        <w:rPr>
          <w:rFonts w:ascii="Arial" w:hAnsi="Arial"/>
          <w:b/>
          <w:sz w:val="28"/>
        </w:rPr>
      </w:pPr>
    </w:p>
    <w:p w:rsidR="005E1820" w:rsidRDefault="005E1820">
      <w:pPr>
        <w:rPr>
          <w:rFonts w:ascii="Arial" w:hAnsi="Arial"/>
          <w:b/>
          <w:sz w:val="28"/>
        </w:rPr>
      </w:pPr>
    </w:p>
    <w:p w:rsidR="005E1820" w:rsidRDefault="005E1820">
      <w:pPr>
        <w:rPr>
          <w:rFonts w:ascii="Arial" w:hAnsi="Arial"/>
          <w:b/>
          <w:sz w:val="28"/>
        </w:rPr>
      </w:pPr>
    </w:p>
    <w:p w:rsidR="00505873" w:rsidRDefault="0055302B" w:rsidP="0093537F">
      <w:pPr>
        <w:numPr>
          <w:ilvl w:val="0"/>
          <w:numId w:val="6"/>
        </w:numPr>
        <w:rPr>
          <w:rFonts w:ascii="Arial" w:hAnsi="Arial"/>
          <w:b/>
          <w:sz w:val="28"/>
        </w:rPr>
      </w:pPr>
      <w:r>
        <w:rPr>
          <w:rFonts w:ascii="Arial" w:hAnsi="Arial"/>
          <w:b/>
          <w:sz w:val="28"/>
        </w:rPr>
        <w:t>Procedural Notes</w:t>
      </w:r>
    </w:p>
    <w:p w:rsidR="0055302B" w:rsidRDefault="0055302B">
      <w:pPr>
        <w:rPr>
          <w:rFonts w:ascii="Arial" w:hAnsi="Arial"/>
          <w:sz w:val="24"/>
        </w:rPr>
      </w:pPr>
    </w:p>
    <w:p w:rsidR="00505873" w:rsidRDefault="0055302B" w:rsidP="005E1820">
      <w:pPr>
        <w:numPr>
          <w:ilvl w:val="1"/>
          <w:numId w:val="18"/>
        </w:numPr>
        <w:ind w:left="1134" w:hanging="708"/>
        <w:rPr>
          <w:rFonts w:ascii="Arial" w:hAnsi="Arial"/>
          <w:sz w:val="24"/>
        </w:rPr>
      </w:pPr>
      <w:r>
        <w:rPr>
          <w:rFonts w:ascii="Arial" w:hAnsi="Arial"/>
          <w:sz w:val="24"/>
        </w:rPr>
        <w:t xml:space="preserve">Direct the normal saline into the bottom of the tube </w:t>
      </w:r>
      <w:r w:rsidR="00BE5D1D">
        <w:rPr>
          <w:rFonts w:ascii="Arial" w:hAnsi="Arial"/>
          <w:sz w:val="24"/>
        </w:rPr>
        <w:t xml:space="preserve">gently </w:t>
      </w:r>
      <w:r>
        <w:rPr>
          <w:rFonts w:ascii="Arial" w:hAnsi="Arial"/>
          <w:sz w:val="24"/>
        </w:rPr>
        <w:t>so that the cells are mixed homogeneously with the normal saline</w:t>
      </w:r>
      <w:r w:rsidR="00BE5D1D">
        <w:rPr>
          <w:rFonts w:ascii="Arial" w:hAnsi="Arial"/>
          <w:sz w:val="24"/>
        </w:rPr>
        <w:t xml:space="preserve"> but no splashing (and loss of cells) occurs.</w:t>
      </w:r>
      <w:r>
        <w:rPr>
          <w:rFonts w:ascii="Arial" w:hAnsi="Arial"/>
          <w:sz w:val="24"/>
        </w:rPr>
        <w:t xml:space="preserve"> </w:t>
      </w:r>
      <w:r w:rsidR="00BE5D1D">
        <w:rPr>
          <w:rFonts w:ascii="Arial" w:hAnsi="Arial"/>
          <w:sz w:val="24"/>
        </w:rPr>
        <w:t>D</w:t>
      </w:r>
      <w:r>
        <w:rPr>
          <w:rFonts w:ascii="Arial" w:hAnsi="Arial"/>
          <w:sz w:val="24"/>
        </w:rPr>
        <w:t>o not allow the spout of the bottle to</w:t>
      </w:r>
      <w:r w:rsidR="009B03B1">
        <w:rPr>
          <w:rFonts w:ascii="Arial" w:hAnsi="Arial"/>
          <w:sz w:val="24"/>
        </w:rPr>
        <w:t xml:space="preserve"> touch the inside of the tube. </w:t>
      </w:r>
      <w:r>
        <w:rPr>
          <w:rFonts w:ascii="Arial" w:hAnsi="Arial"/>
          <w:sz w:val="24"/>
        </w:rPr>
        <w:t>This is important to avoid contamination from one tube to the next while dispensing normal saline into several tubes.</w:t>
      </w:r>
    </w:p>
    <w:p w:rsidR="0055302B" w:rsidRDefault="0055302B" w:rsidP="005E1820">
      <w:pPr>
        <w:ind w:left="1134" w:hanging="708"/>
        <w:rPr>
          <w:rFonts w:ascii="Arial" w:hAnsi="Arial"/>
          <w:sz w:val="24"/>
        </w:rPr>
      </w:pPr>
    </w:p>
    <w:p w:rsidR="00505873" w:rsidRDefault="0055302B" w:rsidP="005E1820">
      <w:pPr>
        <w:numPr>
          <w:ilvl w:val="1"/>
          <w:numId w:val="18"/>
        </w:numPr>
        <w:ind w:left="1134" w:hanging="708"/>
        <w:rPr>
          <w:rFonts w:ascii="Arial" w:hAnsi="Arial"/>
          <w:sz w:val="24"/>
        </w:rPr>
      </w:pPr>
      <w:r>
        <w:rPr>
          <w:rFonts w:ascii="Arial" w:hAnsi="Arial"/>
          <w:sz w:val="24"/>
        </w:rPr>
        <w:t>After centrifugation, the cells should be pac</w:t>
      </w:r>
      <w:r w:rsidR="009B03B1">
        <w:rPr>
          <w:rFonts w:ascii="Arial" w:hAnsi="Arial"/>
          <w:sz w:val="24"/>
        </w:rPr>
        <w:t>ked at the bottom of the tube.</w:t>
      </w:r>
      <w:r>
        <w:rPr>
          <w:rFonts w:ascii="Arial" w:hAnsi="Arial"/>
          <w:sz w:val="24"/>
        </w:rPr>
        <w:t xml:space="preserve"> There should not be a line of red cells form</w:t>
      </w:r>
      <w:r w:rsidR="009B03B1">
        <w:rPr>
          <w:rFonts w:ascii="Arial" w:hAnsi="Arial"/>
          <w:sz w:val="24"/>
        </w:rPr>
        <w:t xml:space="preserve">ed along the side of the tube. </w:t>
      </w:r>
      <w:r>
        <w:rPr>
          <w:rFonts w:ascii="Arial" w:hAnsi="Arial"/>
          <w:sz w:val="24"/>
        </w:rPr>
        <w:t>If a line of red cells is seen along the side of the tube, the centrifugation time should be extended until all the red cells are packed at the bottom of the tube.</w:t>
      </w:r>
    </w:p>
    <w:p w:rsidR="0055302B" w:rsidRDefault="0055302B" w:rsidP="005E1820">
      <w:pPr>
        <w:ind w:left="1134" w:hanging="708"/>
        <w:rPr>
          <w:rFonts w:ascii="Arial" w:hAnsi="Arial"/>
          <w:sz w:val="24"/>
        </w:rPr>
      </w:pPr>
    </w:p>
    <w:p w:rsidR="00505873" w:rsidRDefault="0055302B" w:rsidP="005E1820">
      <w:pPr>
        <w:numPr>
          <w:ilvl w:val="1"/>
          <w:numId w:val="18"/>
        </w:numPr>
        <w:ind w:left="1134" w:hanging="708"/>
        <w:rPr>
          <w:rFonts w:ascii="Arial" w:hAnsi="Arial"/>
          <w:sz w:val="24"/>
        </w:rPr>
      </w:pPr>
      <w:r>
        <w:rPr>
          <w:rFonts w:ascii="Arial" w:hAnsi="Arial"/>
          <w:sz w:val="24"/>
        </w:rPr>
        <w:t>Biohazard Container:  A container approved by the Laboratory Safety Committee that can be used to prevent potential exposure to biohazardous material.</w:t>
      </w:r>
    </w:p>
    <w:p w:rsidR="0055302B" w:rsidRDefault="0055302B">
      <w:pPr>
        <w:ind w:left="720"/>
        <w:rPr>
          <w:rFonts w:ascii="Arial" w:hAnsi="Arial"/>
          <w:b/>
          <w:sz w:val="28"/>
        </w:rPr>
      </w:pPr>
    </w:p>
    <w:p w:rsidR="00505873" w:rsidRDefault="0055302B" w:rsidP="005E1820">
      <w:pPr>
        <w:numPr>
          <w:ilvl w:val="0"/>
          <w:numId w:val="18"/>
        </w:numPr>
        <w:rPr>
          <w:rFonts w:ascii="Arial" w:hAnsi="Arial"/>
          <w:b/>
          <w:sz w:val="28"/>
        </w:rPr>
      </w:pPr>
      <w:r>
        <w:rPr>
          <w:rFonts w:ascii="Arial" w:hAnsi="Arial"/>
          <w:b/>
          <w:sz w:val="28"/>
        </w:rPr>
        <w:t>References</w:t>
      </w:r>
    </w:p>
    <w:p w:rsidR="0055302B" w:rsidRDefault="0055302B">
      <w:pPr>
        <w:ind w:left="720"/>
        <w:rPr>
          <w:rFonts w:ascii="Arial" w:hAnsi="Arial"/>
          <w:b/>
          <w:sz w:val="28"/>
        </w:rPr>
      </w:pPr>
    </w:p>
    <w:p w:rsidR="00505873" w:rsidRDefault="007B3970" w:rsidP="005E1820">
      <w:pPr>
        <w:pStyle w:val="ListParagraph"/>
        <w:numPr>
          <w:ilvl w:val="1"/>
          <w:numId w:val="7"/>
        </w:numPr>
        <w:ind w:left="1134" w:hanging="708"/>
        <w:rPr>
          <w:rFonts w:ascii="Arial" w:hAnsi="Arial"/>
          <w:sz w:val="24"/>
        </w:rPr>
      </w:pPr>
      <w:r w:rsidRPr="0093537F">
        <w:rPr>
          <w:rFonts w:ascii="Arial" w:hAnsi="Arial"/>
          <w:sz w:val="24"/>
        </w:rPr>
        <w:t>Refer to manufacturer’s operating manual for automated cell washers</w:t>
      </w:r>
      <w:r w:rsidR="00BE5D1D">
        <w:rPr>
          <w:rFonts w:ascii="Arial" w:hAnsi="Arial"/>
          <w:sz w:val="24"/>
        </w:rPr>
        <w:t xml:space="preserve"> in use</w:t>
      </w:r>
      <w:r w:rsidRPr="0093537F">
        <w:rPr>
          <w:rFonts w:ascii="Arial" w:hAnsi="Arial"/>
          <w:sz w:val="24"/>
        </w:rPr>
        <w:t>.</w:t>
      </w:r>
    </w:p>
    <w:p w:rsidR="00953F66" w:rsidRDefault="00953F66" w:rsidP="00953F66">
      <w:pPr>
        <w:pStyle w:val="ListParagraph"/>
        <w:ind w:left="1800"/>
        <w:rPr>
          <w:rFonts w:ascii="Arial" w:hAnsi="Arial"/>
          <w:sz w:val="24"/>
        </w:rPr>
      </w:pPr>
    </w:p>
    <w:p w:rsidR="00953F66" w:rsidRDefault="00953F66" w:rsidP="005E1820">
      <w:pPr>
        <w:pStyle w:val="ListParagraph"/>
        <w:numPr>
          <w:ilvl w:val="0"/>
          <w:numId w:val="7"/>
        </w:numPr>
        <w:rPr>
          <w:rFonts w:ascii="Arial" w:hAnsi="Arial"/>
          <w:b/>
          <w:sz w:val="28"/>
          <w:szCs w:val="28"/>
        </w:rPr>
      </w:pPr>
      <w:r w:rsidRPr="00953F66">
        <w:rPr>
          <w:rFonts w:ascii="Arial" w:hAnsi="Arial"/>
          <w:b/>
          <w:sz w:val="28"/>
          <w:szCs w:val="28"/>
        </w:rPr>
        <w:t>Revision History</w:t>
      </w:r>
    </w:p>
    <w:p w:rsidR="00953F66" w:rsidRDefault="00953F66" w:rsidP="00953F66">
      <w:pPr>
        <w:pStyle w:val="ListParagraph"/>
        <w:ind w:left="360"/>
        <w:rPr>
          <w:rFonts w:ascii="Arial" w:hAnsi="Arial"/>
          <w:b/>
          <w:sz w:val="28"/>
          <w:szCs w:val="28"/>
        </w:rPr>
      </w:pPr>
    </w:p>
    <w:tbl>
      <w:tblPr>
        <w:tblStyle w:val="TableGrid"/>
        <w:tblW w:w="0" w:type="auto"/>
        <w:tblInd w:w="360" w:type="dxa"/>
        <w:tblLook w:val="04A0" w:firstRow="1" w:lastRow="0" w:firstColumn="1" w:lastColumn="0" w:noHBand="0" w:noVBand="1"/>
      </w:tblPr>
      <w:tblGrid>
        <w:gridCol w:w="4233"/>
        <w:gridCol w:w="4263"/>
      </w:tblGrid>
      <w:tr w:rsidR="00953F66" w:rsidTr="00E57FF7">
        <w:tc>
          <w:tcPr>
            <w:tcW w:w="4428" w:type="dxa"/>
            <w:shd w:val="clear" w:color="auto" w:fill="D9D9D9" w:themeFill="background1" w:themeFillShade="D9"/>
          </w:tcPr>
          <w:p w:rsidR="00953F66" w:rsidRPr="00953F66" w:rsidRDefault="00953F66" w:rsidP="00953F66">
            <w:pPr>
              <w:pStyle w:val="ListParagraph"/>
              <w:ind w:left="0"/>
              <w:jc w:val="center"/>
              <w:rPr>
                <w:rFonts w:ascii="Arial" w:hAnsi="Arial"/>
                <w:b/>
                <w:sz w:val="22"/>
                <w:szCs w:val="22"/>
              </w:rPr>
            </w:pPr>
            <w:r w:rsidRPr="00953F66">
              <w:rPr>
                <w:rFonts w:ascii="Arial" w:hAnsi="Arial"/>
                <w:b/>
                <w:sz w:val="22"/>
                <w:szCs w:val="22"/>
              </w:rPr>
              <w:t>Revision Date</w:t>
            </w:r>
          </w:p>
        </w:tc>
        <w:tc>
          <w:tcPr>
            <w:tcW w:w="4428" w:type="dxa"/>
            <w:shd w:val="clear" w:color="auto" w:fill="D9D9D9" w:themeFill="background1" w:themeFillShade="D9"/>
          </w:tcPr>
          <w:p w:rsidR="00953F66" w:rsidRPr="00953F66" w:rsidRDefault="00953F66" w:rsidP="00953F66">
            <w:pPr>
              <w:pStyle w:val="ListParagraph"/>
              <w:ind w:left="0"/>
              <w:jc w:val="center"/>
              <w:rPr>
                <w:rFonts w:ascii="Arial" w:hAnsi="Arial"/>
                <w:b/>
                <w:sz w:val="22"/>
                <w:szCs w:val="22"/>
              </w:rPr>
            </w:pPr>
            <w:r w:rsidRPr="00953F66">
              <w:rPr>
                <w:rFonts w:ascii="Arial" w:hAnsi="Arial"/>
                <w:b/>
                <w:sz w:val="22"/>
                <w:szCs w:val="22"/>
              </w:rPr>
              <w:t>Summary of Revision</w:t>
            </w:r>
          </w:p>
        </w:tc>
      </w:tr>
      <w:tr w:rsidR="00953F66" w:rsidTr="00953F66">
        <w:tc>
          <w:tcPr>
            <w:tcW w:w="4428" w:type="dxa"/>
          </w:tcPr>
          <w:p w:rsidR="00953F66" w:rsidRDefault="00953F66" w:rsidP="00953F66">
            <w:pPr>
              <w:pStyle w:val="ListParagraph"/>
              <w:ind w:left="0"/>
              <w:rPr>
                <w:rFonts w:ascii="Arial" w:hAnsi="Arial"/>
                <w:sz w:val="22"/>
                <w:szCs w:val="22"/>
              </w:rPr>
            </w:pPr>
            <w:r>
              <w:rPr>
                <w:rFonts w:ascii="Arial" w:hAnsi="Arial"/>
                <w:sz w:val="22"/>
                <w:szCs w:val="22"/>
              </w:rPr>
              <w:t>January 31, 2014</w:t>
            </w:r>
          </w:p>
        </w:tc>
        <w:tc>
          <w:tcPr>
            <w:tcW w:w="4428" w:type="dxa"/>
          </w:tcPr>
          <w:p w:rsidR="00953F66" w:rsidRDefault="00953F66" w:rsidP="00953F66">
            <w:pPr>
              <w:pStyle w:val="ListParagraph"/>
              <w:numPr>
                <w:ilvl w:val="0"/>
                <w:numId w:val="8"/>
              </w:numPr>
              <w:rPr>
                <w:rFonts w:ascii="Arial" w:hAnsi="Arial"/>
                <w:sz w:val="22"/>
                <w:szCs w:val="22"/>
              </w:rPr>
            </w:pPr>
            <w:r>
              <w:rPr>
                <w:rFonts w:ascii="Arial" w:hAnsi="Arial"/>
                <w:sz w:val="22"/>
                <w:szCs w:val="22"/>
              </w:rPr>
              <w:t>Revised name of manual</w:t>
            </w:r>
          </w:p>
          <w:p w:rsidR="00953F66" w:rsidRDefault="00953F66" w:rsidP="00953F66">
            <w:pPr>
              <w:pStyle w:val="ListParagraph"/>
              <w:numPr>
                <w:ilvl w:val="0"/>
                <w:numId w:val="8"/>
              </w:numPr>
              <w:rPr>
                <w:rFonts w:ascii="Arial" w:hAnsi="Arial"/>
                <w:sz w:val="22"/>
                <w:szCs w:val="22"/>
              </w:rPr>
            </w:pPr>
            <w:r>
              <w:rPr>
                <w:rFonts w:ascii="Arial" w:hAnsi="Arial"/>
                <w:sz w:val="22"/>
                <w:szCs w:val="22"/>
              </w:rPr>
              <w:t>Changed document number from PA 005 to RT 002</w:t>
            </w:r>
          </w:p>
          <w:p w:rsidR="00953F66" w:rsidRDefault="00953F66" w:rsidP="00953F66">
            <w:pPr>
              <w:pStyle w:val="ListParagraph"/>
              <w:numPr>
                <w:ilvl w:val="0"/>
                <w:numId w:val="8"/>
              </w:numPr>
              <w:rPr>
                <w:rFonts w:ascii="Arial" w:hAnsi="Arial"/>
                <w:sz w:val="22"/>
                <w:szCs w:val="22"/>
              </w:rPr>
            </w:pPr>
            <w:r>
              <w:rPr>
                <w:rFonts w:ascii="Arial" w:hAnsi="Arial"/>
                <w:sz w:val="22"/>
                <w:szCs w:val="22"/>
              </w:rPr>
              <w:t>Removed section 6.1.1 to 6.1.3 regarding steps to take if the instructions are not available</w:t>
            </w:r>
          </w:p>
          <w:p w:rsidR="00953F66" w:rsidRPr="00953F66" w:rsidRDefault="00953F66" w:rsidP="00953F66">
            <w:pPr>
              <w:pStyle w:val="ListParagraph"/>
              <w:numPr>
                <w:ilvl w:val="0"/>
                <w:numId w:val="8"/>
              </w:numPr>
              <w:rPr>
                <w:rFonts w:ascii="Arial" w:hAnsi="Arial"/>
                <w:sz w:val="22"/>
                <w:szCs w:val="22"/>
              </w:rPr>
            </w:pPr>
            <w:r>
              <w:rPr>
                <w:rFonts w:ascii="Arial" w:hAnsi="Arial"/>
                <w:sz w:val="22"/>
                <w:szCs w:val="22"/>
              </w:rPr>
              <w:t>Renumbered sections 6.2 and 8.0</w:t>
            </w:r>
          </w:p>
        </w:tc>
      </w:tr>
    </w:tbl>
    <w:p w:rsidR="00953F66" w:rsidRPr="0093537F" w:rsidRDefault="00953F66" w:rsidP="00953F66">
      <w:pPr>
        <w:pStyle w:val="ListParagraph"/>
        <w:ind w:left="360"/>
        <w:rPr>
          <w:rFonts w:ascii="Arial" w:hAnsi="Arial"/>
          <w:sz w:val="22"/>
          <w:szCs w:val="22"/>
        </w:rPr>
      </w:pPr>
    </w:p>
    <w:p w:rsidR="0055302B" w:rsidRDefault="0055302B">
      <w:pPr>
        <w:rPr>
          <w:rFonts w:ascii="Arial" w:hAnsi="Arial"/>
          <w:sz w:val="24"/>
        </w:rPr>
      </w:pPr>
    </w:p>
    <w:p w:rsidR="0055302B" w:rsidRDefault="0055302B">
      <w:pPr>
        <w:ind w:left="720"/>
        <w:rPr>
          <w:rFonts w:ascii="Arial" w:hAnsi="Arial"/>
          <w:sz w:val="24"/>
        </w:rPr>
      </w:pPr>
    </w:p>
    <w:p w:rsidR="0055302B" w:rsidRDefault="0055302B">
      <w:pPr>
        <w:pStyle w:val="Header"/>
        <w:tabs>
          <w:tab w:val="clear" w:pos="4320"/>
          <w:tab w:val="clear" w:pos="8640"/>
        </w:tabs>
      </w:pPr>
    </w:p>
    <w:sectPr w:rsidR="0055302B" w:rsidSect="0055302B">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1B9" w:rsidRDefault="00E811B9">
      <w:r>
        <w:separator/>
      </w:r>
    </w:p>
  </w:endnote>
  <w:endnote w:type="continuationSeparator" w:id="0">
    <w:p w:rsidR="00E811B9" w:rsidRDefault="00E8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5302B">
      <w:trPr>
        <w:trHeight w:val="720"/>
      </w:trPr>
      <w:tc>
        <w:tcPr>
          <w:tcW w:w="1368" w:type="dxa"/>
          <w:tcBorders>
            <w:top w:val="single" w:sz="4" w:space="0" w:color="auto"/>
          </w:tcBorders>
        </w:tcPr>
        <w:p w:rsidR="0055302B" w:rsidRDefault="0055302B">
          <w:pPr>
            <w:pStyle w:val="Footer"/>
            <w:jc w:val="center"/>
            <w:rPr>
              <w:sz w:val="8"/>
            </w:rPr>
          </w:pPr>
        </w:p>
        <w:p w:rsidR="0055302B" w:rsidRDefault="00F65EEF">
          <w:pPr>
            <w:pStyle w:val="Footer"/>
            <w:jc w:val="center"/>
            <w:rPr>
              <w:rFonts w:ascii="Verdana" w:hAnsi="Verdana"/>
              <w:sz w:val="8"/>
            </w:rPr>
          </w:pPr>
          <w:r>
            <w:rPr>
              <w:rFonts w:ascii="Verdana" w:hAnsi="Verdana"/>
              <w:noProof/>
              <w:sz w:val="8"/>
            </w:rPr>
            <w:drawing>
              <wp:inline distT="0" distB="0" distL="0" distR="0">
                <wp:extent cx="731520" cy="25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259080"/>
                        </a:xfrm>
                        <a:prstGeom prst="rect">
                          <a:avLst/>
                        </a:prstGeom>
                      </pic:spPr>
                    </pic:pic>
                  </a:graphicData>
                </a:graphic>
              </wp:inline>
            </w:drawing>
          </w:r>
        </w:p>
      </w:tc>
      <w:tc>
        <w:tcPr>
          <w:tcW w:w="5976" w:type="dxa"/>
          <w:tcBorders>
            <w:top w:val="single" w:sz="4" w:space="0" w:color="auto"/>
          </w:tcBorders>
        </w:tcPr>
        <w:p w:rsidR="0055302B" w:rsidRDefault="0055302B">
          <w:pPr>
            <w:pStyle w:val="Footer"/>
            <w:jc w:val="center"/>
            <w:rPr>
              <w:rFonts w:ascii="Arial" w:hAnsi="Arial"/>
              <w:sz w:val="18"/>
            </w:rPr>
          </w:pPr>
        </w:p>
        <w:p w:rsidR="0055302B" w:rsidRDefault="0055302B">
          <w:pPr>
            <w:pStyle w:val="Footer"/>
            <w:jc w:val="center"/>
            <w:rPr>
              <w:rFonts w:ascii="Arial" w:hAnsi="Arial"/>
              <w:sz w:val="18"/>
            </w:rPr>
          </w:pPr>
          <w:r>
            <w:rPr>
              <w:rFonts w:ascii="Arial" w:hAnsi="Arial"/>
              <w:sz w:val="18"/>
            </w:rPr>
            <w:t>Ontario Regional Blood Coordinating Network</w:t>
          </w:r>
        </w:p>
        <w:p w:rsidR="0055302B" w:rsidRDefault="004A1C47">
          <w:pPr>
            <w:pStyle w:val="Footer"/>
            <w:jc w:val="center"/>
            <w:rPr>
              <w:rFonts w:ascii="Arial" w:hAnsi="Arial"/>
              <w:sz w:val="18"/>
            </w:rPr>
          </w:pPr>
          <w:r>
            <w:rPr>
              <w:rFonts w:ascii="Arial" w:hAnsi="Arial"/>
              <w:sz w:val="18"/>
            </w:rPr>
            <w:t>Transfusion Technical Resource Manual</w:t>
          </w:r>
        </w:p>
        <w:p w:rsidR="0055302B" w:rsidRDefault="0055302B">
          <w:pPr>
            <w:pStyle w:val="Footer"/>
            <w:jc w:val="center"/>
            <w:rPr>
              <w:rFonts w:ascii="Arial" w:hAnsi="Arial"/>
              <w:sz w:val="18"/>
            </w:rPr>
          </w:pPr>
        </w:p>
      </w:tc>
      <w:tc>
        <w:tcPr>
          <w:tcW w:w="1494" w:type="dxa"/>
          <w:tcBorders>
            <w:top w:val="single" w:sz="4" w:space="0" w:color="auto"/>
          </w:tcBorders>
        </w:tcPr>
        <w:p w:rsidR="0055302B" w:rsidRDefault="0055302B">
          <w:pPr>
            <w:pStyle w:val="Footer"/>
            <w:jc w:val="right"/>
            <w:rPr>
              <w:rFonts w:ascii="Arial" w:hAnsi="Arial"/>
              <w:sz w:val="18"/>
            </w:rPr>
          </w:pPr>
        </w:p>
        <w:p w:rsidR="0055302B" w:rsidRDefault="004A1C47">
          <w:pPr>
            <w:pStyle w:val="Footer"/>
            <w:jc w:val="right"/>
            <w:rPr>
              <w:rFonts w:ascii="Arial" w:hAnsi="Arial"/>
              <w:sz w:val="18"/>
            </w:rPr>
          </w:pPr>
          <w:r>
            <w:rPr>
              <w:rFonts w:ascii="Arial" w:hAnsi="Arial"/>
              <w:sz w:val="18"/>
            </w:rPr>
            <w:t>RT.00</w:t>
          </w:r>
          <w:r w:rsidR="006907E7">
            <w:rPr>
              <w:rFonts w:ascii="Arial" w:hAnsi="Arial"/>
              <w:sz w:val="18"/>
            </w:rPr>
            <w:t>2</w:t>
          </w:r>
          <w:r w:rsidR="0055302B">
            <w:rPr>
              <w:rFonts w:ascii="Arial" w:hAnsi="Arial"/>
              <w:sz w:val="18"/>
            </w:rPr>
            <w:br/>
          </w:r>
        </w:p>
        <w:p w:rsidR="0055302B" w:rsidRDefault="0055302B">
          <w:pPr>
            <w:pStyle w:val="Footer"/>
            <w:jc w:val="right"/>
            <w:rPr>
              <w:rFonts w:ascii="Arial" w:hAnsi="Arial"/>
              <w:sz w:val="18"/>
            </w:rPr>
          </w:pPr>
          <w:r>
            <w:rPr>
              <w:rFonts w:ascii="Arial" w:hAnsi="Arial"/>
              <w:snapToGrid w:val="0"/>
              <w:sz w:val="18"/>
            </w:rPr>
            <w:t xml:space="preserve">Page </w:t>
          </w:r>
          <w:r w:rsidR="00DD4A75">
            <w:rPr>
              <w:rFonts w:ascii="Arial" w:hAnsi="Arial"/>
              <w:snapToGrid w:val="0"/>
              <w:sz w:val="18"/>
            </w:rPr>
            <w:fldChar w:fldCharType="begin"/>
          </w:r>
          <w:r>
            <w:rPr>
              <w:rFonts w:ascii="Arial" w:hAnsi="Arial"/>
              <w:snapToGrid w:val="0"/>
              <w:sz w:val="18"/>
            </w:rPr>
            <w:instrText xml:space="preserve"> PAGE </w:instrText>
          </w:r>
          <w:r w:rsidR="00DD4A75">
            <w:rPr>
              <w:rFonts w:ascii="Arial" w:hAnsi="Arial"/>
              <w:snapToGrid w:val="0"/>
              <w:sz w:val="18"/>
            </w:rPr>
            <w:fldChar w:fldCharType="separate"/>
          </w:r>
          <w:r w:rsidR="00E05B00">
            <w:rPr>
              <w:rFonts w:ascii="Arial" w:hAnsi="Arial"/>
              <w:noProof/>
              <w:snapToGrid w:val="0"/>
              <w:sz w:val="18"/>
            </w:rPr>
            <w:t>4</w:t>
          </w:r>
          <w:r w:rsidR="00DD4A75">
            <w:rPr>
              <w:rFonts w:ascii="Arial" w:hAnsi="Arial"/>
              <w:snapToGrid w:val="0"/>
              <w:sz w:val="18"/>
            </w:rPr>
            <w:fldChar w:fldCharType="end"/>
          </w:r>
          <w:r>
            <w:rPr>
              <w:rFonts w:ascii="Arial" w:hAnsi="Arial"/>
              <w:snapToGrid w:val="0"/>
              <w:sz w:val="18"/>
            </w:rPr>
            <w:t xml:space="preserve"> of </w:t>
          </w:r>
          <w:r w:rsidR="00DD4A75">
            <w:rPr>
              <w:rFonts w:ascii="Arial" w:hAnsi="Arial"/>
              <w:snapToGrid w:val="0"/>
              <w:sz w:val="18"/>
            </w:rPr>
            <w:fldChar w:fldCharType="begin"/>
          </w:r>
          <w:r>
            <w:rPr>
              <w:rFonts w:ascii="Arial" w:hAnsi="Arial"/>
              <w:snapToGrid w:val="0"/>
              <w:sz w:val="18"/>
            </w:rPr>
            <w:instrText xml:space="preserve"> NUMPAGES </w:instrText>
          </w:r>
          <w:r w:rsidR="00DD4A75">
            <w:rPr>
              <w:rFonts w:ascii="Arial" w:hAnsi="Arial"/>
              <w:snapToGrid w:val="0"/>
              <w:sz w:val="18"/>
            </w:rPr>
            <w:fldChar w:fldCharType="separate"/>
          </w:r>
          <w:r w:rsidR="00E05B00">
            <w:rPr>
              <w:rFonts w:ascii="Arial" w:hAnsi="Arial"/>
              <w:noProof/>
              <w:snapToGrid w:val="0"/>
              <w:sz w:val="18"/>
            </w:rPr>
            <w:t>4</w:t>
          </w:r>
          <w:r w:rsidR="00DD4A75">
            <w:rPr>
              <w:rFonts w:ascii="Arial" w:hAnsi="Arial"/>
              <w:snapToGrid w:val="0"/>
              <w:sz w:val="18"/>
            </w:rPr>
            <w:fldChar w:fldCharType="end"/>
          </w:r>
        </w:p>
      </w:tc>
    </w:tr>
  </w:tbl>
  <w:p w:rsidR="0055302B" w:rsidRDefault="00553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5302B">
      <w:trPr>
        <w:trHeight w:val="720"/>
      </w:trPr>
      <w:tc>
        <w:tcPr>
          <w:tcW w:w="1368" w:type="dxa"/>
          <w:tcBorders>
            <w:top w:val="single" w:sz="4" w:space="0" w:color="auto"/>
          </w:tcBorders>
        </w:tcPr>
        <w:p w:rsidR="0055302B" w:rsidRDefault="0055302B">
          <w:pPr>
            <w:pStyle w:val="Footer"/>
            <w:jc w:val="center"/>
            <w:rPr>
              <w:rFonts w:ascii="Verdana" w:hAnsi="Verdana"/>
              <w:sz w:val="8"/>
            </w:rPr>
          </w:pPr>
        </w:p>
        <w:p w:rsidR="0055302B" w:rsidRDefault="00F65EEF">
          <w:pPr>
            <w:pStyle w:val="Footer"/>
            <w:jc w:val="center"/>
            <w:rPr>
              <w:rFonts w:ascii="Verdana" w:hAnsi="Verdana"/>
              <w:sz w:val="8"/>
            </w:rPr>
          </w:pPr>
          <w:r>
            <w:rPr>
              <w:rFonts w:ascii="Verdana" w:hAnsi="Verdana"/>
              <w:noProof/>
              <w:sz w:val="8"/>
            </w:rPr>
            <w:drawing>
              <wp:inline distT="0" distB="0" distL="0" distR="0">
                <wp:extent cx="731520" cy="259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259080"/>
                        </a:xfrm>
                        <a:prstGeom prst="rect">
                          <a:avLst/>
                        </a:prstGeom>
                      </pic:spPr>
                    </pic:pic>
                  </a:graphicData>
                </a:graphic>
              </wp:inline>
            </w:drawing>
          </w:r>
        </w:p>
      </w:tc>
      <w:tc>
        <w:tcPr>
          <w:tcW w:w="5976" w:type="dxa"/>
          <w:tcBorders>
            <w:top w:val="single" w:sz="4" w:space="0" w:color="auto"/>
          </w:tcBorders>
        </w:tcPr>
        <w:p w:rsidR="0055302B" w:rsidRDefault="0055302B">
          <w:pPr>
            <w:pStyle w:val="Footer"/>
            <w:jc w:val="center"/>
            <w:rPr>
              <w:rFonts w:ascii="Arial" w:hAnsi="Arial"/>
              <w:sz w:val="18"/>
            </w:rPr>
          </w:pPr>
        </w:p>
        <w:p w:rsidR="0055302B" w:rsidRDefault="0055302B">
          <w:pPr>
            <w:pStyle w:val="Footer"/>
            <w:jc w:val="center"/>
            <w:rPr>
              <w:rFonts w:ascii="Arial" w:hAnsi="Arial"/>
              <w:sz w:val="18"/>
            </w:rPr>
          </w:pPr>
          <w:r>
            <w:rPr>
              <w:rFonts w:ascii="Arial" w:hAnsi="Arial"/>
              <w:sz w:val="18"/>
            </w:rPr>
            <w:t>Ontario Regional Blood Coordinating Network</w:t>
          </w:r>
        </w:p>
        <w:p w:rsidR="0055302B" w:rsidRDefault="004A1C47">
          <w:pPr>
            <w:pStyle w:val="Footer"/>
            <w:jc w:val="center"/>
            <w:rPr>
              <w:rFonts w:ascii="Arial" w:hAnsi="Arial"/>
              <w:sz w:val="18"/>
            </w:rPr>
          </w:pPr>
          <w:r>
            <w:rPr>
              <w:rFonts w:ascii="Arial" w:hAnsi="Arial"/>
              <w:sz w:val="18"/>
            </w:rPr>
            <w:t>Transfusion Technical Resource Manual</w:t>
          </w:r>
        </w:p>
        <w:p w:rsidR="0055302B" w:rsidRDefault="0055302B">
          <w:pPr>
            <w:pStyle w:val="Footer"/>
            <w:jc w:val="center"/>
            <w:rPr>
              <w:rFonts w:ascii="Arial" w:hAnsi="Arial"/>
              <w:sz w:val="18"/>
            </w:rPr>
          </w:pPr>
        </w:p>
      </w:tc>
      <w:tc>
        <w:tcPr>
          <w:tcW w:w="1494" w:type="dxa"/>
          <w:tcBorders>
            <w:top w:val="single" w:sz="4" w:space="0" w:color="auto"/>
          </w:tcBorders>
        </w:tcPr>
        <w:p w:rsidR="0055302B" w:rsidRDefault="0055302B">
          <w:pPr>
            <w:pStyle w:val="Footer"/>
            <w:jc w:val="right"/>
            <w:rPr>
              <w:rFonts w:ascii="Arial" w:hAnsi="Arial"/>
              <w:sz w:val="18"/>
            </w:rPr>
          </w:pPr>
        </w:p>
        <w:p w:rsidR="0055302B" w:rsidRDefault="006907E7">
          <w:pPr>
            <w:pStyle w:val="Footer"/>
            <w:jc w:val="right"/>
            <w:rPr>
              <w:rFonts w:ascii="Arial" w:hAnsi="Arial"/>
              <w:sz w:val="18"/>
            </w:rPr>
          </w:pPr>
          <w:r>
            <w:rPr>
              <w:rFonts w:ascii="Arial" w:hAnsi="Arial"/>
              <w:sz w:val="18"/>
            </w:rPr>
            <w:t>RT.002</w:t>
          </w:r>
          <w:r w:rsidR="0055302B">
            <w:rPr>
              <w:rFonts w:ascii="Arial" w:hAnsi="Arial"/>
              <w:sz w:val="18"/>
            </w:rPr>
            <w:br/>
          </w:r>
        </w:p>
        <w:p w:rsidR="0055302B" w:rsidRDefault="0055302B">
          <w:pPr>
            <w:pStyle w:val="Footer"/>
            <w:jc w:val="right"/>
            <w:rPr>
              <w:rFonts w:ascii="Arial" w:hAnsi="Arial"/>
              <w:sz w:val="18"/>
            </w:rPr>
          </w:pPr>
          <w:r>
            <w:rPr>
              <w:rFonts w:ascii="Arial" w:hAnsi="Arial"/>
              <w:snapToGrid w:val="0"/>
              <w:sz w:val="18"/>
            </w:rPr>
            <w:t xml:space="preserve">Page </w:t>
          </w:r>
          <w:r w:rsidR="00DD4A75">
            <w:rPr>
              <w:rFonts w:ascii="Arial" w:hAnsi="Arial"/>
              <w:snapToGrid w:val="0"/>
              <w:sz w:val="18"/>
            </w:rPr>
            <w:fldChar w:fldCharType="begin"/>
          </w:r>
          <w:r>
            <w:rPr>
              <w:rFonts w:ascii="Arial" w:hAnsi="Arial"/>
              <w:snapToGrid w:val="0"/>
              <w:sz w:val="18"/>
            </w:rPr>
            <w:instrText xml:space="preserve"> PAGE </w:instrText>
          </w:r>
          <w:r w:rsidR="00DD4A75">
            <w:rPr>
              <w:rFonts w:ascii="Arial" w:hAnsi="Arial"/>
              <w:snapToGrid w:val="0"/>
              <w:sz w:val="18"/>
            </w:rPr>
            <w:fldChar w:fldCharType="separate"/>
          </w:r>
          <w:r w:rsidR="00E05B00">
            <w:rPr>
              <w:rFonts w:ascii="Arial" w:hAnsi="Arial"/>
              <w:noProof/>
              <w:snapToGrid w:val="0"/>
              <w:sz w:val="18"/>
            </w:rPr>
            <w:t>1</w:t>
          </w:r>
          <w:r w:rsidR="00DD4A75">
            <w:rPr>
              <w:rFonts w:ascii="Arial" w:hAnsi="Arial"/>
              <w:snapToGrid w:val="0"/>
              <w:sz w:val="18"/>
            </w:rPr>
            <w:fldChar w:fldCharType="end"/>
          </w:r>
          <w:r>
            <w:rPr>
              <w:rFonts w:ascii="Arial" w:hAnsi="Arial"/>
              <w:snapToGrid w:val="0"/>
              <w:sz w:val="18"/>
            </w:rPr>
            <w:t xml:space="preserve"> of </w:t>
          </w:r>
          <w:r w:rsidR="00DD4A75">
            <w:rPr>
              <w:rFonts w:ascii="Arial" w:hAnsi="Arial"/>
              <w:snapToGrid w:val="0"/>
              <w:sz w:val="18"/>
            </w:rPr>
            <w:fldChar w:fldCharType="begin"/>
          </w:r>
          <w:r>
            <w:rPr>
              <w:rFonts w:ascii="Arial" w:hAnsi="Arial"/>
              <w:snapToGrid w:val="0"/>
              <w:sz w:val="18"/>
            </w:rPr>
            <w:instrText xml:space="preserve"> NUMPAGES </w:instrText>
          </w:r>
          <w:r w:rsidR="00DD4A75">
            <w:rPr>
              <w:rFonts w:ascii="Arial" w:hAnsi="Arial"/>
              <w:snapToGrid w:val="0"/>
              <w:sz w:val="18"/>
            </w:rPr>
            <w:fldChar w:fldCharType="separate"/>
          </w:r>
          <w:r w:rsidR="00E05B00">
            <w:rPr>
              <w:rFonts w:ascii="Arial" w:hAnsi="Arial"/>
              <w:noProof/>
              <w:snapToGrid w:val="0"/>
              <w:sz w:val="18"/>
            </w:rPr>
            <w:t>3</w:t>
          </w:r>
          <w:r w:rsidR="00DD4A75">
            <w:rPr>
              <w:rFonts w:ascii="Arial" w:hAnsi="Arial"/>
              <w:snapToGrid w:val="0"/>
              <w:sz w:val="18"/>
            </w:rPr>
            <w:fldChar w:fldCharType="end"/>
          </w:r>
        </w:p>
      </w:tc>
    </w:tr>
  </w:tbl>
  <w:p w:rsidR="0055302B" w:rsidRDefault="0055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1B9" w:rsidRDefault="00E811B9">
      <w:r>
        <w:separator/>
      </w:r>
    </w:p>
  </w:footnote>
  <w:footnote w:type="continuationSeparator" w:id="0">
    <w:p w:rsidR="00E811B9" w:rsidRDefault="00E8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02B" w:rsidRDefault="0055302B">
    <w:pPr>
      <w:pStyle w:val="Header"/>
      <w:jc w:val="center"/>
      <w:rPr>
        <w:rFonts w:ascii="Arial" w:hAnsi="Arial"/>
        <w:b/>
        <w:sz w:val="28"/>
      </w:rPr>
    </w:pPr>
    <w:r>
      <w:rPr>
        <w:rFonts w:ascii="Arial" w:hAnsi="Arial"/>
        <w:b/>
        <w:sz w:val="28"/>
      </w:rPr>
      <w:t>Cell Washing Automated and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02B" w:rsidRDefault="0093537F">
    <w:pPr>
      <w:pStyle w:val="Header"/>
      <w:tabs>
        <w:tab w:val="clear" w:pos="8640"/>
        <w:tab w:val="left" w:pos="4783"/>
      </w:tabs>
    </w:pPr>
    <w:r>
      <w:rPr>
        <w:noProof/>
      </w:rPr>
      <w:drawing>
        <wp:inline distT="0" distB="0" distL="0" distR="0">
          <wp:extent cx="1305240" cy="52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JPG"/>
                  <pic:cNvPicPr/>
                </pic:nvPicPr>
                <pic:blipFill>
                  <a:blip r:embed="rId1">
                    <a:extLst>
                      <a:ext uri="{28A0092B-C50C-407E-A947-70E740481C1C}">
                        <a14:useLocalDpi xmlns:a14="http://schemas.microsoft.com/office/drawing/2010/main" val="0"/>
                      </a:ext>
                    </a:extLst>
                  </a:blip>
                  <a:stretch>
                    <a:fillRect/>
                  </a:stretch>
                </pic:blipFill>
                <pic:spPr>
                  <a:xfrm>
                    <a:off x="0" y="0"/>
                    <a:ext cx="1305240" cy="525600"/>
                  </a:xfrm>
                  <a:prstGeom prst="rect">
                    <a:avLst/>
                  </a:prstGeom>
                </pic:spPr>
              </pic:pic>
            </a:graphicData>
          </a:graphic>
        </wp:inline>
      </w:drawing>
    </w:r>
  </w:p>
  <w:p w:rsidR="0055302B" w:rsidRDefault="0055302B">
    <w:pPr>
      <w:pStyle w:val="Header"/>
      <w:tabs>
        <w:tab w:val="clear" w:pos="8640"/>
        <w:tab w:val="left" w:pos="4783"/>
      </w:tabs>
      <w:rPr>
        <w:rFonts w:ascii="Arial" w:hAnsi="Arial" w:cs="Arial"/>
        <w:b/>
        <w:bCs/>
        <w:sz w:val="22"/>
      </w:rPr>
    </w:pPr>
  </w:p>
  <w:p w:rsidR="0055302B" w:rsidRDefault="0093537F">
    <w:pPr>
      <w:pStyle w:val="Header"/>
      <w:jc w:val="center"/>
      <w:rPr>
        <w:rFonts w:ascii="Arial" w:hAnsi="Arial" w:cs="Arial"/>
        <w:b/>
        <w:bCs/>
        <w:sz w:val="22"/>
      </w:rPr>
    </w:pPr>
    <w:r>
      <w:rPr>
        <w:rFonts w:ascii="Arial" w:hAnsi="Arial" w:cs="Arial"/>
        <w:b/>
        <w:bCs/>
        <w:sz w:val="22"/>
      </w:rPr>
      <w:t>Ontario Regional Blood Coordinating Office</w:t>
    </w:r>
  </w:p>
  <w:p w:rsidR="0093537F" w:rsidRDefault="0093537F">
    <w:pPr>
      <w:pStyle w:val="Header"/>
      <w:jc w:val="center"/>
      <w:rPr>
        <w:rFonts w:ascii="Arial" w:hAnsi="Arial" w:cs="Arial"/>
        <w:b/>
        <w:bCs/>
        <w:sz w:val="22"/>
      </w:rPr>
    </w:pPr>
    <w:r>
      <w:rPr>
        <w:rFonts w:ascii="Arial" w:hAnsi="Arial" w:cs="Arial"/>
        <w:b/>
        <w:bCs/>
        <w:sz w:val="22"/>
      </w:rPr>
      <w:t xml:space="preserve">Transfusion Technical Resource Manual </w:t>
    </w:r>
  </w:p>
  <w:p w:rsidR="0055302B" w:rsidRDefault="0055302B">
    <w:pPr>
      <w:pStyle w:val="Header"/>
      <w:jc w:val="center"/>
      <w:rPr>
        <w:rFonts w:ascii="Arial" w:hAnsi="Arial" w:cs="Arial"/>
        <w:b/>
        <w:bCs/>
        <w:sz w:val="22"/>
      </w:rPr>
    </w:pPr>
  </w:p>
  <w:p w:rsidR="0055302B" w:rsidRDefault="0055302B">
    <w:pPr>
      <w:pStyle w:val="Header"/>
      <w:jc w:val="center"/>
      <w:rPr>
        <w:rFonts w:ascii="Arial" w:hAnsi="Arial"/>
        <w:b/>
        <w:sz w:val="28"/>
      </w:rPr>
    </w:pPr>
    <w:r>
      <w:rPr>
        <w:rFonts w:ascii="Arial" w:hAnsi="Arial"/>
        <w:b/>
        <w:sz w:val="28"/>
      </w:rPr>
      <w:t>Cell Washing Automated and Manual</w:t>
    </w:r>
  </w:p>
  <w:p w:rsidR="0055302B" w:rsidRDefault="0055302B">
    <w:pPr>
      <w:pStyle w:val="Header"/>
      <w:jc w:val="center"/>
      <w:rPr>
        <w:rFonts w:ascii="Arial" w:hAnsi="Arial"/>
        <w:b/>
        <w:sz w:val="24"/>
      </w:rPr>
    </w:pPr>
  </w:p>
  <w:p w:rsidR="0055302B" w:rsidRDefault="0055302B">
    <w:pPr>
      <w:pStyle w:val="Header"/>
      <w:jc w:val="center"/>
      <w:rPr>
        <w:rFonts w:ascii="Arial" w:hAnsi="Arial" w:cs="Arial"/>
        <w:b/>
        <w:bCs/>
      </w:rPr>
    </w:pPr>
    <w:r>
      <w:rPr>
        <w:rFonts w:ascii="Arial" w:hAnsi="Arial" w:cs="Arial"/>
        <w:b/>
        <w:bCs/>
      </w:rPr>
      <w:tab/>
    </w:r>
    <w:r w:rsidR="00E05B00">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45FB2"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w2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TNH1M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"/>
          </w:pict>
        </mc:Fallback>
      </mc:AlternateContent>
    </w:r>
  </w:p>
  <w:tbl>
    <w:tblPr>
      <w:tblW w:w="0" w:type="auto"/>
      <w:tblLook w:val="0000" w:firstRow="0" w:lastRow="0" w:firstColumn="0" w:lastColumn="0" w:noHBand="0" w:noVBand="0"/>
    </w:tblPr>
    <w:tblGrid>
      <w:gridCol w:w="4321"/>
      <w:gridCol w:w="4319"/>
    </w:tblGrid>
    <w:tr w:rsidR="0055302B">
      <w:tc>
        <w:tcPr>
          <w:tcW w:w="4428" w:type="dxa"/>
        </w:tcPr>
        <w:p w:rsidR="0055302B" w:rsidRDefault="0055302B">
          <w:pPr>
            <w:pStyle w:val="Header"/>
            <w:rPr>
              <w:rFonts w:ascii="Arial" w:hAnsi="Arial" w:cs="Arial"/>
            </w:rPr>
          </w:pPr>
          <w:r>
            <w:rPr>
              <w:rFonts w:ascii="Arial" w:hAnsi="Arial" w:cs="Arial"/>
            </w:rPr>
            <w:t xml:space="preserve">Approved By: </w:t>
          </w:r>
        </w:p>
      </w:tc>
      <w:tc>
        <w:tcPr>
          <w:tcW w:w="4428" w:type="dxa"/>
        </w:tcPr>
        <w:p w:rsidR="0055302B" w:rsidRDefault="0055302B">
          <w:pPr>
            <w:pStyle w:val="Header"/>
            <w:rPr>
              <w:rFonts w:ascii="Arial" w:hAnsi="Arial" w:cs="Arial"/>
            </w:rPr>
          </w:pPr>
          <w:r>
            <w:rPr>
              <w:rFonts w:ascii="Arial" w:hAnsi="Arial" w:cs="Arial"/>
            </w:rPr>
            <w:t>Document No:</w:t>
          </w:r>
          <w:r w:rsidR="006907E7">
            <w:rPr>
              <w:rFonts w:ascii="Arial" w:hAnsi="Arial" w:cs="Arial"/>
            </w:rPr>
            <w:t xml:space="preserve"> RT.002</w:t>
          </w:r>
        </w:p>
      </w:tc>
    </w:tr>
    <w:tr w:rsidR="0055302B">
      <w:tc>
        <w:tcPr>
          <w:tcW w:w="4428" w:type="dxa"/>
        </w:tcPr>
        <w:p w:rsidR="0055302B" w:rsidRDefault="0055302B">
          <w:pPr>
            <w:pStyle w:val="Header"/>
            <w:rPr>
              <w:rFonts w:ascii="Arial" w:hAnsi="Arial" w:cs="Arial"/>
            </w:rPr>
          </w:pPr>
          <w:r>
            <w:rPr>
              <w:rFonts w:ascii="Arial" w:hAnsi="Arial" w:cs="Arial"/>
            </w:rPr>
            <w:t>Date Issued:  2004/04/05</w:t>
          </w:r>
        </w:p>
      </w:tc>
      <w:tc>
        <w:tcPr>
          <w:tcW w:w="4428" w:type="dxa"/>
        </w:tcPr>
        <w:p w:rsidR="0055302B" w:rsidRDefault="0055302B">
          <w:pPr>
            <w:pStyle w:val="Header"/>
            <w:rPr>
              <w:rFonts w:ascii="Arial" w:hAnsi="Arial" w:cs="Arial"/>
            </w:rPr>
          </w:pPr>
          <w:r>
            <w:rPr>
              <w:rFonts w:ascii="Arial" w:hAnsi="Arial" w:cs="Arial"/>
            </w:rPr>
            <w:t xml:space="preserve">Category:  </w:t>
          </w:r>
          <w:r w:rsidR="004A1C47">
            <w:rPr>
              <w:rFonts w:ascii="Arial" w:hAnsi="Arial" w:cs="Arial"/>
            </w:rPr>
            <w:t>Routine Testing</w:t>
          </w:r>
        </w:p>
      </w:tc>
    </w:tr>
    <w:tr w:rsidR="0055302B">
      <w:tc>
        <w:tcPr>
          <w:tcW w:w="4428" w:type="dxa"/>
        </w:tcPr>
        <w:p w:rsidR="0055302B" w:rsidRDefault="0055302B" w:rsidP="00F65EEF">
          <w:pPr>
            <w:pStyle w:val="Header"/>
            <w:rPr>
              <w:rFonts w:ascii="Arial" w:hAnsi="Arial" w:cs="Arial"/>
            </w:rPr>
          </w:pPr>
          <w:r>
            <w:rPr>
              <w:rFonts w:ascii="Arial" w:hAnsi="Arial" w:cs="Arial"/>
            </w:rPr>
            <w:t xml:space="preserve">Date Revised:  </w:t>
          </w:r>
          <w:r w:rsidR="004A1C47">
            <w:rPr>
              <w:rFonts w:ascii="Arial" w:hAnsi="Arial" w:cs="Arial"/>
            </w:rPr>
            <w:t>2014/01/31</w:t>
          </w:r>
        </w:p>
      </w:tc>
      <w:tc>
        <w:tcPr>
          <w:tcW w:w="4428" w:type="dxa"/>
        </w:tcPr>
        <w:p w:rsidR="0055302B" w:rsidRDefault="0055302B">
          <w:pPr>
            <w:pStyle w:val="Header"/>
            <w:rPr>
              <w:rFonts w:ascii="Arial" w:hAnsi="Arial" w:cs="Arial"/>
            </w:rPr>
          </w:pPr>
          <w:r>
            <w:rPr>
              <w:rFonts w:ascii="Arial" w:hAnsi="Arial" w:cs="Arial"/>
            </w:rPr>
            <w:t xml:space="preserve">Page </w:t>
          </w:r>
          <w:r w:rsidR="00DD4A75">
            <w:rPr>
              <w:rFonts w:ascii="Arial" w:hAnsi="Arial" w:cs="Arial"/>
            </w:rPr>
            <w:fldChar w:fldCharType="begin"/>
          </w:r>
          <w:r>
            <w:rPr>
              <w:rFonts w:ascii="Arial" w:hAnsi="Arial" w:cs="Arial"/>
            </w:rPr>
            <w:instrText xml:space="preserve"> PAGE </w:instrText>
          </w:r>
          <w:r w:rsidR="00DD4A75">
            <w:rPr>
              <w:rFonts w:ascii="Arial" w:hAnsi="Arial" w:cs="Arial"/>
            </w:rPr>
            <w:fldChar w:fldCharType="separate"/>
          </w:r>
          <w:r w:rsidR="00E05B00">
            <w:rPr>
              <w:rFonts w:ascii="Arial" w:hAnsi="Arial" w:cs="Arial"/>
              <w:noProof/>
            </w:rPr>
            <w:t>1</w:t>
          </w:r>
          <w:r w:rsidR="00DD4A75">
            <w:rPr>
              <w:rFonts w:ascii="Arial" w:hAnsi="Arial" w:cs="Arial"/>
            </w:rPr>
            <w:fldChar w:fldCharType="end"/>
          </w:r>
          <w:r>
            <w:rPr>
              <w:rFonts w:ascii="Arial" w:hAnsi="Arial" w:cs="Arial"/>
            </w:rPr>
            <w:t xml:space="preserve"> of </w:t>
          </w:r>
          <w:r w:rsidR="00DD4A75">
            <w:rPr>
              <w:rFonts w:ascii="Arial" w:hAnsi="Arial" w:cs="Arial"/>
            </w:rPr>
            <w:fldChar w:fldCharType="begin"/>
          </w:r>
          <w:r>
            <w:rPr>
              <w:rFonts w:ascii="Arial" w:hAnsi="Arial" w:cs="Arial"/>
            </w:rPr>
            <w:instrText xml:space="preserve"> NUMPAGES </w:instrText>
          </w:r>
          <w:r w:rsidR="00DD4A75">
            <w:rPr>
              <w:rFonts w:ascii="Arial" w:hAnsi="Arial" w:cs="Arial"/>
            </w:rPr>
            <w:fldChar w:fldCharType="separate"/>
          </w:r>
          <w:r w:rsidR="00E05B00">
            <w:rPr>
              <w:rFonts w:ascii="Arial" w:hAnsi="Arial" w:cs="Arial"/>
              <w:noProof/>
            </w:rPr>
            <w:t>3</w:t>
          </w:r>
          <w:r w:rsidR="00DD4A75">
            <w:rPr>
              <w:rFonts w:ascii="Arial" w:hAnsi="Arial" w:cs="Arial"/>
            </w:rPr>
            <w:fldChar w:fldCharType="end"/>
          </w:r>
        </w:p>
      </w:tc>
    </w:tr>
  </w:tbl>
  <w:p w:rsidR="0055302B" w:rsidRDefault="00E05B00">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4EDC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K30bssR&#10;AgAAKAQAAA4AAAAAAAAAAAAAAAAALgIAAGRycy9lMm9Eb2MueG1sUEsBAi0AFAAGAAgAAAAhAB89&#10;mnTcAAAACAEAAA8AAAAAAAAAAAAAAAAAawQAAGRycy9kb3ducmV2LnhtbFBLBQYAAAAABAAEAPMA&#10;AAB0BQAAAAA=&#10;"/>
          </w:pict>
        </mc:Fallback>
      </mc:AlternateContent>
    </w:r>
    <w:r w:rsidR="0055302B">
      <w:rPr>
        <w:rFonts w:ascii="Arial" w:hAnsi="Arial" w:cs="Arial"/>
      </w:rPr>
      <w:tab/>
    </w:r>
  </w:p>
  <w:p w:rsidR="0055302B" w:rsidRDefault="00553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BC5"/>
    <w:multiLevelType w:val="hybridMultilevel"/>
    <w:tmpl w:val="47EECF9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7775C5E"/>
    <w:multiLevelType w:val="singleLevel"/>
    <w:tmpl w:val="3AC04112"/>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1E1E10DE"/>
    <w:multiLevelType w:val="hybridMultilevel"/>
    <w:tmpl w:val="F64A3CC0"/>
    <w:lvl w:ilvl="0" w:tplc="E6A2738A">
      <w:start w:val="1"/>
      <w:numFmt w:val="decimal"/>
      <w:lvlText w:val="6.3.%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92029C"/>
    <w:multiLevelType w:val="hybridMultilevel"/>
    <w:tmpl w:val="F24C0170"/>
    <w:lvl w:ilvl="0" w:tplc="74A09FE6">
      <w:start w:val="3"/>
      <w:numFmt w:val="decimal"/>
      <w:lvlText w:val="6.1.%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415238"/>
    <w:multiLevelType w:val="multilevel"/>
    <w:tmpl w:val="D590A3BE"/>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360F2E20"/>
    <w:multiLevelType w:val="multilevel"/>
    <w:tmpl w:val="7AF2FFAE"/>
    <w:lvl w:ilvl="0">
      <w:start w:val="1"/>
      <w:numFmt w:val="decimal"/>
      <w:lvlText w:val="%1.0"/>
      <w:lvlJc w:val="left"/>
      <w:pPr>
        <w:tabs>
          <w:tab w:val="num" w:pos="390"/>
        </w:tabs>
        <w:ind w:left="390" w:hanging="390"/>
      </w:pPr>
      <w:rPr>
        <w:rFonts w:cs="Times New Roman" w:hint="default"/>
      </w:rPr>
    </w:lvl>
    <w:lvl w:ilvl="1">
      <w:start w:val="1"/>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371C6A25"/>
    <w:multiLevelType w:val="hybridMultilevel"/>
    <w:tmpl w:val="9670F066"/>
    <w:lvl w:ilvl="0" w:tplc="1C4C0852">
      <w:start w:val="1"/>
      <w:numFmt w:val="decimal"/>
      <w:lvlText w:val="6.1.%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9A51C1"/>
    <w:multiLevelType w:val="multilevel"/>
    <w:tmpl w:val="E0A80D2E"/>
    <w:lvl w:ilvl="0">
      <w:start w:val="1"/>
      <w:numFmt w:val="none"/>
      <w:lvlText w:val="6.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1.3"/>
      <w:lvlJc w:val="left"/>
      <w:pPr>
        <w:tabs>
          <w:tab w:val="num" w:pos="752"/>
        </w:tabs>
        <w:ind w:left="72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44D261ED"/>
    <w:multiLevelType w:val="hybridMultilevel"/>
    <w:tmpl w:val="373682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FD7189"/>
    <w:multiLevelType w:val="multilevel"/>
    <w:tmpl w:val="AC804264"/>
    <w:lvl w:ilvl="0">
      <w:start w:val="8"/>
      <w:numFmt w:val="decimal"/>
      <w:lvlText w:val="%1.0"/>
      <w:lvlJc w:val="left"/>
      <w:pPr>
        <w:ind w:left="360" w:hanging="360"/>
      </w:pPr>
      <w:rPr>
        <w:rFonts w:hint="default"/>
        <w:b/>
        <w:sz w:val="28"/>
        <w:szCs w:val="28"/>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7B949DF"/>
    <w:multiLevelType w:val="hybridMultilevel"/>
    <w:tmpl w:val="4C34F452"/>
    <w:lvl w:ilvl="0" w:tplc="C1348D66">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932771"/>
    <w:multiLevelType w:val="multilevel"/>
    <w:tmpl w:val="96CC8FE6"/>
    <w:lvl w:ilvl="0">
      <w:start w:val="1"/>
      <w:numFmt w:val="none"/>
      <w:lvlText w:val="6.2"/>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1.3"/>
      <w:lvlJc w:val="left"/>
      <w:pPr>
        <w:tabs>
          <w:tab w:val="num" w:pos="752"/>
        </w:tabs>
        <w:ind w:left="72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606D0724"/>
    <w:multiLevelType w:val="multilevel"/>
    <w:tmpl w:val="F5509618"/>
    <w:lvl w:ilvl="0">
      <w:start w:val="7"/>
      <w:numFmt w:val="decimal"/>
      <w:lvlText w:val="%1.0"/>
      <w:lvlJc w:val="left"/>
      <w:pPr>
        <w:ind w:left="360" w:hanging="360"/>
      </w:pPr>
      <w:rPr>
        <w:rFonts w:hint="default"/>
        <w:b/>
        <w:sz w:val="28"/>
        <w:szCs w:val="28"/>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6B66678A"/>
    <w:multiLevelType w:val="multilevel"/>
    <w:tmpl w:val="DC9001FC"/>
    <w:lvl w:ilvl="0">
      <w:start w:val="9"/>
      <w:numFmt w:val="decimal"/>
      <w:lvlText w:val="%1.0"/>
      <w:lvlJc w:val="left"/>
      <w:pPr>
        <w:ind w:left="360" w:hanging="360"/>
      </w:pPr>
      <w:rPr>
        <w:rFonts w:hint="default"/>
        <w:b/>
        <w:sz w:val="28"/>
        <w:szCs w:val="28"/>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6E91114F"/>
    <w:multiLevelType w:val="hybridMultilevel"/>
    <w:tmpl w:val="1EBC81D6"/>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15" w15:restartNumberingAfterBreak="0">
    <w:nsid w:val="74262547"/>
    <w:multiLevelType w:val="hybridMultilevel"/>
    <w:tmpl w:val="D236E750"/>
    <w:lvl w:ilvl="0" w:tplc="E8F49830">
      <w:start w:val="1"/>
      <w:numFmt w:val="decimal"/>
      <w:lvlText w:val="6.2.%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718173F"/>
    <w:multiLevelType w:val="hybridMultilevel"/>
    <w:tmpl w:val="9F868146"/>
    <w:lvl w:ilvl="0" w:tplc="CF4652B0">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9935E7F"/>
    <w:multiLevelType w:val="multilevel"/>
    <w:tmpl w:val="37868620"/>
    <w:lvl w:ilvl="0">
      <w:start w:val="6"/>
      <w:numFmt w:val="none"/>
      <w:lvlText w:val="6.3"/>
      <w:lvlJc w:val="left"/>
      <w:pPr>
        <w:tabs>
          <w:tab w:val="num" w:pos="720"/>
        </w:tabs>
        <w:ind w:left="720" w:hanging="72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6.%2.%3.%4"/>
      <w:lvlJc w:val="left"/>
      <w:pPr>
        <w:ind w:left="2102"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5"/>
  </w:num>
  <w:num w:numId="2">
    <w:abstractNumId w:val="4"/>
  </w:num>
  <w:num w:numId="3">
    <w:abstractNumId w:val="1"/>
  </w:num>
  <w:num w:numId="4">
    <w:abstractNumId w:val="8"/>
  </w:num>
  <w:num w:numId="5">
    <w:abstractNumId w:val="0"/>
  </w:num>
  <w:num w:numId="6">
    <w:abstractNumId w:val="12"/>
  </w:num>
  <w:num w:numId="7">
    <w:abstractNumId w:val="13"/>
  </w:num>
  <w:num w:numId="8">
    <w:abstractNumId w:val="16"/>
  </w:num>
  <w:num w:numId="9">
    <w:abstractNumId w:val="7"/>
  </w:num>
  <w:num w:numId="10">
    <w:abstractNumId w:val="11"/>
  </w:num>
  <w:num w:numId="11">
    <w:abstractNumId w:val="17"/>
  </w:num>
  <w:num w:numId="12">
    <w:abstractNumId w:val="10"/>
  </w:num>
  <w:num w:numId="13">
    <w:abstractNumId w:val="3"/>
  </w:num>
  <w:num w:numId="14">
    <w:abstractNumId w:val="6"/>
  </w:num>
  <w:num w:numId="15">
    <w:abstractNumId w:val="14"/>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62"/>
    <w:rsid w:val="00087E2A"/>
    <w:rsid w:val="000D6262"/>
    <w:rsid w:val="000F7B67"/>
    <w:rsid w:val="001B021C"/>
    <w:rsid w:val="002465E8"/>
    <w:rsid w:val="00260443"/>
    <w:rsid w:val="002E07B2"/>
    <w:rsid w:val="00383CAC"/>
    <w:rsid w:val="004A1C47"/>
    <w:rsid w:val="004F38F2"/>
    <w:rsid w:val="00505873"/>
    <w:rsid w:val="00533780"/>
    <w:rsid w:val="0053507E"/>
    <w:rsid w:val="0055302B"/>
    <w:rsid w:val="0057658C"/>
    <w:rsid w:val="005E1820"/>
    <w:rsid w:val="005F5D1E"/>
    <w:rsid w:val="0060748F"/>
    <w:rsid w:val="006907E7"/>
    <w:rsid w:val="00725ED2"/>
    <w:rsid w:val="007B3970"/>
    <w:rsid w:val="00810E65"/>
    <w:rsid w:val="008A33D9"/>
    <w:rsid w:val="008A6DB6"/>
    <w:rsid w:val="008D2838"/>
    <w:rsid w:val="008E3338"/>
    <w:rsid w:val="008E754C"/>
    <w:rsid w:val="0093537F"/>
    <w:rsid w:val="00953F66"/>
    <w:rsid w:val="009A3E05"/>
    <w:rsid w:val="009B03B1"/>
    <w:rsid w:val="00A152E1"/>
    <w:rsid w:val="00A866BC"/>
    <w:rsid w:val="00BA1AA9"/>
    <w:rsid w:val="00BA1F9A"/>
    <w:rsid w:val="00BE27E7"/>
    <w:rsid w:val="00BE5D1D"/>
    <w:rsid w:val="00C43303"/>
    <w:rsid w:val="00C76D16"/>
    <w:rsid w:val="00D02B9A"/>
    <w:rsid w:val="00D47FF1"/>
    <w:rsid w:val="00DD4A75"/>
    <w:rsid w:val="00E05B00"/>
    <w:rsid w:val="00E57FF7"/>
    <w:rsid w:val="00E811B9"/>
    <w:rsid w:val="00F31ADC"/>
    <w:rsid w:val="00F65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256F31-158C-47F8-AA89-15701A5A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CAC"/>
    <w:rPr>
      <w:lang w:val="en-US" w:eastAsia="en-US"/>
    </w:rPr>
  </w:style>
  <w:style w:type="paragraph" w:styleId="Heading1">
    <w:name w:val="heading 1"/>
    <w:basedOn w:val="Normal"/>
    <w:next w:val="Normal"/>
    <w:link w:val="Heading1Char"/>
    <w:uiPriority w:val="9"/>
    <w:qFormat/>
    <w:rsid w:val="00383CAC"/>
    <w:pPr>
      <w:keepNext/>
      <w:ind w:firstLine="720"/>
      <w:outlineLvl w:val="0"/>
    </w:pPr>
    <w:rPr>
      <w:rFonts w:ascii="Arial" w:hAnsi="Arial"/>
      <w:sz w:val="24"/>
    </w:rPr>
  </w:style>
  <w:style w:type="paragraph" w:styleId="Heading2">
    <w:name w:val="heading 2"/>
    <w:basedOn w:val="Normal"/>
    <w:next w:val="Normal"/>
    <w:link w:val="Heading2Char"/>
    <w:uiPriority w:val="9"/>
    <w:qFormat/>
    <w:rsid w:val="00383CAC"/>
    <w:pPr>
      <w:keepNext/>
      <w:ind w:left="72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34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4B2343"/>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383CAC"/>
    <w:pPr>
      <w:tabs>
        <w:tab w:val="center" w:pos="4320"/>
        <w:tab w:val="right" w:pos="8640"/>
      </w:tabs>
    </w:pPr>
  </w:style>
  <w:style w:type="character" w:customStyle="1" w:styleId="HeaderChar">
    <w:name w:val="Header Char"/>
    <w:basedOn w:val="DefaultParagraphFont"/>
    <w:link w:val="Header"/>
    <w:uiPriority w:val="99"/>
    <w:semiHidden/>
    <w:rsid w:val="004B2343"/>
    <w:rPr>
      <w:lang w:val="en-US" w:eastAsia="en-US"/>
    </w:rPr>
  </w:style>
  <w:style w:type="paragraph" w:styleId="Footer">
    <w:name w:val="footer"/>
    <w:basedOn w:val="Normal"/>
    <w:link w:val="FooterChar"/>
    <w:uiPriority w:val="99"/>
    <w:rsid w:val="00383CAC"/>
    <w:pPr>
      <w:tabs>
        <w:tab w:val="center" w:pos="4320"/>
        <w:tab w:val="right" w:pos="8640"/>
      </w:tabs>
    </w:pPr>
  </w:style>
  <w:style w:type="character" w:customStyle="1" w:styleId="FooterChar">
    <w:name w:val="Footer Char"/>
    <w:basedOn w:val="DefaultParagraphFont"/>
    <w:link w:val="Footer"/>
    <w:uiPriority w:val="99"/>
    <w:semiHidden/>
    <w:rsid w:val="004B2343"/>
    <w:rPr>
      <w:lang w:val="en-US" w:eastAsia="en-US"/>
    </w:rPr>
  </w:style>
  <w:style w:type="paragraph" w:styleId="BodyTextIndent">
    <w:name w:val="Body Text Indent"/>
    <w:basedOn w:val="Normal"/>
    <w:link w:val="BodyTextIndentChar"/>
    <w:uiPriority w:val="99"/>
    <w:rsid w:val="00383CAC"/>
    <w:pPr>
      <w:ind w:left="720"/>
    </w:pPr>
    <w:rPr>
      <w:rFonts w:ascii="Arial" w:hAnsi="Arial"/>
      <w:sz w:val="24"/>
    </w:rPr>
  </w:style>
  <w:style w:type="character" w:customStyle="1" w:styleId="BodyTextIndentChar">
    <w:name w:val="Body Text Indent Char"/>
    <w:basedOn w:val="DefaultParagraphFont"/>
    <w:link w:val="BodyTextIndent"/>
    <w:uiPriority w:val="99"/>
    <w:semiHidden/>
    <w:rsid w:val="004B2343"/>
    <w:rPr>
      <w:lang w:val="en-US" w:eastAsia="en-US"/>
    </w:rPr>
  </w:style>
  <w:style w:type="paragraph" w:styleId="BodyTextIndent2">
    <w:name w:val="Body Text Indent 2"/>
    <w:basedOn w:val="Normal"/>
    <w:link w:val="BodyTextIndent2Char"/>
    <w:uiPriority w:val="99"/>
    <w:rsid w:val="00383CAC"/>
    <w:pPr>
      <w:ind w:left="2160"/>
    </w:pPr>
    <w:rPr>
      <w:rFonts w:ascii="Arial" w:hAnsi="Arial"/>
      <w:sz w:val="24"/>
    </w:rPr>
  </w:style>
  <w:style w:type="character" w:customStyle="1" w:styleId="BodyTextIndent2Char">
    <w:name w:val="Body Text Indent 2 Char"/>
    <w:basedOn w:val="DefaultParagraphFont"/>
    <w:link w:val="BodyTextIndent2"/>
    <w:uiPriority w:val="99"/>
    <w:semiHidden/>
    <w:rsid w:val="004B2343"/>
    <w:rPr>
      <w:lang w:val="en-US" w:eastAsia="en-US"/>
    </w:rPr>
  </w:style>
  <w:style w:type="paragraph" w:styleId="BodyText">
    <w:name w:val="Body Text"/>
    <w:basedOn w:val="Normal"/>
    <w:link w:val="BodyTextChar"/>
    <w:uiPriority w:val="99"/>
    <w:rsid w:val="00383CAC"/>
    <w:rPr>
      <w:rFonts w:ascii="Arial" w:hAnsi="Arial"/>
      <w:b/>
      <w:sz w:val="24"/>
    </w:rPr>
  </w:style>
  <w:style w:type="character" w:customStyle="1" w:styleId="BodyTextChar">
    <w:name w:val="Body Text Char"/>
    <w:basedOn w:val="DefaultParagraphFont"/>
    <w:link w:val="BodyText"/>
    <w:uiPriority w:val="99"/>
    <w:semiHidden/>
    <w:rsid w:val="004B2343"/>
    <w:rPr>
      <w:lang w:val="en-US" w:eastAsia="en-US"/>
    </w:rPr>
  </w:style>
  <w:style w:type="paragraph" w:styleId="BodyTextIndent3">
    <w:name w:val="Body Text Indent 3"/>
    <w:basedOn w:val="Normal"/>
    <w:link w:val="BodyTextIndent3Char"/>
    <w:uiPriority w:val="99"/>
    <w:rsid w:val="00383CAC"/>
    <w:pPr>
      <w:ind w:left="3600"/>
    </w:pPr>
    <w:rPr>
      <w:rFonts w:ascii="Arial" w:hAnsi="Arial"/>
      <w:sz w:val="24"/>
    </w:rPr>
  </w:style>
  <w:style w:type="character" w:customStyle="1" w:styleId="BodyTextIndent3Char">
    <w:name w:val="Body Text Indent 3 Char"/>
    <w:basedOn w:val="DefaultParagraphFont"/>
    <w:link w:val="BodyTextIndent3"/>
    <w:uiPriority w:val="99"/>
    <w:semiHidden/>
    <w:rsid w:val="004B2343"/>
    <w:rPr>
      <w:sz w:val="16"/>
      <w:szCs w:val="16"/>
      <w:lang w:val="en-US" w:eastAsia="en-US"/>
    </w:rPr>
  </w:style>
  <w:style w:type="character" w:styleId="PageNumber">
    <w:name w:val="page number"/>
    <w:basedOn w:val="DefaultParagraphFont"/>
    <w:uiPriority w:val="99"/>
    <w:rsid w:val="00383CAC"/>
    <w:rPr>
      <w:rFonts w:cs="Times New Roman"/>
    </w:rPr>
  </w:style>
  <w:style w:type="paragraph" w:styleId="BalloonText">
    <w:name w:val="Balloon Text"/>
    <w:basedOn w:val="Normal"/>
    <w:link w:val="BalloonTextChar"/>
    <w:uiPriority w:val="99"/>
    <w:semiHidden/>
    <w:rsid w:val="0057658C"/>
    <w:rPr>
      <w:rFonts w:ascii="Tahoma" w:hAnsi="Tahoma" w:cs="Tahoma"/>
      <w:sz w:val="16"/>
      <w:szCs w:val="16"/>
    </w:rPr>
  </w:style>
  <w:style w:type="character" w:customStyle="1" w:styleId="BalloonTextChar">
    <w:name w:val="Balloon Text Char"/>
    <w:basedOn w:val="DefaultParagraphFont"/>
    <w:link w:val="BalloonText"/>
    <w:uiPriority w:val="99"/>
    <w:semiHidden/>
    <w:rsid w:val="004B2343"/>
    <w:rPr>
      <w:sz w:val="0"/>
      <w:szCs w:val="0"/>
      <w:lang w:val="en-US" w:eastAsia="en-US"/>
    </w:rPr>
  </w:style>
  <w:style w:type="character" w:styleId="CommentReference">
    <w:name w:val="annotation reference"/>
    <w:basedOn w:val="DefaultParagraphFont"/>
    <w:uiPriority w:val="99"/>
    <w:semiHidden/>
    <w:unhideWhenUsed/>
    <w:rsid w:val="00260443"/>
    <w:rPr>
      <w:sz w:val="16"/>
      <w:szCs w:val="16"/>
    </w:rPr>
  </w:style>
  <w:style w:type="paragraph" w:styleId="CommentText">
    <w:name w:val="annotation text"/>
    <w:basedOn w:val="Normal"/>
    <w:link w:val="CommentTextChar"/>
    <w:uiPriority w:val="99"/>
    <w:semiHidden/>
    <w:unhideWhenUsed/>
    <w:rsid w:val="00260443"/>
  </w:style>
  <w:style w:type="character" w:customStyle="1" w:styleId="CommentTextChar">
    <w:name w:val="Comment Text Char"/>
    <w:basedOn w:val="DefaultParagraphFont"/>
    <w:link w:val="CommentText"/>
    <w:uiPriority w:val="99"/>
    <w:semiHidden/>
    <w:rsid w:val="00260443"/>
    <w:rPr>
      <w:lang w:val="en-US" w:eastAsia="en-US"/>
    </w:rPr>
  </w:style>
  <w:style w:type="paragraph" w:styleId="CommentSubject">
    <w:name w:val="annotation subject"/>
    <w:basedOn w:val="CommentText"/>
    <w:next w:val="CommentText"/>
    <w:link w:val="CommentSubjectChar"/>
    <w:uiPriority w:val="99"/>
    <w:semiHidden/>
    <w:unhideWhenUsed/>
    <w:rsid w:val="00260443"/>
    <w:rPr>
      <w:b/>
      <w:bCs/>
    </w:rPr>
  </w:style>
  <w:style w:type="character" w:customStyle="1" w:styleId="CommentSubjectChar">
    <w:name w:val="Comment Subject Char"/>
    <w:basedOn w:val="CommentTextChar"/>
    <w:link w:val="CommentSubject"/>
    <w:uiPriority w:val="99"/>
    <w:semiHidden/>
    <w:rsid w:val="00260443"/>
    <w:rPr>
      <w:b/>
      <w:bCs/>
      <w:lang w:val="en-US" w:eastAsia="en-US"/>
    </w:rPr>
  </w:style>
  <w:style w:type="paragraph" w:styleId="ListParagraph">
    <w:name w:val="List Paragraph"/>
    <w:basedOn w:val="Normal"/>
    <w:uiPriority w:val="34"/>
    <w:qFormat/>
    <w:rsid w:val="004A1C47"/>
    <w:pPr>
      <w:ind w:left="720"/>
      <w:contextualSpacing/>
    </w:pPr>
  </w:style>
  <w:style w:type="table" w:styleId="TableGrid">
    <w:name w:val="Table Grid"/>
    <w:basedOn w:val="TableNormal"/>
    <w:uiPriority w:val="59"/>
    <w:rsid w:val="0095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353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PA.005 Cell Washing Automated and Manual</vt:lpstr>
    </vt:vector>
  </TitlesOfParts>
  <Company>Hewlett-Packard Company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PA.005 Cell Washing Automated and Manual</dc:title>
  <dc:creator>Transfusion Ontario Program Office</dc:creator>
  <cp:lastModifiedBy>Nesrallah, Heather</cp:lastModifiedBy>
  <cp:revision>2</cp:revision>
  <cp:lastPrinted>2014-04-03T18:48:00Z</cp:lastPrinted>
  <dcterms:created xsi:type="dcterms:W3CDTF">2020-08-10T17:26:00Z</dcterms:created>
  <dcterms:modified xsi:type="dcterms:W3CDTF">2020-08-10T17:26:00Z</dcterms:modified>
</cp:coreProperties>
</file>