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DAA" w:rsidRDefault="005E1DAA">
      <w:pPr>
        <w:numPr>
          <w:ilvl w:val="0"/>
          <w:numId w:val="1"/>
        </w:numPr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Principle</w:t>
      </w:r>
    </w:p>
    <w:p w:rsidR="0060149A" w:rsidRPr="0060149A" w:rsidRDefault="0060149A">
      <w:pPr>
        <w:pStyle w:val="BodyTextIndent"/>
        <w:rPr>
          <w:sz w:val="22"/>
        </w:rPr>
      </w:pPr>
    </w:p>
    <w:p w:rsidR="005E1DAA" w:rsidRDefault="005E1DAA">
      <w:pPr>
        <w:pStyle w:val="BodyTextIndent"/>
      </w:pPr>
      <w:r>
        <w:t xml:space="preserve">Red cells with a positive DAT cannot </w:t>
      </w:r>
      <w:r w:rsidR="002E2FBD">
        <w:t xml:space="preserve">be tested accurately with blood </w:t>
      </w:r>
      <w:r>
        <w:t>typing reagents that require an indirect antiglobulin technique.  Chloroquine diphosphate dissociates IgG from the red cell membrane with little or no damage to its integrity if used under controlled conditions.</w:t>
      </w:r>
    </w:p>
    <w:p w:rsidR="005E1DAA" w:rsidRDefault="005E1DAA">
      <w:pPr>
        <w:rPr>
          <w:rFonts w:ascii="Arial" w:hAnsi="Arial"/>
          <w:sz w:val="24"/>
        </w:rPr>
      </w:pPr>
    </w:p>
    <w:p w:rsidR="002E2FBD" w:rsidRDefault="005E1DAA" w:rsidP="002E2FBD">
      <w:pPr>
        <w:numPr>
          <w:ilvl w:val="0"/>
          <w:numId w:val="1"/>
        </w:num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8"/>
        </w:rPr>
        <w:t>Scope and Related Policies</w:t>
      </w:r>
    </w:p>
    <w:p w:rsidR="002E2FBD" w:rsidRDefault="002E2FBD" w:rsidP="002E2FBD">
      <w:pPr>
        <w:ind w:left="720"/>
        <w:rPr>
          <w:rFonts w:ascii="Arial" w:hAnsi="Arial"/>
          <w:b/>
          <w:sz w:val="24"/>
          <w:szCs w:val="24"/>
        </w:rPr>
      </w:pPr>
    </w:p>
    <w:p w:rsidR="00D65CE4" w:rsidRPr="002E2FBD" w:rsidRDefault="00D65CE4" w:rsidP="002E2FBD">
      <w:pPr>
        <w:ind w:left="720"/>
        <w:rPr>
          <w:rFonts w:ascii="Arial" w:hAnsi="Arial"/>
          <w:b/>
          <w:sz w:val="24"/>
          <w:szCs w:val="24"/>
        </w:rPr>
      </w:pPr>
      <w:r w:rsidRPr="002E2FBD">
        <w:rPr>
          <w:rFonts w:ascii="Arial" w:hAnsi="Arial"/>
          <w:sz w:val="24"/>
        </w:rPr>
        <w:t>All reagents prepared in-house that contain a controlled substance must be labeled with a workplace label as per WHMIS legislation.</w:t>
      </w:r>
      <w:r w:rsidRPr="002E2FBD">
        <w:rPr>
          <w:rFonts w:ascii="Arial" w:hAnsi="Arial"/>
          <w:sz w:val="24"/>
          <w:vertAlign w:val="superscript"/>
        </w:rPr>
        <w:t>9.1</w:t>
      </w:r>
    </w:p>
    <w:p w:rsidR="005E1DAA" w:rsidRPr="0060149A" w:rsidRDefault="005E1DAA" w:rsidP="008C0F6C">
      <w:pPr>
        <w:ind w:left="1418" w:hanging="709"/>
        <w:rPr>
          <w:rFonts w:ascii="Arial" w:hAnsi="Arial"/>
          <w:sz w:val="22"/>
          <w:szCs w:val="24"/>
        </w:rPr>
      </w:pPr>
    </w:p>
    <w:p w:rsidR="005E1DAA" w:rsidRDefault="005E1DAA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Specimen – N/A</w:t>
      </w:r>
    </w:p>
    <w:p w:rsidR="005E1DAA" w:rsidRPr="0060149A" w:rsidRDefault="005E1DAA">
      <w:pPr>
        <w:rPr>
          <w:rFonts w:ascii="Arial" w:hAnsi="Arial"/>
          <w:sz w:val="22"/>
        </w:rPr>
      </w:pPr>
    </w:p>
    <w:p w:rsidR="005E1DAA" w:rsidRDefault="005E1DAA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Material</w:t>
      </w:r>
    </w:p>
    <w:p w:rsidR="005E1DAA" w:rsidRPr="0060149A" w:rsidRDefault="005E1DAA">
      <w:pPr>
        <w:rPr>
          <w:rFonts w:ascii="Arial" w:hAnsi="Arial"/>
          <w:sz w:val="22"/>
        </w:rPr>
      </w:pPr>
    </w:p>
    <w:p w:rsidR="005E1DAA" w:rsidRDefault="005E1DAA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Equipment: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Balance</w:t>
      </w:r>
    </w:p>
    <w:p w:rsidR="005E1DAA" w:rsidRDefault="005E1DAA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E1DAA" w:rsidRDefault="005E1DAA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Supplies: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Weigh boat</w:t>
      </w:r>
    </w:p>
    <w:p w:rsidR="005E1DAA" w:rsidRDefault="005E1DAA">
      <w:pPr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Glass reagent bottle</w:t>
      </w:r>
    </w:p>
    <w:p w:rsidR="005E1DAA" w:rsidRDefault="005E1DAA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Glass beaker or flask</w:t>
      </w:r>
    </w:p>
    <w:p w:rsidR="005E1DAA" w:rsidRDefault="005E1DAA">
      <w:pPr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Serological pipettes</w:t>
      </w:r>
    </w:p>
    <w:p w:rsidR="005E1DAA" w:rsidRDefault="005E1DAA">
      <w:pPr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pH strips</w:t>
      </w:r>
    </w:p>
    <w:p w:rsidR="005E1DAA" w:rsidRDefault="005E1DAA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E1DAA" w:rsidRDefault="005E1DAA">
      <w:pPr>
        <w:ind w:left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Reagents: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Saline</w:t>
      </w:r>
    </w:p>
    <w:p w:rsidR="005E1DAA" w:rsidRDefault="005E1DAA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1N NaOH</w:t>
      </w:r>
    </w:p>
    <w:p w:rsidR="005E1DAA" w:rsidRDefault="005E1DAA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Chloroquine Disphosphate salt</w:t>
      </w:r>
    </w:p>
    <w:p w:rsidR="005E1DAA" w:rsidRPr="0060149A" w:rsidRDefault="005E1DAA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2E2FBD" w:rsidRDefault="0060149A" w:rsidP="002E2FBD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Quality Control </w:t>
      </w:r>
    </w:p>
    <w:p w:rsidR="002E2FBD" w:rsidRPr="002E2FBD" w:rsidRDefault="002E2FBD" w:rsidP="002E2FBD">
      <w:pPr>
        <w:ind w:left="720"/>
        <w:rPr>
          <w:rFonts w:ascii="Arial" w:hAnsi="Arial"/>
          <w:b/>
          <w:sz w:val="24"/>
        </w:rPr>
      </w:pPr>
    </w:p>
    <w:p w:rsidR="005E1DAA" w:rsidRPr="002E2FBD" w:rsidRDefault="00D65CE4" w:rsidP="002E2FBD">
      <w:pPr>
        <w:ind w:left="720"/>
        <w:rPr>
          <w:rFonts w:ascii="Arial" w:hAnsi="Arial"/>
          <w:b/>
          <w:sz w:val="28"/>
        </w:rPr>
      </w:pPr>
      <w:r w:rsidRPr="002E2FBD">
        <w:rPr>
          <w:rFonts w:ascii="Arial" w:hAnsi="Arial"/>
          <w:sz w:val="24"/>
          <w:szCs w:val="24"/>
        </w:rPr>
        <w:t xml:space="preserve">Serological pipettes should be maintained as per </w:t>
      </w:r>
      <w:r w:rsidR="00BD659E" w:rsidRPr="002E2FBD">
        <w:rPr>
          <w:rFonts w:ascii="Arial" w:hAnsi="Arial"/>
          <w:sz w:val="24"/>
          <w:szCs w:val="24"/>
        </w:rPr>
        <w:t>manufacturers</w:t>
      </w:r>
      <w:r w:rsidRPr="002E2FBD">
        <w:rPr>
          <w:rFonts w:ascii="Arial" w:hAnsi="Arial"/>
          <w:sz w:val="24"/>
          <w:szCs w:val="24"/>
        </w:rPr>
        <w:t xml:space="preserve"> recommendations including adequate volume delivery, reduction of carryover and absence of contamination.</w:t>
      </w:r>
      <w:r w:rsidRPr="002E2FBD">
        <w:rPr>
          <w:rFonts w:ascii="Arial" w:hAnsi="Arial"/>
          <w:sz w:val="24"/>
          <w:szCs w:val="24"/>
          <w:vertAlign w:val="superscript"/>
        </w:rPr>
        <w:t xml:space="preserve"> 9.2</w:t>
      </w:r>
    </w:p>
    <w:p w:rsidR="005E1DAA" w:rsidRDefault="005E1DAA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Procedure</w:t>
      </w:r>
    </w:p>
    <w:p w:rsidR="005E1DAA" w:rsidRPr="002E2FBD" w:rsidRDefault="005E1DAA">
      <w:pPr>
        <w:rPr>
          <w:rFonts w:ascii="Arial" w:hAnsi="Arial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60149A" w:rsidRPr="00B90E2F" w:rsidTr="002E2FBD">
        <w:trPr>
          <w:jc w:val="center"/>
        </w:trPr>
        <w:tc>
          <w:tcPr>
            <w:tcW w:w="7848" w:type="dxa"/>
            <w:shd w:val="clear" w:color="auto" w:fill="auto"/>
          </w:tcPr>
          <w:p w:rsidR="0060149A" w:rsidRPr="00B90E2F" w:rsidRDefault="0060149A" w:rsidP="00B90E2F">
            <w:pPr>
              <w:numPr>
                <w:ilvl w:val="1"/>
                <w:numId w:val="1"/>
              </w:numPr>
              <w:tabs>
                <w:tab w:val="clear" w:pos="1440"/>
              </w:tabs>
              <w:ind w:left="720"/>
              <w:rPr>
                <w:rFonts w:ascii="Arial" w:hAnsi="Arial"/>
                <w:sz w:val="24"/>
              </w:rPr>
            </w:pPr>
            <w:r w:rsidRPr="00B90E2F">
              <w:rPr>
                <w:rFonts w:ascii="Arial" w:hAnsi="Arial"/>
                <w:sz w:val="24"/>
              </w:rPr>
              <w:t>Dissolve 20 g of chloroquine diphosphate in 100 mL of saline.</w:t>
            </w:r>
          </w:p>
        </w:tc>
      </w:tr>
      <w:tr w:rsidR="0060149A" w:rsidRPr="00B90E2F" w:rsidTr="002E2FBD">
        <w:trPr>
          <w:jc w:val="center"/>
        </w:trPr>
        <w:tc>
          <w:tcPr>
            <w:tcW w:w="7848" w:type="dxa"/>
            <w:shd w:val="clear" w:color="auto" w:fill="auto"/>
          </w:tcPr>
          <w:p w:rsidR="0060149A" w:rsidRPr="00B90E2F" w:rsidRDefault="0060149A" w:rsidP="00B90E2F">
            <w:pPr>
              <w:numPr>
                <w:ilvl w:val="1"/>
                <w:numId w:val="1"/>
              </w:numPr>
              <w:tabs>
                <w:tab w:val="clear" w:pos="1440"/>
              </w:tabs>
              <w:ind w:left="720"/>
              <w:rPr>
                <w:rFonts w:ascii="Arial" w:hAnsi="Arial"/>
                <w:sz w:val="24"/>
              </w:rPr>
            </w:pPr>
            <w:r w:rsidRPr="00B90E2F">
              <w:rPr>
                <w:rFonts w:ascii="Arial" w:hAnsi="Arial"/>
                <w:sz w:val="24"/>
              </w:rPr>
              <w:t>Adjust pH to 5.1 with 1 N NaOH.</w:t>
            </w:r>
          </w:p>
        </w:tc>
      </w:tr>
      <w:tr w:rsidR="0060149A" w:rsidRPr="00B90E2F" w:rsidTr="002E2FBD">
        <w:trPr>
          <w:jc w:val="center"/>
        </w:trPr>
        <w:tc>
          <w:tcPr>
            <w:tcW w:w="7848" w:type="dxa"/>
            <w:shd w:val="clear" w:color="auto" w:fill="auto"/>
          </w:tcPr>
          <w:p w:rsidR="0060149A" w:rsidRPr="00B90E2F" w:rsidRDefault="0060149A" w:rsidP="00B90E2F">
            <w:pPr>
              <w:numPr>
                <w:ilvl w:val="1"/>
                <w:numId w:val="1"/>
              </w:numPr>
              <w:tabs>
                <w:tab w:val="clear" w:pos="1440"/>
              </w:tabs>
              <w:ind w:left="720"/>
              <w:rPr>
                <w:rFonts w:ascii="Arial" w:hAnsi="Arial"/>
                <w:sz w:val="24"/>
              </w:rPr>
            </w:pPr>
            <w:r w:rsidRPr="00B90E2F">
              <w:rPr>
                <w:rFonts w:ascii="Arial" w:hAnsi="Arial"/>
                <w:sz w:val="24"/>
              </w:rPr>
              <w:t>Store in labeled glass reagent bottle at 2-8</w:t>
            </w:r>
            <w:r w:rsidRPr="00B90E2F">
              <w:rPr>
                <w:rFonts w:ascii="Arial" w:hAnsi="Arial" w:cs="Arial"/>
                <w:sz w:val="24"/>
              </w:rPr>
              <w:t>°</w:t>
            </w:r>
            <w:r w:rsidRPr="00B90E2F">
              <w:rPr>
                <w:rFonts w:ascii="Arial" w:hAnsi="Arial"/>
                <w:sz w:val="24"/>
              </w:rPr>
              <w:t>C for six months.</w:t>
            </w:r>
          </w:p>
        </w:tc>
      </w:tr>
    </w:tbl>
    <w:p w:rsidR="0060149A" w:rsidRPr="002E2FBD" w:rsidRDefault="0060149A" w:rsidP="0060149A">
      <w:pPr>
        <w:ind w:left="1440"/>
        <w:rPr>
          <w:rFonts w:ascii="Arial" w:hAnsi="Arial"/>
          <w:sz w:val="28"/>
        </w:rPr>
      </w:pPr>
    </w:p>
    <w:p w:rsidR="005E1DAA" w:rsidRDefault="005E1DAA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Reporting  – N/A</w:t>
      </w:r>
    </w:p>
    <w:p w:rsidR="005E1DAA" w:rsidRPr="002E2FBD" w:rsidRDefault="005E1DAA">
      <w:pPr>
        <w:rPr>
          <w:rFonts w:ascii="Arial" w:hAnsi="Arial"/>
          <w:b/>
          <w:sz w:val="24"/>
        </w:rPr>
      </w:pPr>
    </w:p>
    <w:p w:rsidR="005E1DAA" w:rsidRDefault="005E1DAA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Procedural Notes – N/A</w:t>
      </w:r>
    </w:p>
    <w:p w:rsidR="005E1DAA" w:rsidRPr="002E2FBD" w:rsidRDefault="005E1D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 xml:space="preserve"> </w:t>
      </w:r>
    </w:p>
    <w:p w:rsidR="0060149A" w:rsidRDefault="005E1DAA" w:rsidP="0060149A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References</w:t>
      </w:r>
    </w:p>
    <w:p w:rsidR="0060149A" w:rsidRDefault="0060149A" w:rsidP="0060149A">
      <w:pPr>
        <w:pStyle w:val="ListParagraph"/>
        <w:rPr>
          <w:rFonts w:ascii="Arial" w:hAnsi="Arial"/>
          <w:sz w:val="24"/>
          <w:szCs w:val="24"/>
        </w:rPr>
      </w:pPr>
    </w:p>
    <w:p w:rsidR="0060149A" w:rsidRDefault="00D65CE4" w:rsidP="00613629">
      <w:pPr>
        <w:numPr>
          <w:ilvl w:val="1"/>
          <w:numId w:val="1"/>
        </w:numPr>
        <w:rPr>
          <w:rFonts w:ascii="Arial" w:hAnsi="Arial"/>
          <w:b/>
          <w:sz w:val="28"/>
        </w:rPr>
      </w:pPr>
      <w:r w:rsidRPr="0060149A">
        <w:rPr>
          <w:rFonts w:ascii="Arial" w:hAnsi="Arial"/>
          <w:sz w:val="24"/>
          <w:szCs w:val="24"/>
        </w:rPr>
        <w:t xml:space="preserve">WHMIS </w:t>
      </w:r>
      <w:hyperlink r:id="rId7" w:history="1">
        <w:r w:rsidRPr="0060149A">
          <w:rPr>
            <w:rStyle w:val="Hyperlink"/>
            <w:rFonts w:ascii="Arial" w:hAnsi="Arial"/>
            <w:sz w:val="24"/>
            <w:szCs w:val="24"/>
          </w:rPr>
          <w:t>www.whmis.ca</w:t>
        </w:r>
      </w:hyperlink>
      <w:r w:rsidR="002E2FBD">
        <w:rPr>
          <w:rFonts w:ascii="Arial" w:hAnsi="Arial"/>
          <w:sz w:val="24"/>
          <w:szCs w:val="24"/>
        </w:rPr>
        <w:t>.</w:t>
      </w:r>
    </w:p>
    <w:p w:rsidR="0060149A" w:rsidRPr="0060149A" w:rsidRDefault="0060149A" w:rsidP="00613629">
      <w:pPr>
        <w:tabs>
          <w:tab w:val="num" w:pos="1440"/>
        </w:tabs>
        <w:ind w:left="1440" w:hanging="720"/>
        <w:rPr>
          <w:rFonts w:ascii="Arial" w:hAnsi="Arial"/>
          <w:b/>
          <w:sz w:val="28"/>
        </w:rPr>
      </w:pPr>
    </w:p>
    <w:p w:rsidR="0060149A" w:rsidRPr="0060149A" w:rsidRDefault="00D65CE4" w:rsidP="00613629">
      <w:pPr>
        <w:numPr>
          <w:ilvl w:val="1"/>
          <w:numId w:val="1"/>
        </w:numPr>
        <w:rPr>
          <w:rFonts w:ascii="Arial" w:hAnsi="Arial"/>
          <w:b/>
          <w:sz w:val="28"/>
        </w:rPr>
      </w:pPr>
      <w:r w:rsidRPr="0060149A">
        <w:rPr>
          <w:rFonts w:ascii="Arial" w:hAnsi="Arial"/>
          <w:sz w:val="24"/>
        </w:rPr>
        <w:t>CSTM Standards for Hospital Transfusion Services, ver 3 February   2011:3.4.5.1</w:t>
      </w:r>
      <w:r w:rsidR="0060149A">
        <w:rPr>
          <w:rFonts w:ascii="Arial" w:hAnsi="Arial"/>
          <w:sz w:val="24"/>
        </w:rPr>
        <w:t>.</w:t>
      </w:r>
    </w:p>
    <w:p w:rsidR="0060149A" w:rsidRDefault="0060149A" w:rsidP="00613629">
      <w:pPr>
        <w:pStyle w:val="ListParagraph"/>
        <w:tabs>
          <w:tab w:val="num" w:pos="1440"/>
        </w:tabs>
        <w:ind w:left="1440" w:hanging="720"/>
        <w:rPr>
          <w:rFonts w:ascii="Arial" w:hAnsi="Arial"/>
          <w:sz w:val="24"/>
        </w:rPr>
      </w:pPr>
    </w:p>
    <w:p w:rsidR="00D65CE4" w:rsidRPr="00C3382E" w:rsidRDefault="00D65CE4" w:rsidP="00613629">
      <w:pPr>
        <w:numPr>
          <w:ilvl w:val="1"/>
          <w:numId w:val="1"/>
        </w:numPr>
        <w:rPr>
          <w:rFonts w:ascii="Arial" w:hAnsi="Arial"/>
          <w:b/>
          <w:sz w:val="28"/>
        </w:rPr>
      </w:pPr>
      <w:r w:rsidRPr="0060149A">
        <w:rPr>
          <w:rFonts w:ascii="Arial" w:hAnsi="Arial"/>
          <w:sz w:val="24"/>
        </w:rPr>
        <w:t>Fung MK Ed. Technical Manual 18</w:t>
      </w:r>
      <w:r w:rsidRPr="0060149A">
        <w:rPr>
          <w:rFonts w:ascii="Arial" w:hAnsi="Arial"/>
          <w:sz w:val="24"/>
          <w:vertAlign w:val="superscript"/>
        </w:rPr>
        <w:t>th</w:t>
      </w:r>
      <w:r w:rsidRPr="0060149A">
        <w:rPr>
          <w:rFonts w:ascii="Arial" w:hAnsi="Arial"/>
          <w:sz w:val="24"/>
        </w:rPr>
        <w:t xml:space="preserve"> Edition. AABB Press Bethesda MD; 2014 Method (2-20).</w:t>
      </w:r>
    </w:p>
    <w:p w:rsidR="00C3382E" w:rsidRPr="002E2FBD" w:rsidRDefault="00C3382E" w:rsidP="00C3382E">
      <w:pPr>
        <w:pStyle w:val="ListParagraph"/>
        <w:rPr>
          <w:rFonts w:ascii="Arial" w:hAnsi="Arial"/>
          <w:b/>
          <w:sz w:val="24"/>
        </w:rPr>
      </w:pPr>
    </w:p>
    <w:p w:rsidR="00C3382E" w:rsidRDefault="00C3382E" w:rsidP="00C3382E">
      <w:pPr>
        <w:numPr>
          <w:ilvl w:val="0"/>
          <w:numId w:val="1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Revision History</w:t>
      </w:r>
    </w:p>
    <w:p w:rsidR="00C3382E" w:rsidRPr="002E2FBD" w:rsidRDefault="00C3382E" w:rsidP="00C3382E">
      <w:pPr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778"/>
      </w:tblGrid>
      <w:tr w:rsidR="00C3382E" w:rsidRPr="00C868AA" w:rsidTr="00612964">
        <w:tc>
          <w:tcPr>
            <w:tcW w:w="3078" w:type="dxa"/>
            <w:shd w:val="clear" w:color="auto" w:fill="F2F2F2"/>
          </w:tcPr>
          <w:p w:rsidR="00C3382E" w:rsidRPr="00C868AA" w:rsidRDefault="00C3382E" w:rsidP="00C868A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868AA">
              <w:rPr>
                <w:rFonts w:ascii="Arial" w:hAnsi="Arial"/>
                <w:b/>
                <w:sz w:val="22"/>
                <w:szCs w:val="22"/>
              </w:rPr>
              <w:t>Revision Date</w:t>
            </w:r>
          </w:p>
        </w:tc>
        <w:tc>
          <w:tcPr>
            <w:tcW w:w="5778" w:type="dxa"/>
            <w:shd w:val="clear" w:color="auto" w:fill="F2F2F2"/>
          </w:tcPr>
          <w:p w:rsidR="00C3382E" w:rsidRPr="00C868AA" w:rsidRDefault="00C3382E" w:rsidP="00C868A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868AA">
              <w:rPr>
                <w:rFonts w:ascii="Arial" w:hAnsi="Arial"/>
                <w:b/>
                <w:sz w:val="22"/>
                <w:szCs w:val="22"/>
              </w:rPr>
              <w:t>Summary of Revision</w:t>
            </w:r>
          </w:p>
        </w:tc>
      </w:tr>
      <w:tr w:rsidR="00C3382E" w:rsidRPr="00C868AA" w:rsidTr="00BD659E">
        <w:tc>
          <w:tcPr>
            <w:tcW w:w="3078" w:type="dxa"/>
            <w:shd w:val="clear" w:color="auto" w:fill="auto"/>
          </w:tcPr>
          <w:p w:rsidR="00C3382E" w:rsidRPr="00C868AA" w:rsidRDefault="00C3382E" w:rsidP="00C3382E">
            <w:pPr>
              <w:rPr>
                <w:rFonts w:ascii="Arial" w:hAnsi="Arial"/>
                <w:sz w:val="22"/>
                <w:szCs w:val="22"/>
              </w:rPr>
            </w:pPr>
            <w:r w:rsidRPr="00C868AA">
              <w:rPr>
                <w:rFonts w:ascii="Arial" w:hAnsi="Arial"/>
                <w:sz w:val="22"/>
                <w:szCs w:val="22"/>
              </w:rPr>
              <w:t>December 1, 2014</w:t>
            </w:r>
          </w:p>
        </w:tc>
        <w:tc>
          <w:tcPr>
            <w:tcW w:w="5778" w:type="dxa"/>
            <w:shd w:val="clear" w:color="auto" w:fill="auto"/>
          </w:tcPr>
          <w:p w:rsidR="00C3382E" w:rsidRPr="00C868AA" w:rsidRDefault="00C3382E" w:rsidP="00C868AA">
            <w:pPr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</w:rPr>
            </w:pPr>
            <w:r w:rsidRPr="00C868AA">
              <w:rPr>
                <w:rFonts w:ascii="Arial" w:hAnsi="Arial"/>
                <w:sz w:val="22"/>
                <w:szCs w:val="22"/>
              </w:rPr>
              <w:t>Revised name of manual</w:t>
            </w:r>
          </w:p>
          <w:p w:rsidR="00C3382E" w:rsidRPr="00C868AA" w:rsidRDefault="002E2FBD" w:rsidP="00C868AA">
            <w:pPr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Added sections 2.0</w:t>
            </w:r>
            <w:r w:rsidR="00C3382E" w:rsidRPr="00C868AA">
              <w:rPr>
                <w:rFonts w:ascii="Arial" w:hAnsi="Arial"/>
                <w:sz w:val="22"/>
                <w:szCs w:val="22"/>
              </w:rPr>
              <w:t xml:space="preserve"> &amp; 5.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  <w:p w:rsidR="00C3382E" w:rsidRPr="00C868AA" w:rsidRDefault="00C3382E" w:rsidP="00C868AA">
            <w:pPr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</w:rPr>
            </w:pPr>
            <w:r w:rsidRPr="00C868AA">
              <w:rPr>
                <w:rFonts w:ascii="Arial" w:hAnsi="Arial"/>
                <w:sz w:val="22"/>
                <w:szCs w:val="22"/>
              </w:rPr>
              <w:t>Changed 2-6</w:t>
            </w:r>
            <w:r w:rsidRPr="00C868AA">
              <w:rPr>
                <w:rFonts w:ascii="Arial" w:hAnsi="Arial" w:cs="Arial"/>
                <w:sz w:val="24"/>
              </w:rPr>
              <w:t>°</w:t>
            </w:r>
            <w:r w:rsidRPr="00C868AA">
              <w:rPr>
                <w:rFonts w:ascii="Arial" w:hAnsi="Arial"/>
                <w:sz w:val="24"/>
              </w:rPr>
              <w:t>C to 2-8</w:t>
            </w:r>
            <w:r w:rsidRPr="00C868AA">
              <w:rPr>
                <w:rFonts w:ascii="Arial" w:hAnsi="Arial" w:cs="Arial"/>
                <w:sz w:val="24"/>
              </w:rPr>
              <w:t>°</w:t>
            </w:r>
            <w:r w:rsidRPr="00C868AA">
              <w:rPr>
                <w:rFonts w:ascii="Arial" w:hAnsi="Arial"/>
                <w:sz w:val="24"/>
              </w:rPr>
              <w:t>C in section 6.3</w:t>
            </w:r>
          </w:p>
          <w:p w:rsidR="00C3382E" w:rsidRPr="00C868AA" w:rsidRDefault="00C3382E" w:rsidP="00C868AA">
            <w:pPr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</w:rPr>
            </w:pPr>
            <w:r w:rsidRPr="00C868AA">
              <w:rPr>
                <w:rFonts w:ascii="Arial" w:hAnsi="Arial"/>
                <w:sz w:val="24"/>
              </w:rPr>
              <w:t>Updated list of references</w:t>
            </w:r>
          </w:p>
        </w:tc>
      </w:tr>
    </w:tbl>
    <w:p w:rsidR="00C3382E" w:rsidRPr="00C3382E" w:rsidRDefault="00C3382E" w:rsidP="00C3382E">
      <w:pPr>
        <w:rPr>
          <w:rFonts w:ascii="Arial" w:hAnsi="Arial"/>
          <w:sz w:val="22"/>
          <w:szCs w:val="22"/>
        </w:rPr>
      </w:pPr>
    </w:p>
    <w:p w:rsidR="005E1DAA" w:rsidRDefault="005E1DAA">
      <w:pPr>
        <w:rPr>
          <w:rFonts w:ascii="Arial" w:hAnsi="Arial"/>
          <w:sz w:val="24"/>
        </w:rPr>
      </w:pPr>
    </w:p>
    <w:sectPr w:rsidR="005E1DA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267" w:right="1800" w:bottom="245" w:left="1800" w:header="720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3BE" w:rsidRDefault="003F73BE">
      <w:r>
        <w:separator/>
      </w:r>
    </w:p>
  </w:endnote>
  <w:endnote w:type="continuationSeparator" w:id="0">
    <w:p w:rsidR="003F73BE" w:rsidRDefault="003F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5E1DAA">
      <w:trPr>
        <w:trHeight w:val="720"/>
      </w:trPr>
      <w:tc>
        <w:tcPr>
          <w:tcW w:w="1368" w:type="dxa"/>
        </w:tcPr>
        <w:p w:rsidR="005E1DAA" w:rsidRDefault="005E1DAA">
          <w:pPr>
            <w:pStyle w:val="Footer"/>
            <w:jc w:val="center"/>
            <w:rPr>
              <w:sz w:val="8"/>
            </w:rPr>
          </w:pPr>
        </w:p>
        <w:p w:rsidR="005E1DAA" w:rsidRDefault="003C0098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1" name="Picture 1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5E1DAA" w:rsidRDefault="005E1DAA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5E1DAA" w:rsidRDefault="005E1DAA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</w:t>
          </w:r>
        </w:p>
        <w:p w:rsidR="005E1DAA" w:rsidRDefault="00D65CE4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</w:t>
          </w:r>
          <w:r w:rsidR="005E1DAA">
            <w:rPr>
              <w:rFonts w:ascii="Arial" w:hAnsi="Arial"/>
              <w:sz w:val="18"/>
            </w:rPr>
            <w:t xml:space="preserve"> Manual</w:t>
          </w:r>
        </w:p>
        <w:p w:rsidR="005E1DAA" w:rsidRDefault="005E1DAA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5E1DAA" w:rsidRDefault="005E1DAA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5E1DAA" w:rsidRDefault="005E1DAA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RP.006</w:t>
          </w:r>
          <w:r>
            <w:rPr>
              <w:rFonts w:ascii="Arial" w:hAnsi="Arial"/>
              <w:sz w:val="18"/>
            </w:rPr>
            <w:br/>
          </w:r>
        </w:p>
        <w:p w:rsidR="005E1DAA" w:rsidRDefault="005E1DAA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25562">
            <w:rPr>
              <w:rFonts w:ascii="Arial" w:hAnsi="Arial"/>
              <w:noProof/>
              <w:snapToGrid w:val="0"/>
              <w:sz w:val="18"/>
            </w:rPr>
            <w:t>2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25562">
            <w:rPr>
              <w:rFonts w:ascii="Arial" w:hAnsi="Arial"/>
              <w:noProof/>
              <w:snapToGrid w:val="0"/>
              <w:sz w:val="18"/>
            </w:rPr>
            <w:t>2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5E1DAA" w:rsidRDefault="005E1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5E1DAA">
      <w:trPr>
        <w:trHeight w:val="720"/>
      </w:trPr>
      <w:tc>
        <w:tcPr>
          <w:tcW w:w="1368" w:type="dxa"/>
        </w:tcPr>
        <w:p w:rsidR="005E1DAA" w:rsidRDefault="005E1DAA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5E1DAA" w:rsidRDefault="003C0098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3" name="Picture 3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5E1DAA" w:rsidRDefault="005E1DAA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5E1DAA" w:rsidRDefault="005E1DAA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</w:t>
          </w:r>
        </w:p>
        <w:p w:rsidR="005E1DAA" w:rsidRDefault="00D65CE4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</w:t>
          </w:r>
          <w:r w:rsidR="005E1DAA">
            <w:rPr>
              <w:rFonts w:ascii="Arial" w:hAnsi="Arial"/>
              <w:sz w:val="18"/>
            </w:rPr>
            <w:t xml:space="preserve"> Manual</w:t>
          </w:r>
        </w:p>
        <w:p w:rsidR="005E1DAA" w:rsidRDefault="005E1DAA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5E1DAA" w:rsidRDefault="005E1DAA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5E1DAA" w:rsidRDefault="005E1DAA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RP.006</w:t>
          </w:r>
          <w:r>
            <w:rPr>
              <w:rFonts w:ascii="Arial" w:hAnsi="Arial"/>
              <w:sz w:val="18"/>
            </w:rPr>
            <w:br/>
          </w:r>
        </w:p>
        <w:p w:rsidR="005E1DAA" w:rsidRDefault="005E1DAA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25562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625562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5E1DAA" w:rsidRDefault="005E1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3BE" w:rsidRDefault="003F73BE">
      <w:r>
        <w:separator/>
      </w:r>
    </w:p>
  </w:footnote>
  <w:footnote w:type="continuationSeparator" w:id="0">
    <w:p w:rsidR="003F73BE" w:rsidRDefault="003F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AA" w:rsidRDefault="005E1DAA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Preparation of Chloroquine Diphosphate Reagent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CE4" w:rsidRDefault="003C0098" w:rsidP="00D65CE4">
    <w:pPr>
      <w:pStyle w:val="Header"/>
      <w:tabs>
        <w:tab w:val="clear" w:pos="8640"/>
        <w:tab w:val="left" w:pos="4783"/>
      </w:tabs>
    </w:pPr>
    <w:r>
      <w:rPr>
        <w:noProof/>
      </w:rPr>
      <w:drawing>
        <wp:inline distT="0" distB="0" distL="0" distR="0">
          <wp:extent cx="1323975" cy="53340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CE4" w:rsidRDefault="00D65CE4" w:rsidP="00D65CE4">
    <w:pPr>
      <w:pStyle w:val="Header"/>
      <w:tabs>
        <w:tab w:val="clear" w:pos="8640"/>
        <w:tab w:val="left" w:pos="4783"/>
      </w:tabs>
      <w:rPr>
        <w:rFonts w:ascii="Arial" w:hAnsi="Arial" w:cs="Arial"/>
        <w:b/>
        <w:bCs/>
        <w:sz w:val="22"/>
      </w:rPr>
    </w:pPr>
  </w:p>
  <w:p w:rsidR="00D65CE4" w:rsidRPr="008A0E8F" w:rsidRDefault="00D65CE4" w:rsidP="00D65CE4">
    <w:pPr>
      <w:pStyle w:val="Header"/>
      <w:jc w:val="center"/>
      <w:rPr>
        <w:rFonts w:ascii="Arial" w:hAnsi="Arial" w:cs="Arial"/>
        <w:b/>
        <w:bCs/>
        <w:sz w:val="22"/>
        <w:szCs w:val="28"/>
      </w:rPr>
    </w:pPr>
    <w:r w:rsidRPr="008A0E8F">
      <w:rPr>
        <w:rFonts w:ascii="Arial" w:hAnsi="Arial" w:cs="Arial"/>
        <w:b/>
        <w:bCs/>
        <w:sz w:val="22"/>
        <w:szCs w:val="28"/>
      </w:rPr>
      <w:t>Ontario Regional Blood Coordinating Network</w:t>
    </w:r>
  </w:p>
  <w:p w:rsidR="00D65CE4" w:rsidRPr="008A0E8F" w:rsidRDefault="00D65CE4" w:rsidP="00D65CE4">
    <w:pPr>
      <w:pStyle w:val="Header"/>
      <w:jc w:val="center"/>
      <w:rPr>
        <w:rFonts w:ascii="Arial" w:hAnsi="Arial" w:cs="Arial"/>
        <w:b/>
        <w:bCs/>
        <w:sz w:val="22"/>
        <w:szCs w:val="28"/>
      </w:rPr>
    </w:pPr>
    <w:r w:rsidRPr="008A0E8F">
      <w:rPr>
        <w:rFonts w:ascii="Arial" w:hAnsi="Arial" w:cs="Arial"/>
        <w:b/>
        <w:bCs/>
        <w:sz w:val="22"/>
        <w:szCs w:val="28"/>
      </w:rPr>
      <w:t>Transfusion Technical Resource Manual</w:t>
    </w:r>
  </w:p>
  <w:p w:rsidR="005E1DAA" w:rsidRDefault="005E1DAA">
    <w:pPr>
      <w:pStyle w:val="Header"/>
      <w:jc w:val="center"/>
      <w:rPr>
        <w:rFonts w:ascii="Arial" w:hAnsi="Arial"/>
        <w:b/>
        <w:sz w:val="28"/>
      </w:rPr>
    </w:pPr>
  </w:p>
  <w:p w:rsidR="005E1DAA" w:rsidRDefault="005E1DAA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Preparation of Chloroquine Diphosphate Reagent</w:t>
    </w:r>
  </w:p>
  <w:p w:rsidR="005E1DAA" w:rsidRDefault="005E1DAA">
    <w:pPr>
      <w:pStyle w:val="Header"/>
      <w:jc w:val="center"/>
      <w:rPr>
        <w:rFonts w:ascii="Arial" w:hAnsi="Arial"/>
        <w:b/>
        <w:sz w:val="28"/>
      </w:rPr>
    </w:pPr>
  </w:p>
  <w:p w:rsidR="005E1DAA" w:rsidRDefault="005E1DAA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="003C009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20955</wp:posOffset>
              </wp:positionV>
              <wp:extent cx="56007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8D2F1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65pt" to="43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r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A6S9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"/>
          </w:pict>
        </mc:Fallback>
      </mc:AlternateContent>
    </w:r>
  </w:p>
  <w:tbl>
    <w:tblPr>
      <w:tblW w:w="0" w:type="auto"/>
      <w:tblLook w:val="0000" w:firstRow="0" w:lastRow="0" w:firstColumn="0" w:lastColumn="0" w:noHBand="0" w:noVBand="0"/>
    </w:tblPr>
    <w:tblGrid>
      <w:gridCol w:w="4320"/>
      <w:gridCol w:w="4320"/>
    </w:tblGrid>
    <w:tr w:rsidR="005E1DAA">
      <w:tc>
        <w:tcPr>
          <w:tcW w:w="4428" w:type="dxa"/>
        </w:tcPr>
        <w:p w:rsidR="005E1DAA" w:rsidRDefault="005E1DA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Approved By: </w:t>
          </w:r>
        </w:p>
      </w:tc>
      <w:tc>
        <w:tcPr>
          <w:tcW w:w="4428" w:type="dxa"/>
        </w:tcPr>
        <w:p w:rsidR="005E1DAA" w:rsidRDefault="005E1DA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Document No: RP.006</w:t>
          </w:r>
        </w:p>
      </w:tc>
    </w:tr>
    <w:tr w:rsidR="005E1DAA">
      <w:tc>
        <w:tcPr>
          <w:tcW w:w="4428" w:type="dxa"/>
        </w:tcPr>
        <w:p w:rsidR="005E1DAA" w:rsidRDefault="005E1DA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Date Issued: </w:t>
          </w:r>
        </w:p>
      </w:tc>
      <w:tc>
        <w:tcPr>
          <w:tcW w:w="4428" w:type="dxa"/>
        </w:tcPr>
        <w:p w:rsidR="005E1DAA" w:rsidRDefault="005E1DA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Category:  Reagent Preparation</w:t>
          </w:r>
        </w:p>
      </w:tc>
    </w:tr>
    <w:tr w:rsidR="005E1DAA">
      <w:tc>
        <w:tcPr>
          <w:tcW w:w="4428" w:type="dxa"/>
        </w:tcPr>
        <w:p w:rsidR="005E1DAA" w:rsidRDefault="005E1DAA" w:rsidP="002A7CFC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Date Revised:  2009/09/01</w:t>
          </w:r>
          <w:r w:rsidR="002A7CFC">
            <w:rPr>
              <w:rFonts w:ascii="Arial" w:hAnsi="Arial" w:cs="Arial"/>
            </w:rPr>
            <w:t>; 2014/12</w:t>
          </w:r>
          <w:r w:rsidR="00D65CE4">
            <w:rPr>
              <w:rFonts w:ascii="Arial" w:hAnsi="Arial" w:cs="Arial"/>
            </w:rPr>
            <w:t>/01</w:t>
          </w:r>
        </w:p>
      </w:tc>
      <w:tc>
        <w:tcPr>
          <w:tcW w:w="4428" w:type="dxa"/>
        </w:tcPr>
        <w:p w:rsidR="005E1DAA" w:rsidRDefault="005E1DA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Page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625562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625562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</w:p>
      </w:tc>
    </w:tr>
  </w:tbl>
  <w:p w:rsidR="005E1DAA" w:rsidRDefault="003C0098">
    <w:pPr>
      <w:pStyle w:val="Header"/>
      <w:tabs>
        <w:tab w:val="clear" w:pos="8640"/>
        <w:tab w:val="left" w:pos="4714"/>
      </w:tabs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122555</wp:posOffset>
              </wp:positionV>
              <wp:extent cx="5600700" cy="0"/>
              <wp:effectExtent l="0" t="0" r="0" b="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D39A08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65pt" to="436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0H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A6S9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"/>
          </w:pict>
        </mc:Fallback>
      </mc:AlternateContent>
    </w:r>
    <w:r w:rsidR="005E1DAA">
      <w:rPr>
        <w:rFonts w:ascii="Arial" w:hAnsi="Arial" w:cs="Arial"/>
      </w:rPr>
      <w:tab/>
    </w:r>
    <w:r w:rsidR="005E1DAA">
      <w:rPr>
        <w:rFonts w:ascii="Arial" w:hAnsi="Arial" w:cs="Arial"/>
      </w:rPr>
      <w:tab/>
    </w:r>
  </w:p>
  <w:p w:rsidR="005E1DAA" w:rsidRDefault="005E1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A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9D28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4D09CB"/>
    <w:multiLevelType w:val="multilevel"/>
    <w:tmpl w:val="C33EDC58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3" w15:restartNumberingAfterBreak="0">
    <w:nsid w:val="34514205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4" w15:restartNumberingAfterBreak="0">
    <w:nsid w:val="34567BF1"/>
    <w:multiLevelType w:val="multilevel"/>
    <w:tmpl w:val="33164C7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B792486"/>
    <w:multiLevelType w:val="singleLevel"/>
    <w:tmpl w:val="CFD00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61584246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7" w15:restartNumberingAfterBreak="0">
    <w:nsid w:val="68A72A59"/>
    <w:multiLevelType w:val="hybridMultilevel"/>
    <w:tmpl w:val="B9B609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9415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5382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5E51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AA"/>
    <w:rsid w:val="000C099C"/>
    <w:rsid w:val="0013468D"/>
    <w:rsid w:val="002A7CFC"/>
    <w:rsid w:val="002E2FBD"/>
    <w:rsid w:val="003C0098"/>
    <w:rsid w:val="003F73BE"/>
    <w:rsid w:val="00407B30"/>
    <w:rsid w:val="004E09BE"/>
    <w:rsid w:val="005E1DAA"/>
    <w:rsid w:val="0060149A"/>
    <w:rsid w:val="00612964"/>
    <w:rsid w:val="00613629"/>
    <w:rsid w:val="00625562"/>
    <w:rsid w:val="00757125"/>
    <w:rsid w:val="008C0F6C"/>
    <w:rsid w:val="00970695"/>
    <w:rsid w:val="00983221"/>
    <w:rsid w:val="009C7BAB"/>
    <w:rsid w:val="00A26EDC"/>
    <w:rsid w:val="00AA1526"/>
    <w:rsid w:val="00AA56F0"/>
    <w:rsid w:val="00B53EB9"/>
    <w:rsid w:val="00B90E2F"/>
    <w:rsid w:val="00BD659E"/>
    <w:rsid w:val="00C13D91"/>
    <w:rsid w:val="00C3382E"/>
    <w:rsid w:val="00C868AA"/>
    <w:rsid w:val="00D65CE4"/>
    <w:rsid w:val="00EB6044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86241D-18E6-456D-A7BE-534C23DC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rFonts w:ascii="Verdana" w:hAnsi="Verdana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rFonts w:ascii="Verdana" w:hAnsi="Verdana"/>
      <w:snapToGrid w:val="0"/>
      <w:kern w:val="24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after="240"/>
      <w:outlineLvl w:val="2"/>
    </w:pPr>
    <w:rPr>
      <w:rFonts w:ascii="Georgia" w:hAnsi="Georgia"/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240"/>
      <w:outlineLvl w:val="3"/>
    </w:pPr>
    <w:rPr>
      <w:rFonts w:ascii="Georgia" w:hAnsi="Georgia"/>
      <w:snapToGrid w:val="0"/>
      <w:kern w:val="24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spacing w:after="240"/>
      <w:outlineLvl w:val="4"/>
    </w:pPr>
    <w:rPr>
      <w:rFonts w:ascii="Verdana" w:hAnsi="Verdana"/>
      <w:i/>
      <w:snapToGrid w:val="0"/>
      <w:kern w:val="24"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spacing w:after="240"/>
      <w:outlineLvl w:val="5"/>
    </w:pPr>
    <w:rPr>
      <w:rFonts w:ascii="Georgia" w:hAnsi="Georgia"/>
      <w:snapToGrid w:val="0"/>
      <w:kern w:val="24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D91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D65CE4"/>
  </w:style>
  <w:style w:type="paragraph" w:styleId="ListParagraph">
    <w:name w:val="List Paragraph"/>
    <w:basedOn w:val="Normal"/>
    <w:uiPriority w:val="34"/>
    <w:qFormat/>
    <w:rsid w:val="00D65CE4"/>
    <w:pPr>
      <w:ind w:left="720"/>
    </w:pPr>
  </w:style>
  <w:style w:type="character" w:styleId="Hyperlink">
    <w:name w:val="Hyperlink"/>
    <w:uiPriority w:val="99"/>
    <w:unhideWhenUsed/>
    <w:rsid w:val="00D65CE4"/>
    <w:rPr>
      <w:color w:val="0000FF"/>
      <w:u w:val="single"/>
    </w:rPr>
  </w:style>
  <w:style w:type="table" w:styleId="TableGrid">
    <w:name w:val="Table Grid"/>
    <w:basedOn w:val="TableNormal"/>
    <w:uiPriority w:val="59"/>
    <w:rsid w:val="00601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hmis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RP.006 Preparation of Chloroquine Diphosphate Reagent</vt:lpstr>
    </vt:vector>
  </TitlesOfParts>
  <Company>Hewlett-Packard Company</Company>
  <LinksUpToDate>false</LinksUpToDate>
  <CharactersWithSpaces>1503</CharactersWithSpaces>
  <SharedDoc>false</SharedDoc>
  <HLinks>
    <vt:vector size="6" baseType="variant">
      <vt:variant>
        <vt:i4>917534</vt:i4>
      </vt:variant>
      <vt:variant>
        <vt:i4>0</vt:i4>
      </vt:variant>
      <vt:variant>
        <vt:i4>0</vt:i4>
      </vt:variant>
      <vt:variant>
        <vt:i4>5</vt:i4>
      </vt:variant>
      <vt:variant>
        <vt:lpwstr>http://www.whmis.ca/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RP.006 Preparation of Chloroquine Diphosphate Reagent</dc:title>
  <dc:subject/>
  <dc:creator>Transfusion Ontario Program Office</dc:creator>
  <cp:keywords/>
  <cp:lastModifiedBy>Nesrallah, Heather</cp:lastModifiedBy>
  <cp:revision>2</cp:revision>
  <cp:lastPrinted>2015-08-11T11:12:00Z</cp:lastPrinted>
  <dcterms:created xsi:type="dcterms:W3CDTF">2020-08-11T20:15:00Z</dcterms:created>
  <dcterms:modified xsi:type="dcterms:W3CDTF">2020-08-11T20:15:00Z</dcterms:modified>
</cp:coreProperties>
</file>