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C9" w:rsidRDefault="007E7AC9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7E7AC9" w:rsidRDefault="007E7AC9" w:rsidP="00F63A3E">
      <w:pPr>
        <w:ind w:left="720"/>
        <w:rPr>
          <w:rFonts w:ascii="Arial" w:hAnsi="Arial"/>
          <w:sz w:val="24"/>
        </w:rPr>
      </w:pPr>
    </w:p>
    <w:p w:rsidR="00BA49DF" w:rsidRDefault="007E7AC9">
      <w:pPr>
        <w:pStyle w:val="BodyTextIndent"/>
      </w:pPr>
      <w:r>
        <w:t xml:space="preserve">The addition of IgG coated </w:t>
      </w:r>
      <w:r w:rsidR="00095A64">
        <w:t xml:space="preserve">check </w:t>
      </w:r>
      <w:r>
        <w:t xml:space="preserve">cells to negative AHG tests (used to detect IgG) is required </w:t>
      </w:r>
      <w:r w:rsidR="00095A64">
        <w:t xml:space="preserve">to confirm the validity of </w:t>
      </w:r>
      <w:r>
        <w:t xml:space="preserve">antibody detection and crossmatching </w:t>
      </w:r>
      <w:r w:rsidR="00095A64">
        <w:t>tests</w:t>
      </w:r>
      <w:r>
        <w:t xml:space="preserve">. </w:t>
      </w:r>
      <w:r w:rsidR="00BA49DF">
        <w:t>Anti-Human Globulin that does not bind to red c</w:t>
      </w:r>
      <w:r w:rsidR="00095A64">
        <w:t xml:space="preserve">ells during antiglobulin testing </w:t>
      </w:r>
      <w:r w:rsidR="00E1275E">
        <w:t>(i.e. negative AHG test</w:t>
      </w:r>
      <w:r w:rsidR="00095A64">
        <w:t xml:space="preserve">) </w:t>
      </w:r>
      <w:r w:rsidR="00BA49DF">
        <w:t xml:space="preserve">should still be present </w:t>
      </w:r>
      <w:r w:rsidR="00095A64">
        <w:t xml:space="preserve">in the test tubes and </w:t>
      </w:r>
      <w:r w:rsidR="00BA49DF">
        <w:t xml:space="preserve">should cause agglutination of the </w:t>
      </w:r>
      <w:r w:rsidR="00095A64">
        <w:t xml:space="preserve">IgG coated </w:t>
      </w:r>
      <w:r w:rsidR="00BA49DF">
        <w:t>check cells</w:t>
      </w:r>
      <w:r w:rsidR="00095A64">
        <w:t xml:space="preserve"> when they are added</w:t>
      </w:r>
      <w:r w:rsidR="00BA49DF">
        <w:t>.</w:t>
      </w:r>
      <w:r w:rsidR="00095A64">
        <w:t xml:space="preserve"> Agglutination of the IgG coated check cells confirms that the anti-human globulin reagent was added</w:t>
      </w:r>
      <w:r w:rsidR="00BA49DF">
        <w:t xml:space="preserve"> </w:t>
      </w:r>
      <w:r w:rsidR="00037274">
        <w:t>to the test and wa</w:t>
      </w:r>
      <w:r w:rsidR="00095A64">
        <w:t>s reacting appropriately.</w:t>
      </w:r>
    </w:p>
    <w:p w:rsidR="00BA49DF" w:rsidRDefault="00BA49DF">
      <w:pPr>
        <w:pStyle w:val="BodyTextIndent"/>
      </w:pPr>
    </w:p>
    <w:p w:rsidR="00135223" w:rsidRDefault="00135223">
      <w:pPr>
        <w:pStyle w:val="BodyTextIndent"/>
      </w:pPr>
      <w:r>
        <w:t>IgG coated cells may need to be prepared if commercial cells are not available.</w:t>
      </w:r>
    </w:p>
    <w:p w:rsidR="007E7AC9" w:rsidRPr="00A36233" w:rsidRDefault="007E7AC9">
      <w:pPr>
        <w:rPr>
          <w:rFonts w:ascii="Arial" w:hAnsi="Arial"/>
          <w:sz w:val="16"/>
        </w:rPr>
      </w:pPr>
    </w:p>
    <w:p w:rsidR="00AF37BD" w:rsidRDefault="007E7AC9" w:rsidP="00AF37BD">
      <w:pPr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</w:rPr>
        <w:t xml:space="preserve">Scope and Related Policies </w:t>
      </w:r>
    </w:p>
    <w:p w:rsidR="00AF37BD" w:rsidRDefault="00AF37BD" w:rsidP="00AF37BD">
      <w:pPr>
        <w:ind w:left="720"/>
        <w:rPr>
          <w:rFonts w:ascii="Arial" w:hAnsi="Arial"/>
          <w:b/>
          <w:sz w:val="24"/>
          <w:szCs w:val="24"/>
        </w:rPr>
      </w:pPr>
    </w:p>
    <w:p w:rsidR="007E7AC9" w:rsidRPr="00AF37BD" w:rsidRDefault="00135223" w:rsidP="00AF37BD">
      <w:pPr>
        <w:ind w:left="720"/>
        <w:rPr>
          <w:rFonts w:ascii="Arial" w:hAnsi="Arial"/>
          <w:b/>
          <w:sz w:val="24"/>
          <w:szCs w:val="24"/>
        </w:rPr>
      </w:pPr>
      <w:r w:rsidRPr="00AF37BD">
        <w:rPr>
          <w:rFonts w:ascii="Arial" w:hAnsi="Arial"/>
          <w:sz w:val="24"/>
        </w:rPr>
        <w:t>All reagents prepared in-house that contain a controlled substance must be labeled with a workplace label as per WHMIS legislation.</w:t>
      </w:r>
      <w:r w:rsidRPr="00AF37BD">
        <w:rPr>
          <w:rFonts w:ascii="Arial" w:hAnsi="Arial"/>
          <w:sz w:val="24"/>
          <w:vertAlign w:val="superscript"/>
        </w:rPr>
        <w:t>9.1</w:t>
      </w:r>
    </w:p>
    <w:p w:rsidR="00A36233" w:rsidRPr="00AF37BD" w:rsidRDefault="00A36233">
      <w:pPr>
        <w:ind w:left="1440"/>
        <w:rPr>
          <w:rFonts w:ascii="Arial" w:hAnsi="Arial"/>
          <w:b/>
          <w:sz w:val="24"/>
        </w:rPr>
      </w:pPr>
    </w:p>
    <w:p w:rsidR="007E7AC9" w:rsidRDefault="007E7AC9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7E7AC9" w:rsidRDefault="007E7AC9">
      <w:pPr>
        <w:rPr>
          <w:rFonts w:ascii="Arial" w:hAnsi="Arial"/>
          <w:sz w:val="24"/>
        </w:rPr>
      </w:pPr>
    </w:p>
    <w:p w:rsidR="007E7AC9" w:rsidRDefault="007E7AC9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7E7AC9" w:rsidRDefault="007E7AC9">
      <w:pPr>
        <w:rPr>
          <w:rFonts w:ascii="Arial" w:hAnsi="Arial"/>
          <w:sz w:val="24"/>
        </w:rPr>
      </w:pPr>
    </w:p>
    <w:p w:rsidR="007E7AC9" w:rsidRDefault="007E7AC9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Cell Washer</w:t>
      </w:r>
    </w:p>
    <w:p w:rsidR="007E7AC9" w:rsidRDefault="007E7AC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centrifuge</w:t>
      </w:r>
    </w:p>
    <w:p w:rsidR="007E7AC9" w:rsidRDefault="007E7AC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7E7AC9" w:rsidRDefault="007E7AC9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Microscope</w:t>
      </w:r>
    </w:p>
    <w:p w:rsidR="007E7AC9" w:rsidRDefault="007E7AC9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Water bath/Heating block at 37</w:t>
      </w:r>
      <w:r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</w:t>
      </w:r>
    </w:p>
    <w:p w:rsidR="007E7AC9" w:rsidRDefault="007E7AC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E7AC9" w:rsidRDefault="007E7AC9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 mm</w:t>
      </w:r>
    </w:p>
    <w:p w:rsidR="007E7AC9" w:rsidRDefault="007E7AC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7E7AC9" w:rsidRDefault="007E7AC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Dropper bottle</w:t>
      </w:r>
    </w:p>
    <w:p w:rsidR="007E7AC9" w:rsidRDefault="007E7AC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E7AC9" w:rsidRDefault="007E7AC9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Saline</w:t>
      </w:r>
    </w:p>
    <w:p w:rsidR="007E7AC9" w:rsidRDefault="007E7AC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IgG anti-D</w:t>
      </w:r>
    </w:p>
    <w:p w:rsidR="007E7AC9" w:rsidRDefault="007E7AC9">
      <w:pPr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Segments from O </w:t>
      </w:r>
      <w:r w:rsidR="00135223">
        <w:rPr>
          <w:rFonts w:ascii="Arial" w:hAnsi="Arial"/>
          <w:sz w:val="24"/>
        </w:rPr>
        <w:t xml:space="preserve">Rh </w:t>
      </w:r>
      <w:r>
        <w:rPr>
          <w:rFonts w:ascii="Arial" w:hAnsi="Arial"/>
          <w:sz w:val="24"/>
        </w:rPr>
        <w:t xml:space="preserve">Positive red cells (confirm segment is Rh positive prior to starting procedure) </w:t>
      </w:r>
    </w:p>
    <w:p w:rsidR="007E7AC9" w:rsidRDefault="007E7A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Alsevers</w:t>
      </w:r>
      <w:r w:rsidR="00C0474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Solution</w:t>
      </w:r>
    </w:p>
    <w:p w:rsidR="00106CEA" w:rsidRDefault="00106CEA">
      <w:pPr>
        <w:rPr>
          <w:rFonts w:ascii="Arial" w:hAnsi="Arial"/>
          <w:sz w:val="24"/>
        </w:rPr>
      </w:pPr>
    </w:p>
    <w:p w:rsidR="00A36233" w:rsidRDefault="007E7AC9" w:rsidP="00A36233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8"/>
        </w:rPr>
        <w:t xml:space="preserve">Quality Control </w:t>
      </w:r>
    </w:p>
    <w:p w:rsidR="00A36233" w:rsidRDefault="00A36233" w:rsidP="00A36233">
      <w:pPr>
        <w:ind w:left="1713"/>
        <w:rPr>
          <w:rFonts w:ascii="Arial" w:hAnsi="Arial"/>
          <w:sz w:val="24"/>
          <w:szCs w:val="24"/>
        </w:rPr>
      </w:pPr>
    </w:p>
    <w:p w:rsidR="00A36233" w:rsidRDefault="00135223" w:rsidP="00D746D4">
      <w:pPr>
        <w:numPr>
          <w:ilvl w:val="1"/>
          <w:numId w:val="1"/>
        </w:numPr>
        <w:tabs>
          <w:tab w:val="clear" w:pos="1713"/>
          <w:tab w:val="num" w:pos="1440"/>
        </w:tabs>
        <w:ind w:left="1440"/>
        <w:rPr>
          <w:rFonts w:ascii="Arial" w:hAnsi="Arial"/>
          <w:sz w:val="24"/>
          <w:szCs w:val="24"/>
        </w:rPr>
      </w:pPr>
      <w:r w:rsidRPr="00A36233">
        <w:rPr>
          <w:rFonts w:ascii="Arial" w:hAnsi="Arial"/>
          <w:sz w:val="24"/>
          <w:szCs w:val="24"/>
        </w:rPr>
        <w:t>Temperature of water bath or heating block</w:t>
      </w:r>
      <w:r w:rsidR="00C04743" w:rsidRPr="00A36233">
        <w:rPr>
          <w:rFonts w:ascii="Arial" w:hAnsi="Arial"/>
          <w:sz w:val="24"/>
          <w:szCs w:val="24"/>
        </w:rPr>
        <w:t xml:space="preserve"> should be checked </w:t>
      </w:r>
      <w:r w:rsidR="008B628B" w:rsidRPr="00A36233">
        <w:rPr>
          <w:rFonts w:ascii="Arial" w:hAnsi="Arial"/>
          <w:sz w:val="24"/>
          <w:szCs w:val="24"/>
        </w:rPr>
        <w:t>and documented with each use</w:t>
      </w:r>
      <w:r w:rsidR="008646E2">
        <w:rPr>
          <w:rFonts w:ascii="Arial" w:hAnsi="Arial"/>
          <w:sz w:val="24"/>
          <w:szCs w:val="24"/>
        </w:rPr>
        <w:t>.</w:t>
      </w:r>
      <w:r w:rsidR="008B628B" w:rsidRPr="00A36233">
        <w:rPr>
          <w:rFonts w:ascii="Arial" w:hAnsi="Arial"/>
          <w:sz w:val="24"/>
          <w:szCs w:val="24"/>
        </w:rPr>
        <w:t xml:space="preserve"> </w:t>
      </w:r>
      <w:r w:rsidR="008B628B" w:rsidRPr="00A36233">
        <w:rPr>
          <w:rFonts w:ascii="Arial" w:hAnsi="Arial"/>
          <w:sz w:val="24"/>
          <w:szCs w:val="24"/>
          <w:vertAlign w:val="superscript"/>
        </w:rPr>
        <w:t>9.</w:t>
      </w:r>
      <w:r w:rsidRPr="00A36233">
        <w:rPr>
          <w:rFonts w:ascii="Arial" w:hAnsi="Arial"/>
          <w:sz w:val="24"/>
          <w:szCs w:val="24"/>
          <w:vertAlign w:val="superscript"/>
        </w:rPr>
        <w:t>2</w:t>
      </w:r>
    </w:p>
    <w:p w:rsidR="00A36233" w:rsidRDefault="00A36233" w:rsidP="00A36233">
      <w:pPr>
        <w:ind w:left="1713"/>
        <w:rPr>
          <w:rFonts w:ascii="Arial" w:hAnsi="Arial"/>
          <w:sz w:val="24"/>
          <w:szCs w:val="24"/>
        </w:rPr>
      </w:pPr>
    </w:p>
    <w:p w:rsidR="00A36233" w:rsidRPr="008646E2" w:rsidRDefault="008B628B" w:rsidP="00D746D4">
      <w:pPr>
        <w:numPr>
          <w:ilvl w:val="1"/>
          <w:numId w:val="1"/>
        </w:numPr>
        <w:tabs>
          <w:tab w:val="clear" w:pos="1713"/>
          <w:tab w:val="left" w:pos="1440"/>
        </w:tabs>
        <w:ind w:left="1440"/>
        <w:rPr>
          <w:rFonts w:ascii="Arial" w:hAnsi="Arial"/>
          <w:sz w:val="24"/>
          <w:szCs w:val="24"/>
        </w:rPr>
      </w:pPr>
      <w:r w:rsidRPr="00A36233">
        <w:rPr>
          <w:rFonts w:ascii="Arial" w:hAnsi="Arial"/>
          <w:sz w:val="24"/>
          <w:szCs w:val="24"/>
        </w:rPr>
        <w:t xml:space="preserve">Centrifuge equipment shall be maintained as per </w:t>
      </w:r>
      <w:r w:rsidR="00135223" w:rsidRPr="00A36233">
        <w:rPr>
          <w:rFonts w:ascii="Arial" w:hAnsi="Arial"/>
          <w:sz w:val="24"/>
          <w:szCs w:val="24"/>
        </w:rPr>
        <w:t>m</w:t>
      </w:r>
      <w:r w:rsidRPr="00A36233">
        <w:rPr>
          <w:rFonts w:ascii="Arial" w:hAnsi="Arial"/>
          <w:sz w:val="24"/>
          <w:szCs w:val="24"/>
        </w:rPr>
        <w:t>anufacturer</w:t>
      </w:r>
      <w:r w:rsidR="00C04743" w:rsidRPr="00A36233">
        <w:rPr>
          <w:rFonts w:ascii="Arial" w:hAnsi="Arial"/>
          <w:sz w:val="24"/>
          <w:szCs w:val="24"/>
        </w:rPr>
        <w:t>’s recommendations</w:t>
      </w:r>
      <w:r w:rsidRPr="00A36233">
        <w:rPr>
          <w:rFonts w:ascii="Arial" w:hAnsi="Arial"/>
          <w:sz w:val="24"/>
          <w:szCs w:val="24"/>
        </w:rPr>
        <w:t xml:space="preserve"> including speed of rotation and timing </w:t>
      </w:r>
      <w:r w:rsidR="008646E2">
        <w:rPr>
          <w:rFonts w:ascii="Arial" w:hAnsi="Arial"/>
          <w:sz w:val="24"/>
          <w:szCs w:val="24"/>
        </w:rPr>
        <w:br/>
      </w:r>
      <w:r w:rsidRPr="008646E2">
        <w:rPr>
          <w:rFonts w:ascii="Arial" w:hAnsi="Arial"/>
          <w:sz w:val="24"/>
          <w:szCs w:val="24"/>
        </w:rPr>
        <w:t>device</w:t>
      </w:r>
      <w:r w:rsidR="008646E2">
        <w:rPr>
          <w:rFonts w:ascii="Arial" w:hAnsi="Arial"/>
          <w:sz w:val="24"/>
          <w:szCs w:val="24"/>
        </w:rPr>
        <w:t>.</w:t>
      </w:r>
      <w:r w:rsidR="008646E2" w:rsidRPr="008646E2">
        <w:rPr>
          <w:rFonts w:ascii="Arial" w:hAnsi="Arial"/>
          <w:sz w:val="24"/>
          <w:szCs w:val="24"/>
        </w:rPr>
        <w:t xml:space="preserve"> </w:t>
      </w:r>
      <w:r w:rsidRPr="008646E2">
        <w:rPr>
          <w:rFonts w:ascii="Arial" w:hAnsi="Arial"/>
          <w:sz w:val="24"/>
          <w:szCs w:val="24"/>
          <w:vertAlign w:val="superscript"/>
        </w:rPr>
        <w:t>9.</w:t>
      </w:r>
      <w:r w:rsidR="00135223" w:rsidRPr="008646E2">
        <w:rPr>
          <w:rFonts w:ascii="Arial" w:hAnsi="Arial"/>
          <w:sz w:val="24"/>
          <w:szCs w:val="24"/>
          <w:vertAlign w:val="superscript"/>
        </w:rPr>
        <w:t>2</w:t>
      </w:r>
    </w:p>
    <w:p w:rsidR="00A36233" w:rsidRDefault="00A36233" w:rsidP="00A36233">
      <w:pPr>
        <w:pStyle w:val="ListParagraph"/>
        <w:rPr>
          <w:rFonts w:ascii="Arial" w:hAnsi="Arial"/>
          <w:sz w:val="24"/>
          <w:szCs w:val="24"/>
        </w:rPr>
      </w:pPr>
    </w:p>
    <w:p w:rsidR="00A36233" w:rsidRDefault="002C0DD2" w:rsidP="00D746D4">
      <w:pPr>
        <w:numPr>
          <w:ilvl w:val="1"/>
          <w:numId w:val="1"/>
        </w:numPr>
        <w:tabs>
          <w:tab w:val="clear" w:pos="1713"/>
          <w:tab w:val="num" w:pos="1440"/>
        </w:tabs>
        <w:ind w:left="1440"/>
        <w:rPr>
          <w:rFonts w:ascii="Arial" w:hAnsi="Arial"/>
          <w:sz w:val="24"/>
          <w:szCs w:val="24"/>
        </w:rPr>
      </w:pPr>
      <w:r w:rsidRPr="00A36233">
        <w:rPr>
          <w:rFonts w:ascii="Arial" w:hAnsi="Arial"/>
          <w:sz w:val="24"/>
          <w:szCs w:val="24"/>
        </w:rPr>
        <w:t>Serological pipettes should</w:t>
      </w:r>
      <w:r w:rsidR="00C04743" w:rsidRPr="00A36233">
        <w:rPr>
          <w:rFonts w:ascii="Arial" w:hAnsi="Arial"/>
          <w:sz w:val="24"/>
          <w:szCs w:val="24"/>
        </w:rPr>
        <w:t xml:space="preserve"> be maintained as per manufactur</w:t>
      </w:r>
      <w:r w:rsidRPr="00A36233">
        <w:rPr>
          <w:rFonts w:ascii="Arial" w:hAnsi="Arial"/>
          <w:sz w:val="24"/>
          <w:szCs w:val="24"/>
        </w:rPr>
        <w:t>er</w:t>
      </w:r>
      <w:r w:rsidR="00C04743" w:rsidRPr="00A36233">
        <w:rPr>
          <w:rFonts w:ascii="Arial" w:hAnsi="Arial"/>
          <w:sz w:val="24"/>
          <w:szCs w:val="24"/>
        </w:rPr>
        <w:t>’</w:t>
      </w:r>
      <w:r w:rsidRPr="00A36233">
        <w:rPr>
          <w:rFonts w:ascii="Arial" w:hAnsi="Arial"/>
          <w:sz w:val="24"/>
          <w:szCs w:val="24"/>
        </w:rPr>
        <w:t>s recommendations including adequate volume delivery, reduction of carryover and absence of contamination</w:t>
      </w:r>
      <w:r w:rsidR="00C04743" w:rsidRPr="00A36233">
        <w:rPr>
          <w:rFonts w:ascii="Arial" w:hAnsi="Arial"/>
          <w:sz w:val="24"/>
          <w:szCs w:val="24"/>
        </w:rPr>
        <w:t>.</w:t>
      </w:r>
      <w:r w:rsidRPr="00A36233">
        <w:rPr>
          <w:rFonts w:ascii="Arial" w:hAnsi="Arial"/>
          <w:sz w:val="24"/>
          <w:szCs w:val="24"/>
          <w:vertAlign w:val="superscript"/>
        </w:rPr>
        <w:t>9.</w:t>
      </w:r>
      <w:r w:rsidR="00135223" w:rsidRPr="00A36233">
        <w:rPr>
          <w:rFonts w:ascii="Arial" w:hAnsi="Arial"/>
          <w:sz w:val="24"/>
          <w:szCs w:val="24"/>
          <w:vertAlign w:val="superscript"/>
        </w:rPr>
        <w:t>2</w:t>
      </w:r>
    </w:p>
    <w:p w:rsidR="00A36233" w:rsidRDefault="00A36233" w:rsidP="00A36233">
      <w:pPr>
        <w:pStyle w:val="ListParagraph"/>
        <w:rPr>
          <w:rFonts w:ascii="Arial" w:hAnsi="Arial"/>
          <w:sz w:val="24"/>
          <w:szCs w:val="24"/>
        </w:rPr>
      </w:pPr>
    </w:p>
    <w:p w:rsidR="00135223" w:rsidRPr="00A36233" w:rsidRDefault="00135223" w:rsidP="00D746D4">
      <w:pPr>
        <w:numPr>
          <w:ilvl w:val="1"/>
          <w:numId w:val="1"/>
        </w:numPr>
        <w:tabs>
          <w:tab w:val="clear" w:pos="1713"/>
          <w:tab w:val="num" w:pos="1440"/>
        </w:tabs>
        <w:ind w:left="1440"/>
        <w:rPr>
          <w:rFonts w:ascii="Arial" w:hAnsi="Arial"/>
          <w:sz w:val="24"/>
          <w:szCs w:val="24"/>
        </w:rPr>
      </w:pPr>
      <w:r w:rsidRPr="00A36233">
        <w:rPr>
          <w:rFonts w:ascii="Arial" w:hAnsi="Arial"/>
          <w:sz w:val="24"/>
          <w:szCs w:val="24"/>
        </w:rPr>
        <w:t>The IgG coated red cells should demonstrate a minimum 2+ grade agglutination in tests with reagents containing anti-IgG.</w:t>
      </w:r>
      <w:r w:rsidRPr="00A36233">
        <w:rPr>
          <w:rFonts w:ascii="Arial" w:hAnsi="Arial"/>
          <w:sz w:val="24"/>
          <w:szCs w:val="24"/>
          <w:vertAlign w:val="superscript"/>
        </w:rPr>
        <w:t>9.3</w:t>
      </w:r>
    </w:p>
    <w:p w:rsidR="002C0DD2" w:rsidRPr="00135223" w:rsidRDefault="002C0DD2" w:rsidP="00F63A3E">
      <w:pPr>
        <w:ind w:left="720"/>
        <w:rPr>
          <w:rFonts w:ascii="Arial" w:hAnsi="Arial"/>
          <w:sz w:val="28"/>
        </w:rPr>
      </w:pPr>
    </w:p>
    <w:p w:rsidR="007E7AC9" w:rsidRDefault="007E7AC9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7E7AC9" w:rsidRDefault="007E7AC9">
      <w:pPr>
        <w:rPr>
          <w:rFonts w:ascii="Arial" w:hAnsi="Arial"/>
          <w:b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A36233" w:rsidRPr="00E54C04" w:rsidTr="00E54C04">
        <w:tc>
          <w:tcPr>
            <w:tcW w:w="8568" w:type="dxa"/>
            <w:shd w:val="clear" w:color="auto" w:fill="auto"/>
          </w:tcPr>
          <w:p w:rsidR="00A36233" w:rsidRPr="00E54C04" w:rsidRDefault="00A36233" w:rsidP="00E54C04">
            <w:pPr>
              <w:numPr>
                <w:ilvl w:val="1"/>
                <w:numId w:val="1"/>
              </w:numPr>
              <w:tabs>
                <w:tab w:val="clear" w:pos="1713"/>
              </w:tabs>
              <w:ind w:left="522" w:hanging="540"/>
              <w:rPr>
                <w:rFonts w:ascii="Arial" w:hAnsi="Arial"/>
                <w:sz w:val="24"/>
              </w:rPr>
            </w:pPr>
            <w:r w:rsidRPr="00E54C04">
              <w:rPr>
                <w:rFonts w:ascii="Arial" w:hAnsi="Arial"/>
                <w:sz w:val="24"/>
              </w:rPr>
              <w:t xml:space="preserve">Label 6, 10 x 75 mm test tubes with "IgG check cells." Put the contents of 2 segments (or 1 mL Rh Positive whole blood) into each tube.  </w:t>
            </w:r>
          </w:p>
        </w:tc>
      </w:tr>
      <w:tr w:rsidR="00A36233" w:rsidRPr="00E54C04" w:rsidTr="00E54C04">
        <w:tc>
          <w:tcPr>
            <w:tcW w:w="8568" w:type="dxa"/>
            <w:shd w:val="clear" w:color="auto" w:fill="auto"/>
          </w:tcPr>
          <w:p w:rsidR="00A36233" w:rsidRPr="00E54C04" w:rsidRDefault="00A36233" w:rsidP="00E54C04">
            <w:pPr>
              <w:numPr>
                <w:ilvl w:val="1"/>
                <w:numId w:val="1"/>
              </w:numPr>
              <w:tabs>
                <w:tab w:val="clear" w:pos="1713"/>
              </w:tabs>
              <w:ind w:left="522" w:hanging="522"/>
              <w:rPr>
                <w:rFonts w:ascii="Arial" w:hAnsi="Arial"/>
                <w:sz w:val="24"/>
              </w:rPr>
            </w:pPr>
            <w:r w:rsidRPr="00E54C04">
              <w:rPr>
                <w:rFonts w:ascii="Arial" w:hAnsi="Arial"/>
                <w:sz w:val="24"/>
              </w:rPr>
              <w:t>Add 4 drops of IgG anti-D reagent to each tube.</w:t>
            </w:r>
          </w:p>
        </w:tc>
      </w:tr>
      <w:tr w:rsidR="00A36233" w:rsidRPr="00E54C04" w:rsidTr="00E54C04">
        <w:tc>
          <w:tcPr>
            <w:tcW w:w="8568" w:type="dxa"/>
            <w:shd w:val="clear" w:color="auto" w:fill="auto"/>
          </w:tcPr>
          <w:p w:rsidR="00A36233" w:rsidRPr="00E54C04" w:rsidRDefault="00A36233" w:rsidP="00E54C04">
            <w:pPr>
              <w:numPr>
                <w:ilvl w:val="1"/>
                <w:numId w:val="1"/>
              </w:numPr>
              <w:tabs>
                <w:tab w:val="clear" w:pos="1713"/>
              </w:tabs>
              <w:ind w:left="522" w:hanging="522"/>
              <w:rPr>
                <w:rFonts w:ascii="Arial" w:hAnsi="Arial"/>
                <w:sz w:val="24"/>
              </w:rPr>
            </w:pPr>
            <w:r w:rsidRPr="00E54C04">
              <w:rPr>
                <w:rFonts w:ascii="Arial" w:hAnsi="Arial"/>
                <w:sz w:val="24"/>
              </w:rPr>
              <w:t>Incubate tubes at 37</w:t>
            </w:r>
            <w:r w:rsidRPr="00E54C04">
              <w:rPr>
                <w:rFonts w:ascii="Arial" w:hAnsi="Arial" w:cs="Arial"/>
                <w:sz w:val="24"/>
              </w:rPr>
              <w:t>°</w:t>
            </w:r>
            <w:r w:rsidRPr="00E54C04">
              <w:rPr>
                <w:rFonts w:ascii="Arial" w:hAnsi="Arial"/>
                <w:sz w:val="24"/>
              </w:rPr>
              <w:t>C for 15 minutes.</w:t>
            </w:r>
          </w:p>
        </w:tc>
      </w:tr>
      <w:tr w:rsidR="00A36233" w:rsidRPr="00E54C04" w:rsidTr="00E54C04">
        <w:tc>
          <w:tcPr>
            <w:tcW w:w="8568" w:type="dxa"/>
            <w:shd w:val="clear" w:color="auto" w:fill="auto"/>
          </w:tcPr>
          <w:p w:rsidR="00A36233" w:rsidRPr="00E54C04" w:rsidRDefault="00A36233" w:rsidP="00E54C04">
            <w:pPr>
              <w:numPr>
                <w:ilvl w:val="1"/>
                <w:numId w:val="1"/>
              </w:numPr>
              <w:tabs>
                <w:tab w:val="clear" w:pos="1713"/>
              </w:tabs>
              <w:ind w:left="522" w:hanging="522"/>
              <w:rPr>
                <w:rFonts w:ascii="Arial" w:hAnsi="Arial"/>
                <w:sz w:val="24"/>
              </w:rPr>
            </w:pPr>
            <w:r w:rsidRPr="00E54C04">
              <w:rPr>
                <w:rFonts w:ascii="Arial" w:hAnsi="Arial"/>
                <w:sz w:val="24"/>
              </w:rPr>
              <w:t>Wash the contents of each tube 4 times with saline.  Preserve the cells in Alsevers solution (add an equal volume of Alsevers solution). Initial and date the label, seal the tubes and store at 1-6</w:t>
            </w:r>
            <w:r w:rsidRPr="00E54C04">
              <w:rPr>
                <w:rFonts w:ascii="Arial" w:hAnsi="Arial" w:cs="Arial"/>
                <w:sz w:val="24"/>
              </w:rPr>
              <w:t>°</w:t>
            </w:r>
            <w:r w:rsidRPr="00E54C04">
              <w:rPr>
                <w:rFonts w:ascii="Arial" w:hAnsi="Arial"/>
                <w:sz w:val="24"/>
              </w:rPr>
              <w:t>C until ready to use.</w:t>
            </w:r>
          </w:p>
        </w:tc>
      </w:tr>
      <w:tr w:rsidR="00A36233" w:rsidRPr="00E54C04" w:rsidTr="00E54C04">
        <w:tc>
          <w:tcPr>
            <w:tcW w:w="8568" w:type="dxa"/>
            <w:shd w:val="clear" w:color="auto" w:fill="auto"/>
          </w:tcPr>
          <w:p w:rsidR="00A36233" w:rsidRPr="00E54C04" w:rsidRDefault="00A36233" w:rsidP="00E54C04">
            <w:pPr>
              <w:numPr>
                <w:ilvl w:val="1"/>
                <w:numId w:val="1"/>
              </w:numPr>
              <w:tabs>
                <w:tab w:val="clear" w:pos="1713"/>
              </w:tabs>
              <w:ind w:left="522" w:hanging="522"/>
              <w:rPr>
                <w:rFonts w:ascii="Arial" w:hAnsi="Arial"/>
                <w:sz w:val="24"/>
              </w:rPr>
            </w:pPr>
            <w:r w:rsidRPr="00E54C04">
              <w:rPr>
                <w:rFonts w:ascii="Arial" w:hAnsi="Arial"/>
                <w:sz w:val="24"/>
              </w:rPr>
              <w:t>Each day, label a 10 mL dropper bottle "IgG check cells" and add your initials and the date.</w:t>
            </w:r>
          </w:p>
        </w:tc>
      </w:tr>
      <w:tr w:rsidR="00A36233" w:rsidRPr="00E54C04" w:rsidTr="00E54C04">
        <w:tc>
          <w:tcPr>
            <w:tcW w:w="8568" w:type="dxa"/>
            <w:shd w:val="clear" w:color="auto" w:fill="auto"/>
          </w:tcPr>
          <w:p w:rsidR="00A36233" w:rsidRPr="00E54C04" w:rsidRDefault="00A36233" w:rsidP="00E54C04">
            <w:pPr>
              <w:numPr>
                <w:ilvl w:val="1"/>
                <w:numId w:val="1"/>
              </w:numPr>
              <w:tabs>
                <w:tab w:val="clear" w:pos="1713"/>
              </w:tabs>
              <w:ind w:left="522" w:hanging="522"/>
              <w:rPr>
                <w:rFonts w:ascii="Arial" w:hAnsi="Arial"/>
                <w:sz w:val="24"/>
              </w:rPr>
            </w:pPr>
            <w:r w:rsidRPr="00E54C04">
              <w:rPr>
                <w:rFonts w:ascii="Arial" w:hAnsi="Arial"/>
                <w:sz w:val="24"/>
              </w:rPr>
              <w:t>Wash one tube of IgG sensitized control cells four times to remove the Alsevers.</w:t>
            </w:r>
          </w:p>
        </w:tc>
      </w:tr>
      <w:tr w:rsidR="00A36233" w:rsidRPr="00E54C04" w:rsidTr="00E54C04">
        <w:tc>
          <w:tcPr>
            <w:tcW w:w="8568" w:type="dxa"/>
            <w:shd w:val="clear" w:color="auto" w:fill="auto"/>
          </w:tcPr>
          <w:p w:rsidR="00A36233" w:rsidRPr="00E54C04" w:rsidRDefault="00A36233" w:rsidP="00E54C04">
            <w:pPr>
              <w:numPr>
                <w:ilvl w:val="1"/>
                <w:numId w:val="1"/>
              </w:numPr>
              <w:tabs>
                <w:tab w:val="clear" w:pos="1713"/>
              </w:tabs>
              <w:ind w:left="522" w:hanging="522"/>
              <w:rPr>
                <w:rFonts w:ascii="Arial" w:hAnsi="Arial"/>
                <w:sz w:val="24"/>
              </w:rPr>
            </w:pPr>
            <w:r w:rsidRPr="00E54C04">
              <w:rPr>
                <w:rFonts w:ascii="Arial" w:hAnsi="Arial"/>
                <w:sz w:val="24"/>
              </w:rPr>
              <w:t>Transfer the washed cells to the labeled dropper bottle and fill with saline to make a 5% suspension.</w:t>
            </w:r>
          </w:p>
        </w:tc>
      </w:tr>
      <w:tr w:rsidR="00A36233" w:rsidRPr="00E54C04" w:rsidTr="00E54C04">
        <w:tc>
          <w:tcPr>
            <w:tcW w:w="8568" w:type="dxa"/>
            <w:shd w:val="clear" w:color="auto" w:fill="auto"/>
          </w:tcPr>
          <w:p w:rsidR="00A36233" w:rsidRPr="00E54C04" w:rsidRDefault="00A36233" w:rsidP="00E54C04">
            <w:pPr>
              <w:numPr>
                <w:ilvl w:val="1"/>
                <w:numId w:val="1"/>
              </w:numPr>
              <w:tabs>
                <w:tab w:val="clear" w:pos="1713"/>
              </w:tabs>
              <w:ind w:left="522" w:hanging="522"/>
              <w:rPr>
                <w:rFonts w:ascii="Arial" w:hAnsi="Arial"/>
                <w:sz w:val="24"/>
              </w:rPr>
            </w:pPr>
            <w:r w:rsidRPr="00E54C04">
              <w:rPr>
                <w:rFonts w:ascii="Arial" w:hAnsi="Arial"/>
                <w:sz w:val="24"/>
              </w:rPr>
              <w:t>Each day discard the IgG sensitized control cells from the previous day, wash a fresh tube of cells four times and refill the well washed dropper bottle.</w:t>
            </w:r>
          </w:p>
        </w:tc>
      </w:tr>
    </w:tbl>
    <w:p w:rsidR="00A36233" w:rsidRDefault="00A36233" w:rsidP="00A36233">
      <w:pPr>
        <w:ind w:left="1713"/>
        <w:rPr>
          <w:rFonts w:ascii="Arial" w:hAnsi="Arial"/>
          <w:sz w:val="24"/>
        </w:rPr>
      </w:pPr>
    </w:p>
    <w:p w:rsidR="007E7AC9" w:rsidRDefault="007E7AC9" w:rsidP="00A3623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– N/A</w:t>
      </w:r>
    </w:p>
    <w:p w:rsidR="007E7AC9" w:rsidRDefault="007E7AC9">
      <w:pPr>
        <w:ind w:left="720"/>
        <w:rPr>
          <w:rFonts w:ascii="Arial" w:hAnsi="Arial"/>
          <w:b/>
          <w:sz w:val="28"/>
        </w:rPr>
      </w:pPr>
    </w:p>
    <w:p w:rsidR="007E7AC9" w:rsidRDefault="007E7AC9" w:rsidP="00A3623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Procedural Notes – N/A   </w:t>
      </w:r>
    </w:p>
    <w:p w:rsidR="007E7AC9" w:rsidRDefault="007E7AC9">
      <w:pPr>
        <w:ind w:left="720"/>
        <w:rPr>
          <w:rFonts w:ascii="Arial" w:hAnsi="Arial"/>
          <w:b/>
          <w:sz w:val="28"/>
        </w:rPr>
      </w:pPr>
    </w:p>
    <w:p w:rsidR="007E7AC9" w:rsidRDefault="007E7AC9" w:rsidP="00A3623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7E7AC9" w:rsidRDefault="007E7AC9">
      <w:pPr>
        <w:rPr>
          <w:rFonts w:ascii="Arial" w:hAnsi="Arial"/>
          <w:b/>
          <w:sz w:val="24"/>
        </w:rPr>
      </w:pPr>
    </w:p>
    <w:p w:rsidR="008E6598" w:rsidRDefault="008E6598" w:rsidP="00D746D4">
      <w:pPr>
        <w:numPr>
          <w:ilvl w:val="1"/>
          <w:numId w:val="1"/>
        </w:numPr>
        <w:tabs>
          <w:tab w:val="clear" w:pos="1713"/>
          <w:tab w:val="num" w:pos="1440"/>
        </w:tabs>
        <w:ind w:left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WHMIS </w:t>
      </w:r>
      <w:hyperlink r:id="rId7" w:history="1">
        <w:r w:rsidRPr="00416CC6">
          <w:rPr>
            <w:rStyle w:val="Hyperlink"/>
            <w:rFonts w:ascii="Arial" w:hAnsi="Arial"/>
            <w:sz w:val="24"/>
            <w:szCs w:val="24"/>
          </w:rPr>
          <w:t>www.whmis.ca</w:t>
        </w:r>
      </w:hyperlink>
    </w:p>
    <w:p w:rsidR="00A36233" w:rsidRPr="00A36233" w:rsidRDefault="00A36233" w:rsidP="00A36233">
      <w:pPr>
        <w:ind w:left="1713"/>
        <w:rPr>
          <w:rFonts w:ascii="Arial" w:hAnsi="Arial"/>
          <w:b/>
          <w:sz w:val="28"/>
        </w:rPr>
      </w:pPr>
    </w:p>
    <w:p w:rsidR="007E7AC9" w:rsidRDefault="008E6598" w:rsidP="00D746D4">
      <w:pPr>
        <w:numPr>
          <w:ilvl w:val="1"/>
          <w:numId w:val="1"/>
        </w:numPr>
        <w:tabs>
          <w:tab w:val="clear" w:pos="1713"/>
          <w:tab w:val="num" w:pos="1440"/>
        </w:tabs>
        <w:ind w:left="1440"/>
        <w:rPr>
          <w:rFonts w:ascii="Arial" w:hAnsi="Arial"/>
          <w:b/>
          <w:sz w:val="28"/>
        </w:rPr>
      </w:pPr>
      <w:r w:rsidRPr="00D96A81">
        <w:rPr>
          <w:rFonts w:ascii="Arial" w:hAnsi="Arial"/>
          <w:sz w:val="24"/>
        </w:rPr>
        <w:t>CSTM Standards for Hospital Transfusion Services, ver 3</w:t>
      </w:r>
      <w:r>
        <w:rPr>
          <w:rFonts w:ascii="Arial" w:hAnsi="Arial"/>
          <w:sz w:val="24"/>
        </w:rPr>
        <w:t xml:space="preserve"> </w:t>
      </w:r>
      <w:r w:rsidRPr="00D96A81">
        <w:rPr>
          <w:rFonts w:ascii="Arial" w:hAnsi="Arial"/>
          <w:sz w:val="24"/>
        </w:rPr>
        <w:t>Febr</w:t>
      </w:r>
      <w:r>
        <w:rPr>
          <w:rFonts w:ascii="Arial" w:hAnsi="Arial"/>
          <w:sz w:val="24"/>
        </w:rPr>
        <w:t>uary 2011: 3.4.2.2; 3.4.3.1; 3.4.5.1</w:t>
      </w:r>
      <w:r w:rsidRPr="00D96A81">
        <w:rPr>
          <w:rFonts w:ascii="Arial" w:hAnsi="Arial"/>
          <w:sz w:val="24"/>
        </w:rPr>
        <w:t>.</w:t>
      </w:r>
    </w:p>
    <w:p w:rsidR="00A36233" w:rsidRDefault="00A36233" w:rsidP="00A36233">
      <w:pPr>
        <w:ind w:left="1713"/>
        <w:rPr>
          <w:rFonts w:ascii="Arial" w:hAnsi="Arial"/>
          <w:sz w:val="24"/>
        </w:rPr>
      </w:pPr>
    </w:p>
    <w:p w:rsidR="008E6598" w:rsidRDefault="008E6598" w:rsidP="00D746D4">
      <w:pPr>
        <w:numPr>
          <w:ilvl w:val="1"/>
          <w:numId w:val="1"/>
        </w:numPr>
        <w:tabs>
          <w:tab w:val="clear" w:pos="1713"/>
          <w:tab w:val="left" w:pos="1440"/>
        </w:tabs>
        <w:ind w:left="1440"/>
        <w:rPr>
          <w:rFonts w:ascii="Arial" w:hAnsi="Arial"/>
          <w:sz w:val="24"/>
        </w:rPr>
      </w:pPr>
      <w:r w:rsidRPr="00202710">
        <w:rPr>
          <w:rFonts w:ascii="Arial" w:hAnsi="Arial"/>
          <w:sz w:val="24"/>
        </w:rPr>
        <w:t xml:space="preserve">Judd WJ, Methods in immunohematology, </w:t>
      </w:r>
      <w:r w:rsidRPr="002E6080">
        <w:rPr>
          <w:rFonts w:ascii="Arial" w:hAnsi="Arial"/>
          <w:sz w:val="24"/>
        </w:rPr>
        <w:t>3</w:t>
      </w:r>
      <w:r w:rsidRPr="00980429">
        <w:rPr>
          <w:rFonts w:ascii="Arial" w:hAnsi="Arial"/>
          <w:sz w:val="24"/>
        </w:rPr>
        <w:t>rd</w:t>
      </w:r>
      <w:r w:rsidRPr="00202710">
        <w:rPr>
          <w:rFonts w:ascii="Arial" w:hAnsi="Arial"/>
          <w:sz w:val="24"/>
        </w:rPr>
        <w:t xml:space="preserve"> ed. Montgomery Scientific Publications, </w:t>
      </w:r>
      <w:r>
        <w:rPr>
          <w:rFonts w:ascii="Arial" w:hAnsi="Arial"/>
          <w:sz w:val="24"/>
        </w:rPr>
        <w:t>2008</w:t>
      </w:r>
      <w:r w:rsidRPr="00202710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>267-269</w:t>
      </w:r>
      <w:r w:rsidRPr="00202710">
        <w:rPr>
          <w:rFonts w:ascii="Arial" w:hAnsi="Arial"/>
          <w:sz w:val="24"/>
        </w:rPr>
        <w:t>.</w:t>
      </w:r>
    </w:p>
    <w:p w:rsidR="00A36233" w:rsidRDefault="00A36233" w:rsidP="00A36233">
      <w:pPr>
        <w:pStyle w:val="ListParagraph"/>
        <w:rPr>
          <w:rFonts w:ascii="Arial" w:hAnsi="Arial"/>
          <w:sz w:val="24"/>
        </w:rPr>
      </w:pPr>
    </w:p>
    <w:p w:rsidR="00A36233" w:rsidRPr="00A36233" w:rsidRDefault="00A36233" w:rsidP="00A36233">
      <w:pPr>
        <w:numPr>
          <w:ilvl w:val="0"/>
          <w:numId w:val="1"/>
        </w:numPr>
        <w:rPr>
          <w:rFonts w:ascii="Arial" w:hAnsi="Arial"/>
          <w:sz w:val="28"/>
        </w:rPr>
      </w:pPr>
      <w:r w:rsidRPr="00A36233">
        <w:rPr>
          <w:rFonts w:ascii="Arial" w:hAnsi="Arial"/>
          <w:b/>
          <w:sz w:val="28"/>
        </w:rPr>
        <w:t>Revision History</w:t>
      </w:r>
    </w:p>
    <w:p w:rsidR="00A36233" w:rsidRPr="00A36233" w:rsidRDefault="00A36233" w:rsidP="00A36233">
      <w:pPr>
        <w:ind w:left="720"/>
        <w:rPr>
          <w:rFonts w:ascii="Arial" w:hAnsi="Arial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4717"/>
      </w:tblGrid>
      <w:tr w:rsidR="00A36233" w:rsidRPr="00E54C04" w:rsidTr="00AF37BD">
        <w:trPr>
          <w:jc w:val="center"/>
        </w:trPr>
        <w:tc>
          <w:tcPr>
            <w:tcW w:w="2558" w:type="dxa"/>
            <w:shd w:val="clear" w:color="auto" w:fill="BFBFBF"/>
          </w:tcPr>
          <w:p w:rsidR="00A36233" w:rsidRPr="00E54C04" w:rsidRDefault="00A36233" w:rsidP="00033600">
            <w:pPr>
              <w:jc w:val="center"/>
              <w:rPr>
                <w:rFonts w:ascii="Arial" w:hAnsi="Arial"/>
                <w:b/>
                <w:sz w:val="22"/>
              </w:rPr>
            </w:pPr>
            <w:r w:rsidRPr="00E54C04">
              <w:rPr>
                <w:rFonts w:ascii="Arial" w:hAnsi="Arial"/>
                <w:b/>
                <w:sz w:val="22"/>
              </w:rPr>
              <w:t>Revision Date</w:t>
            </w:r>
          </w:p>
        </w:tc>
        <w:tc>
          <w:tcPr>
            <w:tcW w:w="4717" w:type="dxa"/>
            <w:shd w:val="clear" w:color="auto" w:fill="BFBFBF"/>
          </w:tcPr>
          <w:p w:rsidR="00A36233" w:rsidRPr="00E54C04" w:rsidRDefault="00A36233" w:rsidP="00033600">
            <w:pPr>
              <w:jc w:val="center"/>
              <w:rPr>
                <w:rFonts w:ascii="Arial" w:hAnsi="Arial"/>
                <w:b/>
                <w:sz w:val="22"/>
              </w:rPr>
            </w:pPr>
            <w:r w:rsidRPr="00E54C04">
              <w:rPr>
                <w:rFonts w:ascii="Arial" w:hAnsi="Arial"/>
                <w:b/>
                <w:sz w:val="22"/>
              </w:rPr>
              <w:t>Summary of Revision</w:t>
            </w:r>
          </w:p>
        </w:tc>
      </w:tr>
      <w:tr w:rsidR="00A36233" w:rsidRPr="00E54C04" w:rsidTr="00AF37BD">
        <w:trPr>
          <w:jc w:val="center"/>
        </w:trPr>
        <w:tc>
          <w:tcPr>
            <w:tcW w:w="2558" w:type="dxa"/>
            <w:shd w:val="clear" w:color="auto" w:fill="auto"/>
          </w:tcPr>
          <w:p w:rsidR="00A36233" w:rsidRPr="00033600" w:rsidRDefault="00033600" w:rsidP="00F63A3E">
            <w:pPr>
              <w:rPr>
                <w:rFonts w:ascii="Arial" w:hAnsi="Arial"/>
                <w:sz w:val="28"/>
              </w:rPr>
            </w:pPr>
            <w:r w:rsidRPr="00033600">
              <w:rPr>
                <w:rFonts w:ascii="Arial" w:hAnsi="Arial"/>
                <w:sz w:val="22"/>
              </w:rPr>
              <w:t>December</w:t>
            </w:r>
            <w:r>
              <w:rPr>
                <w:rFonts w:ascii="Arial" w:hAnsi="Arial"/>
                <w:sz w:val="22"/>
              </w:rPr>
              <w:t xml:space="preserve"> 1, 2014</w:t>
            </w:r>
          </w:p>
        </w:tc>
        <w:tc>
          <w:tcPr>
            <w:tcW w:w="4717" w:type="dxa"/>
            <w:shd w:val="clear" w:color="auto" w:fill="auto"/>
          </w:tcPr>
          <w:p w:rsidR="00A36233" w:rsidRDefault="00033600" w:rsidP="00E54C04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033600" w:rsidRDefault="00033600" w:rsidP="00E54C04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Revised wording of section 1.0 </w:t>
            </w:r>
          </w:p>
          <w:p w:rsidR="00033600" w:rsidRDefault="00033600" w:rsidP="00A74C58">
            <w:pPr>
              <w:numPr>
                <w:ilvl w:val="0"/>
                <w:numId w:val="19"/>
              </w:numPr>
              <w:tabs>
                <w:tab w:val="left" w:pos="143"/>
              </w:tabs>
              <w:ind w:left="143" w:hanging="14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Added section 2.0</w:t>
            </w:r>
          </w:p>
          <w:p w:rsidR="00033600" w:rsidRDefault="00033600" w:rsidP="00A74C58">
            <w:pPr>
              <w:numPr>
                <w:ilvl w:val="0"/>
                <w:numId w:val="19"/>
              </w:numPr>
              <w:ind w:left="143" w:hanging="14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Revised </w:t>
            </w:r>
            <w:r w:rsidR="00A74C58">
              <w:rPr>
                <w:rFonts w:ascii="Arial" w:hAnsi="Arial"/>
                <w:sz w:val="22"/>
                <w:szCs w:val="22"/>
              </w:rPr>
              <w:t xml:space="preserve">and renumbered sections 5.0 &amp; </w:t>
            </w:r>
            <w:r>
              <w:rPr>
                <w:rFonts w:ascii="Arial" w:hAnsi="Arial"/>
                <w:sz w:val="22"/>
                <w:szCs w:val="22"/>
              </w:rPr>
              <w:t>6.0</w:t>
            </w:r>
          </w:p>
          <w:p w:rsidR="00A74C58" w:rsidRPr="00A74C58" w:rsidRDefault="00033600" w:rsidP="00A74C58">
            <w:pPr>
              <w:numPr>
                <w:ilvl w:val="0"/>
                <w:numId w:val="19"/>
              </w:numPr>
              <w:ind w:left="143" w:hanging="14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Updated </w:t>
            </w:r>
            <w:r w:rsidR="00A74C58">
              <w:rPr>
                <w:rFonts w:ascii="Arial" w:hAnsi="Arial"/>
                <w:sz w:val="22"/>
                <w:szCs w:val="22"/>
              </w:rPr>
              <w:t>list of reference to include most recent editions</w:t>
            </w:r>
          </w:p>
        </w:tc>
      </w:tr>
      <w:tr w:rsidR="0000297E" w:rsidRPr="00E54C04" w:rsidTr="00AF37BD">
        <w:trPr>
          <w:jc w:val="center"/>
        </w:trPr>
        <w:tc>
          <w:tcPr>
            <w:tcW w:w="2558" w:type="dxa"/>
            <w:shd w:val="clear" w:color="auto" w:fill="auto"/>
          </w:tcPr>
          <w:p w:rsidR="0000297E" w:rsidRPr="00033600" w:rsidRDefault="0000297E" w:rsidP="00F63A3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4, 2015</w:t>
            </w:r>
          </w:p>
        </w:tc>
        <w:tc>
          <w:tcPr>
            <w:tcW w:w="4717" w:type="dxa"/>
            <w:shd w:val="clear" w:color="auto" w:fill="auto"/>
          </w:tcPr>
          <w:p w:rsidR="0000297E" w:rsidRDefault="0000297E" w:rsidP="00E54C04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wording of principle</w:t>
            </w:r>
          </w:p>
        </w:tc>
      </w:tr>
    </w:tbl>
    <w:p w:rsidR="008E6598" w:rsidRPr="00F63A3E" w:rsidRDefault="008E6598" w:rsidP="00F63A3E">
      <w:pPr>
        <w:ind w:left="1713"/>
        <w:rPr>
          <w:rFonts w:ascii="Arial" w:hAnsi="Arial"/>
          <w:b/>
          <w:sz w:val="28"/>
        </w:rPr>
      </w:pPr>
    </w:p>
    <w:sectPr w:rsidR="008E6598" w:rsidRPr="00F63A3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4AF" w:rsidRDefault="004604AF">
      <w:r>
        <w:separator/>
      </w:r>
    </w:p>
  </w:endnote>
  <w:endnote w:type="continuationSeparator" w:id="0">
    <w:p w:rsidR="004604AF" w:rsidRDefault="0046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7E7AC9">
      <w:trPr>
        <w:trHeight w:val="720"/>
      </w:trPr>
      <w:tc>
        <w:tcPr>
          <w:tcW w:w="1368" w:type="dxa"/>
        </w:tcPr>
        <w:p w:rsidR="007E7AC9" w:rsidRDefault="007E7AC9">
          <w:pPr>
            <w:pStyle w:val="Footer"/>
            <w:jc w:val="center"/>
            <w:rPr>
              <w:sz w:val="8"/>
            </w:rPr>
          </w:pPr>
        </w:p>
        <w:p w:rsidR="007E7AC9" w:rsidRDefault="00711868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7E7AC9" w:rsidRDefault="007E7AC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7E7AC9" w:rsidRDefault="007E7AC9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7E7AC9" w:rsidRDefault="00C0474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7E7AC9">
            <w:rPr>
              <w:rFonts w:ascii="Arial" w:hAnsi="Arial"/>
              <w:sz w:val="18"/>
            </w:rPr>
            <w:t xml:space="preserve"> Manual</w:t>
          </w:r>
        </w:p>
        <w:p w:rsidR="007E7AC9" w:rsidRDefault="007E7AC9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7E7AC9" w:rsidRDefault="007E7AC9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7E7AC9" w:rsidRDefault="007E7AC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RP.002</w:t>
          </w:r>
          <w:r>
            <w:rPr>
              <w:rFonts w:ascii="Arial" w:hAnsi="Arial"/>
              <w:sz w:val="18"/>
            </w:rPr>
            <w:br/>
          </w:r>
        </w:p>
        <w:p w:rsidR="007E7AC9" w:rsidRDefault="007E7AC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839B3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839B3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7E7AC9" w:rsidRDefault="007E7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7E7AC9">
      <w:trPr>
        <w:trHeight w:val="720"/>
      </w:trPr>
      <w:tc>
        <w:tcPr>
          <w:tcW w:w="1368" w:type="dxa"/>
        </w:tcPr>
        <w:p w:rsidR="007E7AC9" w:rsidRDefault="007E7AC9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7E7AC9" w:rsidRDefault="00711868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7E7AC9" w:rsidRDefault="007E7AC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7E7AC9" w:rsidRDefault="007E7AC9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7E7AC9" w:rsidRDefault="00C0474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7E7AC9">
            <w:rPr>
              <w:rFonts w:ascii="Arial" w:hAnsi="Arial"/>
              <w:sz w:val="18"/>
            </w:rPr>
            <w:t xml:space="preserve"> Manual</w:t>
          </w:r>
        </w:p>
        <w:p w:rsidR="007E7AC9" w:rsidRDefault="007E7AC9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7E7AC9" w:rsidRDefault="007E7AC9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7E7AC9" w:rsidRDefault="007E7AC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RP.002</w:t>
          </w:r>
          <w:r>
            <w:rPr>
              <w:rFonts w:ascii="Arial" w:hAnsi="Arial"/>
              <w:sz w:val="18"/>
            </w:rPr>
            <w:br/>
          </w:r>
        </w:p>
        <w:p w:rsidR="007E7AC9" w:rsidRDefault="007E7AC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839B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8839B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7E7AC9" w:rsidRDefault="007E7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4AF" w:rsidRDefault="004604AF">
      <w:r>
        <w:separator/>
      </w:r>
    </w:p>
  </w:footnote>
  <w:footnote w:type="continuationSeparator" w:id="0">
    <w:p w:rsidR="004604AF" w:rsidRDefault="0046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AC9" w:rsidRDefault="007E7AC9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Preparation of IgG Reagent Ch</w:t>
    </w:r>
    <w:r w:rsidR="00C04743">
      <w:rPr>
        <w:rFonts w:ascii="Arial" w:hAnsi="Arial"/>
        <w:b/>
        <w:sz w:val="28"/>
      </w:rPr>
      <w:t>eck Cells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223" w:rsidRDefault="00711868" w:rsidP="00135223">
    <w:pPr>
      <w:pStyle w:val="Header"/>
      <w:tabs>
        <w:tab w:val="clear" w:pos="8640"/>
        <w:tab w:val="left" w:pos="4783"/>
      </w:tabs>
    </w:pPr>
    <w:r>
      <w:rPr>
        <w:noProof/>
      </w:rPr>
      <w:drawing>
        <wp:inline distT="0" distB="0" distL="0" distR="0">
          <wp:extent cx="1323975" cy="5334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223" w:rsidRDefault="00135223" w:rsidP="00135223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135223" w:rsidRPr="008A0E8F" w:rsidRDefault="00135223" w:rsidP="00135223">
    <w:pPr>
      <w:pStyle w:val="Header"/>
      <w:jc w:val="center"/>
      <w:rPr>
        <w:rFonts w:ascii="Arial" w:hAnsi="Arial" w:cs="Arial"/>
        <w:b/>
        <w:bCs/>
        <w:sz w:val="22"/>
        <w:szCs w:val="28"/>
      </w:rPr>
    </w:pPr>
    <w:r w:rsidRPr="008A0E8F">
      <w:rPr>
        <w:rFonts w:ascii="Arial" w:hAnsi="Arial" w:cs="Arial"/>
        <w:b/>
        <w:bCs/>
        <w:sz w:val="22"/>
        <w:szCs w:val="28"/>
      </w:rPr>
      <w:t>Ontario Regional Blood Coordinating Network</w:t>
    </w:r>
  </w:p>
  <w:p w:rsidR="00135223" w:rsidRPr="008A0E8F" w:rsidRDefault="00135223" w:rsidP="00135223">
    <w:pPr>
      <w:pStyle w:val="Header"/>
      <w:jc w:val="center"/>
      <w:rPr>
        <w:rFonts w:ascii="Arial" w:hAnsi="Arial" w:cs="Arial"/>
        <w:b/>
        <w:bCs/>
        <w:sz w:val="22"/>
        <w:szCs w:val="28"/>
      </w:rPr>
    </w:pPr>
    <w:r w:rsidRPr="008A0E8F">
      <w:rPr>
        <w:rFonts w:ascii="Arial" w:hAnsi="Arial" w:cs="Arial"/>
        <w:b/>
        <w:bCs/>
        <w:sz w:val="22"/>
        <w:szCs w:val="28"/>
      </w:rPr>
      <w:t>Transfusion Technical Resource Manual</w:t>
    </w:r>
  </w:p>
  <w:p w:rsidR="007E7AC9" w:rsidRDefault="007E7AC9">
    <w:pPr>
      <w:pStyle w:val="Header"/>
      <w:jc w:val="center"/>
      <w:rPr>
        <w:rFonts w:ascii="Arial" w:hAnsi="Arial"/>
        <w:b/>
        <w:sz w:val="28"/>
      </w:rPr>
    </w:pPr>
  </w:p>
  <w:p w:rsidR="007E7AC9" w:rsidRDefault="007E7AC9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Preparation of IgG Reagent Check Cells</w:t>
    </w:r>
  </w:p>
  <w:p w:rsidR="007E7AC9" w:rsidRDefault="007E7AC9">
    <w:pPr>
      <w:pStyle w:val="Header"/>
      <w:jc w:val="center"/>
      <w:rPr>
        <w:rFonts w:ascii="Arial" w:hAnsi="Arial"/>
        <w:b/>
        <w:spacing w:val="-2"/>
        <w:sz w:val="28"/>
        <w:lang w:val="en-GB"/>
      </w:rPr>
    </w:pPr>
  </w:p>
  <w:p w:rsidR="007E7AC9" w:rsidRDefault="007E7AC9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71186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C93F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01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LE2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66HNNR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0"/>
      <w:gridCol w:w="4320"/>
    </w:tblGrid>
    <w:tr w:rsidR="007E7AC9">
      <w:tc>
        <w:tcPr>
          <w:tcW w:w="4428" w:type="dxa"/>
        </w:tcPr>
        <w:p w:rsidR="007E7AC9" w:rsidRDefault="007E7AC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7E7AC9" w:rsidRDefault="007E7AC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RP.002</w:t>
          </w:r>
        </w:p>
      </w:tc>
    </w:tr>
    <w:tr w:rsidR="007E7AC9">
      <w:tc>
        <w:tcPr>
          <w:tcW w:w="4428" w:type="dxa"/>
        </w:tcPr>
        <w:p w:rsidR="007E7AC9" w:rsidRDefault="007E7AC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Date Issued:  </w:t>
          </w:r>
        </w:p>
      </w:tc>
      <w:tc>
        <w:tcPr>
          <w:tcW w:w="4428" w:type="dxa"/>
        </w:tcPr>
        <w:p w:rsidR="007E7AC9" w:rsidRDefault="007E7AC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Reagent Preparation</w:t>
          </w:r>
        </w:p>
      </w:tc>
    </w:tr>
    <w:tr w:rsidR="007E7AC9">
      <w:tc>
        <w:tcPr>
          <w:tcW w:w="4428" w:type="dxa"/>
        </w:tcPr>
        <w:p w:rsidR="007E7AC9" w:rsidRDefault="007E7AC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2009/09/01</w:t>
          </w:r>
          <w:r w:rsidR="00135223">
            <w:rPr>
              <w:rFonts w:ascii="Arial" w:hAnsi="Arial" w:cs="Arial"/>
            </w:rPr>
            <w:t>; 2014/</w:t>
          </w:r>
          <w:r w:rsidR="0000297E">
            <w:rPr>
              <w:rFonts w:ascii="Arial" w:hAnsi="Arial" w:cs="Arial"/>
            </w:rPr>
            <w:t>12</w:t>
          </w:r>
          <w:r w:rsidR="00135223">
            <w:rPr>
              <w:rFonts w:ascii="Arial" w:hAnsi="Arial" w:cs="Arial"/>
            </w:rPr>
            <w:t>/01</w:t>
          </w:r>
          <w:r w:rsidR="0000297E">
            <w:rPr>
              <w:rFonts w:ascii="Arial" w:hAnsi="Arial" w:cs="Arial"/>
            </w:rPr>
            <w:t>; 2015/09/04</w:t>
          </w:r>
        </w:p>
      </w:tc>
      <w:tc>
        <w:tcPr>
          <w:tcW w:w="4428" w:type="dxa"/>
        </w:tcPr>
        <w:p w:rsidR="007E7AC9" w:rsidRDefault="007E7AC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8839B3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8839B3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7E7AC9" w:rsidRDefault="00711868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05E8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0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GLgvTM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7E7AC9">
      <w:rPr>
        <w:rFonts w:ascii="Arial" w:hAnsi="Arial" w:cs="Arial"/>
      </w:rPr>
      <w:tab/>
    </w:r>
  </w:p>
  <w:p w:rsidR="007E7AC9" w:rsidRDefault="007E7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240671"/>
    <w:multiLevelType w:val="hybridMultilevel"/>
    <w:tmpl w:val="A1B0514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18041B"/>
    <w:multiLevelType w:val="multilevel"/>
    <w:tmpl w:val="0640FD9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F153EA"/>
    <w:multiLevelType w:val="multilevel"/>
    <w:tmpl w:val="0640FD9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C9D6B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9F30A7"/>
    <w:multiLevelType w:val="multilevel"/>
    <w:tmpl w:val="4DDAFF9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2CA5E5F"/>
    <w:multiLevelType w:val="multilevel"/>
    <w:tmpl w:val="0640FD9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5F2708C"/>
    <w:multiLevelType w:val="multilevel"/>
    <w:tmpl w:val="0640FD9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9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34567BF1"/>
    <w:multiLevelType w:val="multilevel"/>
    <w:tmpl w:val="0640FD9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8AA0825"/>
    <w:multiLevelType w:val="multilevel"/>
    <w:tmpl w:val="0640FD9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50A5110"/>
    <w:multiLevelType w:val="multilevel"/>
    <w:tmpl w:val="0640FD9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B792486"/>
    <w:multiLevelType w:val="singleLevel"/>
    <w:tmpl w:val="CFD0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4C453C15"/>
    <w:multiLevelType w:val="hybridMultilevel"/>
    <w:tmpl w:val="9F14470E"/>
    <w:lvl w:ilvl="0" w:tplc="B4ACA78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8"/>
  </w:num>
  <w:num w:numId="5">
    <w:abstractNumId w:val="18"/>
  </w:num>
  <w:num w:numId="6">
    <w:abstractNumId w:val="17"/>
  </w:num>
  <w:num w:numId="7">
    <w:abstractNumId w:val="16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6"/>
  </w:num>
  <w:num w:numId="16">
    <w:abstractNumId w:val="2"/>
  </w:num>
  <w:num w:numId="17">
    <w:abstractNumId w:val="1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C9"/>
    <w:rsid w:val="0000297E"/>
    <w:rsid w:val="000070C8"/>
    <w:rsid w:val="00033600"/>
    <w:rsid w:val="00037274"/>
    <w:rsid w:val="00037FCF"/>
    <w:rsid w:val="00086B70"/>
    <w:rsid w:val="00095A64"/>
    <w:rsid w:val="000D4A7C"/>
    <w:rsid w:val="000E0477"/>
    <w:rsid w:val="00106CEA"/>
    <w:rsid w:val="00135223"/>
    <w:rsid w:val="00182964"/>
    <w:rsid w:val="001C22FC"/>
    <w:rsid w:val="00272593"/>
    <w:rsid w:val="002C0DD2"/>
    <w:rsid w:val="003324FF"/>
    <w:rsid w:val="003722F1"/>
    <w:rsid w:val="003931F5"/>
    <w:rsid w:val="003F5A9F"/>
    <w:rsid w:val="004604AF"/>
    <w:rsid w:val="00711868"/>
    <w:rsid w:val="007E7AC9"/>
    <w:rsid w:val="008646E2"/>
    <w:rsid w:val="008839B3"/>
    <w:rsid w:val="008B628B"/>
    <w:rsid w:val="008E6598"/>
    <w:rsid w:val="00A36233"/>
    <w:rsid w:val="00A74C58"/>
    <w:rsid w:val="00AF37BD"/>
    <w:rsid w:val="00B13319"/>
    <w:rsid w:val="00BA49DF"/>
    <w:rsid w:val="00BB7337"/>
    <w:rsid w:val="00C04743"/>
    <w:rsid w:val="00C60067"/>
    <w:rsid w:val="00CD0D60"/>
    <w:rsid w:val="00D538FC"/>
    <w:rsid w:val="00D643B3"/>
    <w:rsid w:val="00D746D4"/>
    <w:rsid w:val="00DE162D"/>
    <w:rsid w:val="00E1275E"/>
    <w:rsid w:val="00E4001A"/>
    <w:rsid w:val="00E54C04"/>
    <w:rsid w:val="00E67D78"/>
    <w:rsid w:val="00EC7764"/>
    <w:rsid w:val="00EF19F4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3F98C-BE27-42D7-9AAD-D8288D92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28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135223"/>
  </w:style>
  <w:style w:type="character" w:styleId="Hyperlink">
    <w:name w:val="Hyperlink"/>
    <w:uiPriority w:val="99"/>
    <w:unhideWhenUsed/>
    <w:rsid w:val="008E65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233"/>
    <w:pPr>
      <w:ind w:left="720"/>
    </w:pPr>
  </w:style>
  <w:style w:type="table" w:styleId="TableGrid">
    <w:name w:val="Table Grid"/>
    <w:basedOn w:val="TableNormal"/>
    <w:uiPriority w:val="59"/>
    <w:rsid w:val="00A36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mi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RP.002 Preparation of IgG Reagent Check Cells (Coombs Control Cells)</vt:lpstr>
    </vt:vector>
  </TitlesOfParts>
  <Company>Hewlett-Packard Company</Company>
  <LinksUpToDate>false</LinksUpToDate>
  <CharactersWithSpaces>3214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http://www.whmis.ca/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RP.002 Preparation of IgG Reagent Check Cells (Coombs Control Cells)</dc:title>
  <dc:subject/>
  <dc:creator>Transfusion Ontario Program Office</dc:creator>
  <cp:keywords/>
  <cp:lastModifiedBy>Nesrallah, Heather</cp:lastModifiedBy>
  <cp:revision>2</cp:revision>
  <cp:lastPrinted>2015-07-06T18:40:00Z</cp:lastPrinted>
  <dcterms:created xsi:type="dcterms:W3CDTF">2020-08-11T20:12:00Z</dcterms:created>
  <dcterms:modified xsi:type="dcterms:W3CDTF">2020-08-11T20:12:00Z</dcterms:modified>
</cp:coreProperties>
</file>