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20" w:rsidRPr="00422AF9" w:rsidRDefault="00C916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422AF9">
        <w:rPr>
          <w:rFonts w:ascii="Arial" w:hAnsi="Arial"/>
          <w:b/>
          <w:sz w:val="28"/>
          <w:lang w:val="fr-CA"/>
        </w:rPr>
        <w:t>Principe</w:t>
      </w:r>
    </w:p>
    <w:p w:rsidR="00C91620" w:rsidRPr="00422AF9" w:rsidRDefault="00C91620">
      <w:pPr>
        <w:spacing w:line="228" w:lineRule="auto"/>
        <w:rPr>
          <w:rFonts w:ascii="Arial" w:hAnsi="Arial"/>
          <w:b/>
          <w:sz w:val="24"/>
          <w:lang w:val="fr-CA"/>
        </w:rPr>
      </w:pPr>
    </w:p>
    <w:p w:rsidR="00C91620" w:rsidRPr="00422AF9" w:rsidRDefault="00E9235E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22AF9">
        <w:rPr>
          <w:rFonts w:ascii="Arial" w:hAnsi="Arial"/>
          <w:sz w:val="24"/>
          <w:lang w:val="fr-CA"/>
        </w:rPr>
        <w:t xml:space="preserve">Lors d’une agglutination spontanée des </w:t>
      </w:r>
      <w:r w:rsidR="00B82D7C" w:rsidRPr="00422AF9">
        <w:rPr>
          <w:rFonts w:ascii="Arial" w:hAnsi="Arial"/>
          <w:sz w:val="24"/>
          <w:lang w:val="fr-CA"/>
        </w:rPr>
        <w:t>globules</w:t>
      </w:r>
      <w:r w:rsidRPr="00422AF9">
        <w:rPr>
          <w:rFonts w:ascii="Arial" w:hAnsi="Arial"/>
          <w:sz w:val="24"/>
          <w:lang w:val="fr-CA"/>
        </w:rPr>
        <w:t xml:space="preserve"> rouges en raison d’</w:t>
      </w:r>
      <w:r w:rsidR="00422AF9">
        <w:rPr>
          <w:rFonts w:ascii="Arial" w:hAnsi="Arial"/>
          <w:sz w:val="24"/>
          <w:lang w:val="fr-CA"/>
        </w:rPr>
        <w:t xml:space="preserve">anticorps </w:t>
      </w:r>
      <w:r w:rsidRPr="00422AF9">
        <w:rPr>
          <w:rFonts w:ascii="Arial" w:hAnsi="Arial"/>
          <w:sz w:val="24"/>
          <w:lang w:val="fr-CA"/>
        </w:rPr>
        <w:t>IgM lié</w:t>
      </w:r>
      <w:r w:rsidR="00422AF9">
        <w:rPr>
          <w:rFonts w:ascii="Arial" w:hAnsi="Arial"/>
          <w:sz w:val="24"/>
          <w:lang w:val="fr-CA"/>
        </w:rPr>
        <w:t>s</w:t>
      </w:r>
      <w:r w:rsidRPr="00422AF9">
        <w:rPr>
          <w:rFonts w:ascii="Arial" w:hAnsi="Arial"/>
          <w:sz w:val="24"/>
          <w:lang w:val="fr-CA"/>
        </w:rPr>
        <w:t xml:space="preserve"> aux cellules</w:t>
      </w:r>
      <w:r w:rsidR="00422AF9" w:rsidRPr="00422AF9">
        <w:rPr>
          <w:rFonts w:ascii="Arial" w:hAnsi="Arial"/>
          <w:sz w:val="24"/>
          <w:lang w:val="fr-CA"/>
        </w:rPr>
        <w:t xml:space="preserve">, on peut dissocier les </w:t>
      </w:r>
      <w:r w:rsidRPr="00422AF9">
        <w:rPr>
          <w:rFonts w:ascii="Arial" w:hAnsi="Arial"/>
          <w:sz w:val="24"/>
          <w:lang w:val="fr-CA"/>
        </w:rPr>
        <w:t>molécules d’</w:t>
      </w:r>
      <w:r w:rsidR="00C91620" w:rsidRPr="00422AF9">
        <w:rPr>
          <w:rFonts w:ascii="Arial" w:hAnsi="Arial"/>
          <w:sz w:val="24"/>
          <w:lang w:val="fr-CA"/>
        </w:rPr>
        <w:t xml:space="preserve">IgM </w:t>
      </w:r>
      <w:r w:rsidR="00422AF9" w:rsidRPr="00422AF9">
        <w:rPr>
          <w:rFonts w:ascii="Arial" w:hAnsi="Arial"/>
          <w:sz w:val="24"/>
          <w:lang w:val="fr-CA"/>
        </w:rPr>
        <w:t xml:space="preserve">à l’aide de réactifs thiol, notamment le </w:t>
      </w:r>
      <w:proofErr w:type="spellStart"/>
      <w:r w:rsidR="00422AF9" w:rsidRPr="00422AF9">
        <w:rPr>
          <w:rFonts w:ascii="Arial" w:hAnsi="Arial"/>
          <w:sz w:val="24"/>
          <w:lang w:val="fr-CA"/>
        </w:rPr>
        <w:t>d</w:t>
      </w:r>
      <w:r w:rsidR="00C91620" w:rsidRPr="00422AF9">
        <w:rPr>
          <w:rFonts w:ascii="Arial" w:hAnsi="Arial"/>
          <w:sz w:val="24"/>
          <w:lang w:val="fr-CA"/>
        </w:rPr>
        <w:t>ithiothr</w:t>
      </w:r>
      <w:r w:rsidR="00422AF9" w:rsidRPr="00422AF9">
        <w:rPr>
          <w:rFonts w:ascii="Arial" w:hAnsi="Arial"/>
          <w:sz w:val="24"/>
          <w:lang w:val="fr-CA"/>
        </w:rPr>
        <w:t>é</w:t>
      </w:r>
      <w:r w:rsidR="00C91620" w:rsidRPr="00422AF9">
        <w:rPr>
          <w:rFonts w:ascii="Arial" w:hAnsi="Arial"/>
          <w:sz w:val="24"/>
          <w:lang w:val="fr-CA"/>
        </w:rPr>
        <w:t>itol</w:t>
      </w:r>
      <w:proofErr w:type="spellEnd"/>
      <w:r w:rsidR="00C91620" w:rsidRPr="00422AF9">
        <w:rPr>
          <w:rFonts w:ascii="Arial" w:hAnsi="Arial"/>
          <w:sz w:val="24"/>
          <w:lang w:val="fr-CA"/>
        </w:rPr>
        <w:t xml:space="preserve"> (DTT), </w:t>
      </w:r>
      <w:r w:rsidR="00422AF9" w:rsidRPr="00422AF9">
        <w:rPr>
          <w:rFonts w:ascii="Arial" w:hAnsi="Arial"/>
          <w:sz w:val="24"/>
          <w:lang w:val="fr-CA"/>
        </w:rPr>
        <w:t xml:space="preserve">pour obtenir des globules rouges non agglutinés qui conviennent à un groupage ABO, à une détermination du facteur </w:t>
      </w:r>
      <w:r w:rsidR="00C91620" w:rsidRPr="00422AF9">
        <w:rPr>
          <w:rFonts w:ascii="Arial" w:hAnsi="Arial"/>
          <w:sz w:val="24"/>
          <w:lang w:val="fr-CA"/>
        </w:rPr>
        <w:t xml:space="preserve">Rh </w:t>
      </w:r>
      <w:r w:rsidR="00422AF9" w:rsidRPr="00422AF9">
        <w:rPr>
          <w:rFonts w:ascii="Arial" w:hAnsi="Arial"/>
          <w:sz w:val="24"/>
          <w:lang w:val="fr-CA"/>
        </w:rPr>
        <w:t>et au dépistage d’</w:t>
      </w:r>
      <w:r w:rsidR="00C91620" w:rsidRPr="00422AF9">
        <w:rPr>
          <w:rFonts w:ascii="Arial" w:hAnsi="Arial"/>
          <w:sz w:val="24"/>
          <w:lang w:val="fr-CA"/>
        </w:rPr>
        <w:t xml:space="preserve">IgG </w:t>
      </w:r>
      <w:r w:rsidR="00422AF9" w:rsidRPr="00422AF9">
        <w:rPr>
          <w:rFonts w:ascii="Arial" w:hAnsi="Arial"/>
          <w:sz w:val="24"/>
          <w:lang w:val="fr-CA"/>
        </w:rPr>
        <w:t xml:space="preserve">et de </w:t>
      </w:r>
      <w:r w:rsidR="00C91620" w:rsidRPr="00422AF9">
        <w:rPr>
          <w:rFonts w:ascii="Arial" w:hAnsi="Arial"/>
          <w:sz w:val="24"/>
          <w:lang w:val="fr-CA"/>
        </w:rPr>
        <w:t xml:space="preserve">C3 </w:t>
      </w:r>
      <w:r w:rsidR="00422AF9" w:rsidRPr="00422AF9">
        <w:rPr>
          <w:rFonts w:ascii="Arial" w:hAnsi="Arial"/>
          <w:sz w:val="24"/>
          <w:lang w:val="fr-CA"/>
        </w:rPr>
        <w:t>par test direct à l’</w:t>
      </w:r>
      <w:proofErr w:type="spellStart"/>
      <w:r w:rsidR="00C91620" w:rsidRPr="00422AF9">
        <w:rPr>
          <w:rFonts w:ascii="Arial" w:hAnsi="Arial"/>
          <w:sz w:val="24"/>
          <w:lang w:val="fr-CA"/>
        </w:rPr>
        <w:t>antiglobulin</w:t>
      </w:r>
      <w:r w:rsidR="00422AF9" w:rsidRPr="00422AF9">
        <w:rPr>
          <w:rFonts w:ascii="Arial" w:hAnsi="Arial"/>
          <w:sz w:val="24"/>
          <w:lang w:val="fr-CA"/>
        </w:rPr>
        <w:t>e</w:t>
      </w:r>
      <w:proofErr w:type="spellEnd"/>
      <w:r w:rsidR="00422AF9" w:rsidRPr="00422AF9">
        <w:rPr>
          <w:rFonts w:ascii="Arial" w:hAnsi="Arial"/>
          <w:sz w:val="24"/>
          <w:lang w:val="fr-CA"/>
        </w:rPr>
        <w:t>.</w:t>
      </w:r>
    </w:p>
    <w:p w:rsidR="00C91620" w:rsidRPr="00480876" w:rsidRDefault="00C91620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C91620" w:rsidRPr="00E9235E" w:rsidRDefault="00480876" w:rsidP="00480876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E9235E">
        <w:rPr>
          <w:rFonts w:ascii="Arial" w:hAnsi="Arial"/>
          <w:b/>
          <w:sz w:val="28"/>
          <w:lang w:val="fr-CA"/>
        </w:rPr>
        <w:t>Portée et politiques connexes</w:t>
      </w:r>
    </w:p>
    <w:p w:rsidR="00C91620" w:rsidRPr="00E9235E" w:rsidRDefault="00C91620">
      <w:pPr>
        <w:spacing w:line="228" w:lineRule="auto"/>
        <w:rPr>
          <w:rFonts w:ascii="Arial" w:hAnsi="Arial"/>
          <w:b/>
          <w:sz w:val="24"/>
          <w:lang w:val="fr-CA"/>
        </w:rPr>
      </w:pPr>
    </w:p>
    <w:p w:rsidR="00C91620" w:rsidRPr="00E9235E" w:rsidRDefault="00E9235E">
      <w:pPr>
        <w:pStyle w:val="BodyTextIndent"/>
        <w:spacing w:line="228" w:lineRule="auto"/>
        <w:rPr>
          <w:sz w:val="24"/>
          <w:lang w:val="fr-CA"/>
        </w:rPr>
      </w:pPr>
      <w:r w:rsidRPr="00E9235E">
        <w:rPr>
          <w:sz w:val="24"/>
          <w:lang w:val="fr-CA"/>
        </w:rPr>
        <w:t xml:space="preserve">Un traitement par diphosphate de </w:t>
      </w:r>
      <w:r w:rsidR="00C91620" w:rsidRPr="00E9235E">
        <w:rPr>
          <w:sz w:val="24"/>
          <w:lang w:val="fr-CA"/>
        </w:rPr>
        <w:t xml:space="preserve">chloroquine </w:t>
      </w:r>
      <w:r w:rsidRPr="00E9235E">
        <w:rPr>
          <w:sz w:val="24"/>
          <w:lang w:val="fr-CA"/>
        </w:rPr>
        <w:t>plutôt que par DTT pourrait être plus efficace pour le groupage ABO et la détermination du facteur Rh, mais ne peut pas servir au dépistage d’</w:t>
      </w:r>
      <w:r w:rsidR="00C91620" w:rsidRPr="00E9235E">
        <w:rPr>
          <w:sz w:val="24"/>
          <w:lang w:val="fr-CA"/>
        </w:rPr>
        <w:t>IgG.</w:t>
      </w:r>
    </w:p>
    <w:p w:rsidR="00C91620" w:rsidRPr="00480876" w:rsidRDefault="00C91620">
      <w:pPr>
        <w:spacing w:line="228" w:lineRule="auto"/>
        <w:rPr>
          <w:rFonts w:ascii="Arial" w:hAnsi="Arial"/>
          <w:sz w:val="24"/>
          <w:lang w:val="fr-CA"/>
        </w:rPr>
      </w:pPr>
    </w:p>
    <w:p w:rsidR="00C91620" w:rsidRPr="00480876" w:rsidRDefault="00E9235E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Échantillon</w:t>
      </w:r>
    </w:p>
    <w:p w:rsidR="00C91620" w:rsidRPr="00480876" w:rsidRDefault="00C91620">
      <w:pPr>
        <w:spacing w:line="228" w:lineRule="auto"/>
        <w:rPr>
          <w:rFonts w:ascii="Arial" w:hAnsi="Arial"/>
          <w:sz w:val="24"/>
          <w:lang w:val="fr-CA"/>
        </w:rPr>
      </w:pPr>
    </w:p>
    <w:p w:rsidR="00C91620" w:rsidRPr="00480876" w:rsidRDefault="00E9235E">
      <w:pPr>
        <w:spacing w:line="228" w:lineRule="auto"/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Globules rouges lavés en suspension à </w:t>
      </w:r>
      <w:r w:rsidR="00C91620" w:rsidRPr="00480876">
        <w:rPr>
          <w:rFonts w:ascii="Arial" w:hAnsi="Arial"/>
          <w:sz w:val="24"/>
          <w:lang w:val="fr-CA"/>
        </w:rPr>
        <w:t>50</w:t>
      </w:r>
      <w:r>
        <w:rPr>
          <w:rFonts w:ascii="Arial" w:hAnsi="Arial"/>
          <w:sz w:val="24"/>
          <w:lang w:val="fr-CA"/>
        </w:rPr>
        <w:t> </w:t>
      </w:r>
      <w:r w:rsidR="00C91620" w:rsidRPr="00480876">
        <w:rPr>
          <w:rFonts w:ascii="Arial" w:hAnsi="Arial"/>
          <w:sz w:val="24"/>
          <w:lang w:val="fr-CA"/>
        </w:rPr>
        <w:t xml:space="preserve">% </w:t>
      </w:r>
      <w:r>
        <w:rPr>
          <w:rFonts w:ascii="Arial" w:hAnsi="Arial"/>
          <w:sz w:val="24"/>
          <w:lang w:val="fr-CA"/>
        </w:rPr>
        <w:t>dans une solution saline</w:t>
      </w:r>
      <w:r w:rsidR="00731462">
        <w:rPr>
          <w:rFonts w:ascii="Arial" w:hAnsi="Arial"/>
          <w:sz w:val="24"/>
          <w:lang w:val="fr-CA"/>
        </w:rPr>
        <w:t xml:space="preserve"> </w:t>
      </w:r>
      <w:proofErr w:type="gramStart"/>
      <w:r w:rsidR="00731462">
        <w:rPr>
          <w:rFonts w:ascii="Arial" w:hAnsi="Arial"/>
          <w:sz w:val="24"/>
          <w:lang w:val="fr-CA"/>
        </w:rPr>
        <w:t>normale</w:t>
      </w:r>
      <w:proofErr w:type="gramEnd"/>
    </w:p>
    <w:p w:rsidR="00C91620" w:rsidRPr="00480876" w:rsidRDefault="00C91620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C91620" w:rsidRPr="00480876" w:rsidRDefault="00C91620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480876">
        <w:rPr>
          <w:rFonts w:ascii="Arial" w:hAnsi="Arial"/>
          <w:b/>
          <w:sz w:val="28"/>
          <w:lang w:val="fr-CA"/>
        </w:rPr>
        <w:t>Mat</w:t>
      </w:r>
      <w:r w:rsidR="00E9235E">
        <w:rPr>
          <w:rFonts w:ascii="Arial" w:hAnsi="Arial"/>
          <w:b/>
          <w:sz w:val="28"/>
          <w:lang w:val="fr-CA"/>
        </w:rPr>
        <w:t>é</w:t>
      </w:r>
      <w:r w:rsidRPr="00480876">
        <w:rPr>
          <w:rFonts w:ascii="Arial" w:hAnsi="Arial"/>
          <w:b/>
          <w:sz w:val="28"/>
          <w:lang w:val="fr-CA"/>
        </w:rPr>
        <w:t>ri</w:t>
      </w:r>
      <w:r w:rsidR="00E9235E">
        <w:rPr>
          <w:rFonts w:ascii="Arial" w:hAnsi="Arial"/>
          <w:b/>
          <w:sz w:val="28"/>
          <w:lang w:val="fr-CA"/>
        </w:rPr>
        <w:t>e</w:t>
      </w:r>
      <w:r w:rsidRPr="00480876">
        <w:rPr>
          <w:rFonts w:ascii="Arial" w:hAnsi="Arial"/>
          <w:b/>
          <w:sz w:val="28"/>
          <w:lang w:val="fr-CA"/>
        </w:rPr>
        <w:t>l</w:t>
      </w:r>
    </w:p>
    <w:p w:rsidR="00C91620" w:rsidRPr="00480876" w:rsidRDefault="00C91620">
      <w:pPr>
        <w:spacing w:line="228" w:lineRule="auto"/>
        <w:rPr>
          <w:rFonts w:ascii="Arial" w:hAnsi="Arial"/>
          <w:sz w:val="24"/>
          <w:lang w:val="fr-CA"/>
        </w:rPr>
      </w:pPr>
    </w:p>
    <w:p w:rsidR="00C91620" w:rsidRPr="00422AF9" w:rsidRDefault="00480876" w:rsidP="00480876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22AF9">
        <w:rPr>
          <w:rFonts w:ascii="Arial" w:hAnsi="Arial"/>
          <w:b/>
          <w:sz w:val="24"/>
          <w:lang w:val="fr-CA"/>
        </w:rPr>
        <w:t>Équipement</w:t>
      </w:r>
      <w:r w:rsidRPr="00422AF9">
        <w:rPr>
          <w:rFonts w:ascii="Arial" w:hAnsi="Arial"/>
          <w:sz w:val="24"/>
          <w:lang w:val="fr-CA"/>
        </w:rPr>
        <w:t> :</w:t>
      </w:r>
      <w:r w:rsidRPr="00422AF9">
        <w:rPr>
          <w:rFonts w:ascii="Arial" w:hAnsi="Arial"/>
          <w:sz w:val="24"/>
          <w:lang w:val="fr-CA"/>
        </w:rPr>
        <w:tab/>
        <w:t>support à tubes</w:t>
      </w:r>
    </w:p>
    <w:p w:rsidR="00C91620" w:rsidRPr="00422AF9" w:rsidRDefault="00480876" w:rsidP="00480876">
      <w:pPr>
        <w:spacing w:line="228" w:lineRule="auto"/>
        <w:ind w:left="2880"/>
        <w:rPr>
          <w:rFonts w:ascii="Arial" w:hAnsi="Arial"/>
          <w:sz w:val="24"/>
          <w:lang w:val="fr-CA"/>
        </w:rPr>
      </w:pPr>
      <w:proofErr w:type="gramStart"/>
      <w:r w:rsidRPr="00422AF9">
        <w:rPr>
          <w:rFonts w:ascii="Arial" w:hAnsi="Arial"/>
          <w:sz w:val="24"/>
          <w:lang w:val="fr-CA"/>
        </w:rPr>
        <w:t>bain</w:t>
      </w:r>
      <w:proofErr w:type="gramEnd"/>
      <w:r w:rsidRPr="00422AF9">
        <w:rPr>
          <w:rFonts w:ascii="Arial" w:hAnsi="Arial"/>
          <w:sz w:val="24"/>
          <w:lang w:val="fr-CA"/>
        </w:rPr>
        <w:t>-marie/bloc chauffant à 37°C</w:t>
      </w:r>
    </w:p>
    <w:p w:rsidR="00C91620" w:rsidRPr="00480876" w:rsidRDefault="00C91620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</w:p>
    <w:p w:rsidR="00C91620" w:rsidRPr="00422AF9" w:rsidRDefault="00480876" w:rsidP="00480876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22AF9">
        <w:rPr>
          <w:rFonts w:ascii="Arial" w:hAnsi="Arial"/>
          <w:b/>
          <w:sz w:val="24"/>
          <w:lang w:val="fr-CA"/>
        </w:rPr>
        <w:t>Fournitures</w:t>
      </w:r>
      <w:r w:rsidRPr="00422AF9">
        <w:rPr>
          <w:rFonts w:ascii="Arial" w:hAnsi="Arial"/>
          <w:sz w:val="24"/>
          <w:lang w:val="fr-CA"/>
        </w:rPr>
        <w:t xml:space="preserve"> : </w:t>
      </w:r>
      <w:r w:rsidRPr="00422AF9">
        <w:rPr>
          <w:rFonts w:ascii="Arial" w:hAnsi="Arial"/>
          <w:sz w:val="24"/>
          <w:lang w:val="fr-CA"/>
        </w:rPr>
        <w:tab/>
        <w:t>tubes 10 x 75 mm</w:t>
      </w:r>
    </w:p>
    <w:p w:rsidR="00C91620" w:rsidRPr="00422AF9" w:rsidRDefault="00C91620" w:rsidP="00480876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proofErr w:type="gramStart"/>
      <w:r w:rsidR="00480876" w:rsidRPr="00422AF9">
        <w:rPr>
          <w:rFonts w:ascii="Arial" w:hAnsi="Arial"/>
          <w:sz w:val="24"/>
          <w:lang w:val="fr-CA"/>
        </w:rPr>
        <w:t>pipettes</w:t>
      </w:r>
      <w:proofErr w:type="gramEnd"/>
      <w:r w:rsidR="00480876" w:rsidRPr="00422AF9">
        <w:rPr>
          <w:rFonts w:ascii="Arial" w:hAnsi="Arial"/>
          <w:sz w:val="24"/>
          <w:lang w:val="fr-CA"/>
        </w:rPr>
        <w:t xml:space="preserve"> sérologiques</w:t>
      </w:r>
    </w:p>
    <w:p w:rsidR="00C91620" w:rsidRPr="00480876" w:rsidRDefault="00C91620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</w:p>
    <w:p w:rsidR="00C91620" w:rsidRPr="00422AF9" w:rsidRDefault="00480876" w:rsidP="00480876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22AF9">
        <w:rPr>
          <w:rFonts w:ascii="Arial" w:hAnsi="Arial"/>
          <w:b/>
          <w:sz w:val="24"/>
          <w:lang w:val="fr-CA"/>
        </w:rPr>
        <w:t>Réactifs</w:t>
      </w:r>
      <w:r w:rsidRPr="00422AF9">
        <w:rPr>
          <w:rFonts w:ascii="Arial" w:hAnsi="Arial"/>
          <w:sz w:val="24"/>
          <w:lang w:val="fr-CA"/>
        </w:rPr>
        <w:t> :</w:t>
      </w:r>
      <w:r w:rsidRPr="00422AF9">
        <w:rPr>
          <w:rFonts w:ascii="Arial" w:hAnsi="Arial"/>
          <w:sz w:val="24"/>
          <w:lang w:val="fr-CA"/>
        </w:rPr>
        <w:tab/>
      </w:r>
      <w:r w:rsidRPr="00422AF9">
        <w:rPr>
          <w:rFonts w:ascii="Arial" w:hAnsi="Arial"/>
          <w:sz w:val="24"/>
          <w:lang w:val="fr-CA"/>
        </w:rPr>
        <w:tab/>
        <w:t>solution saline</w:t>
      </w:r>
      <w:r w:rsidR="00731462">
        <w:rPr>
          <w:rFonts w:ascii="Arial" w:hAnsi="Arial"/>
          <w:sz w:val="24"/>
          <w:lang w:val="fr-CA"/>
        </w:rPr>
        <w:t xml:space="preserve"> </w:t>
      </w:r>
      <w:r w:rsidR="003708C0">
        <w:rPr>
          <w:rFonts w:ascii="Arial" w:hAnsi="Arial"/>
          <w:sz w:val="24"/>
          <w:lang w:val="fr-CA"/>
        </w:rPr>
        <w:t>à 0,9 %</w:t>
      </w:r>
    </w:p>
    <w:p w:rsidR="00C91620" w:rsidRPr="00422AF9" w:rsidRDefault="00C91620" w:rsidP="00480876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proofErr w:type="spellStart"/>
      <w:proofErr w:type="gramStart"/>
      <w:r w:rsidR="00E9235E">
        <w:rPr>
          <w:rFonts w:ascii="Arial" w:hAnsi="Arial"/>
          <w:sz w:val="24"/>
          <w:lang w:val="fr-CA"/>
        </w:rPr>
        <w:t>a</w:t>
      </w:r>
      <w:r w:rsidR="00480876" w:rsidRPr="00422AF9">
        <w:rPr>
          <w:rFonts w:ascii="Arial" w:hAnsi="Arial"/>
          <w:sz w:val="24"/>
          <w:lang w:val="fr-CA"/>
        </w:rPr>
        <w:t>nti</w:t>
      </w:r>
      <w:proofErr w:type="gramEnd"/>
      <w:r w:rsidR="00480876" w:rsidRPr="00422AF9">
        <w:rPr>
          <w:rFonts w:ascii="Arial" w:hAnsi="Arial"/>
          <w:sz w:val="24"/>
          <w:lang w:val="fr-CA"/>
        </w:rPr>
        <w:t>-IgG</w:t>
      </w:r>
      <w:proofErr w:type="spellEnd"/>
    </w:p>
    <w:p w:rsidR="00C91620" w:rsidRPr="00422AF9" w:rsidRDefault="00C91620" w:rsidP="00480876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r w:rsidRPr="00480876">
        <w:rPr>
          <w:rFonts w:ascii="Arial" w:hAnsi="Arial"/>
          <w:sz w:val="24"/>
          <w:lang w:val="fr-CA"/>
        </w:rPr>
        <w:tab/>
      </w:r>
      <w:proofErr w:type="gramStart"/>
      <w:r w:rsidR="00480876" w:rsidRPr="00422AF9">
        <w:rPr>
          <w:rFonts w:ascii="Arial" w:hAnsi="Arial"/>
          <w:sz w:val="24"/>
          <w:lang w:val="fr-CA"/>
        </w:rPr>
        <w:t>cellules</w:t>
      </w:r>
      <w:proofErr w:type="gramEnd"/>
      <w:r w:rsidR="00480876" w:rsidRPr="00422AF9">
        <w:rPr>
          <w:rFonts w:ascii="Arial" w:hAnsi="Arial"/>
          <w:sz w:val="24"/>
          <w:lang w:val="fr-CA"/>
        </w:rPr>
        <w:t xml:space="preserve"> recouvertes d</w:t>
      </w:r>
      <w:r w:rsidR="003708C0">
        <w:rPr>
          <w:rFonts w:ascii="Arial" w:hAnsi="Arial"/>
          <w:sz w:val="24"/>
          <w:lang w:val="fr-CA"/>
        </w:rPr>
        <w:t>’</w:t>
      </w:r>
      <w:r w:rsidR="00480876" w:rsidRPr="00422AF9">
        <w:rPr>
          <w:rFonts w:ascii="Arial" w:hAnsi="Arial"/>
          <w:sz w:val="24"/>
          <w:lang w:val="fr-CA"/>
        </w:rPr>
        <w:t>IgG</w:t>
      </w:r>
    </w:p>
    <w:p w:rsidR="00C91620" w:rsidRPr="00480876" w:rsidRDefault="00E9235E">
      <w:pPr>
        <w:spacing w:line="228" w:lineRule="auto"/>
        <w:ind w:left="2880"/>
        <w:rPr>
          <w:rFonts w:ascii="Arial" w:hAnsi="Arial"/>
          <w:sz w:val="24"/>
          <w:lang w:val="fr-CA"/>
        </w:rPr>
      </w:pPr>
      <w:proofErr w:type="gramStart"/>
      <w:r w:rsidRPr="00422AF9">
        <w:rPr>
          <w:rFonts w:ascii="Arial" w:hAnsi="Arial"/>
          <w:sz w:val="24"/>
          <w:lang w:val="fr-CA"/>
        </w:rPr>
        <w:t>albumine</w:t>
      </w:r>
      <w:proofErr w:type="gramEnd"/>
      <w:r w:rsidRPr="00422AF9">
        <w:rPr>
          <w:rFonts w:ascii="Arial" w:hAnsi="Arial"/>
          <w:sz w:val="24"/>
          <w:lang w:val="fr-CA"/>
        </w:rPr>
        <w:t xml:space="preserve"> bovine sérique</w:t>
      </w:r>
      <w:r w:rsidR="00C91620" w:rsidRPr="00422AF9">
        <w:rPr>
          <w:rFonts w:ascii="Arial" w:hAnsi="Arial"/>
          <w:sz w:val="24"/>
          <w:lang w:val="fr-CA"/>
        </w:rPr>
        <w:t xml:space="preserve"> (</w:t>
      </w:r>
      <w:r w:rsidRPr="00422AF9">
        <w:rPr>
          <w:rFonts w:ascii="Arial" w:hAnsi="Arial"/>
          <w:sz w:val="24"/>
          <w:lang w:val="fr-CA"/>
        </w:rPr>
        <w:t>A</w:t>
      </w:r>
      <w:r w:rsidR="00C91620" w:rsidRPr="00422AF9">
        <w:rPr>
          <w:rFonts w:ascii="Arial" w:hAnsi="Arial"/>
          <w:sz w:val="24"/>
          <w:lang w:val="fr-CA"/>
        </w:rPr>
        <w:t>BS</w:t>
      </w:r>
      <w:r w:rsidR="00C91620" w:rsidRPr="00480876">
        <w:rPr>
          <w:rFonts w:ascii="Arial" w:hAnsi="Arial"/>
          <w:sz w:val="24"/>
          <w:lang w:val="fr-CA"/>
        </w:rPr>
        <w:t xml:space="preserve">) </w:t>
      </w:r>
      <w:r>
        <w:rPr>
          <w:rFonts w:ascii="Arial" w:hAnsi="Arial"/>
          <w:sz w:val="24"/>
          <w:lang w:val="fr-CA"/>
        </w:rPr>
        <w:t xml:space="preserve">à </w:t>
      </w:r>
      <w:r w:rsidR="00C91620" w:rsidRPr="00480876">
        <w:rPr>
          <w:rFonts w:ascii="Arial" w:hAnsi="Arial"/>
          <w:sz w:val="24"/>
          <w:lang w:val="fr-CA"/>
        </w:rPr>
        <w:t>6</w:t>
      </w:r>
      <w:r>
        <w:rPr>
          <w:rFonts w:ascii="Arial" w:hAnsi="Arial"/>
          <w:sz w:val="24"/>
          <w:lang w:val="fr-CA"/>
        </w:rPr>
        <w:t> </w:t>
      </w:r>
      <w:r w:rsidR="00C91620" w:rsidRPr="00480876">
        <w:rPr>
          <w:rFonts w:ascii="Arial" w:hAnsi="Arial"/>
          <w:sz w:val="24"/>
          <w:lang w:val="fr-CA"/>
        </w:rPr>
        <w:t xml:space="preserve">% </w:t>
      </w:r>
      <w:r>
        <w:rPr>
          <w:rFonts w:ascii="Arial" w:hAnsi="Arial"/>
          <w:sz w:val="24"/>
          <w:lang w:val="fr-CA"/>
        </w:rPr>
        <w:t>pds</w:t>
      </w:r>
      <w:r w:rsidR="00C91620" w:rsidRPr="00480876">
        <w:rPr>
          <w:rFonts w:ascii="Arial" w:hAnsi="Arial"/>
          <w:sz w:val="24"/>
          <w:lang w:val="fr-CA"/>
        </w:rPr>
        <w:t xml:space="preserve">/vol </w:t>
      </w:r>
      <w:r>
        <w:rPr>
          <w:rFonts w:ascii="Arial" w:hAnsi="Arial"/>
          <w:sz w:val="24"/>
          <w:lang w:val="fr-CA"/>
        </w:rPr>
        <w:t>dans une STP</w:t>
      </w:r>
      <w:r w:rsidR="00C23E47">
        <w:rPr>
          <w:rFonts w:ascii="Arial" w:hAnsi="Arial"/>
          <w:sz w:val="24"/>
          <w:lang w:val="fr-CA"/>
        </w:rPr>
        <w:t>.</w:t>
      </w:r>
    </w:p>
    <w:p w:rsidR="00C91620" w:rsidRPr="00E9235E" w:rsidRDefault="00480876" w:rsidP="00480876">
      <w:pPr>
        <w:pStyle w:val="BodyText2"/>
        <w:spacing w:line="228" w:lineRule="auto"/>
        <w:ind w:left="2880"/>
        <w:rPr>
          <w:lang w:val="fr-CA"/>
        </w:rPr>
      </w:pPr>
      <w:r w:rsidRPr="00E9235E">
        <w:rPr>
          <w:lang w:val="fr-CA"/>
        </w:rPr>
        <w:lastRenderedPageBreak/>
        <w:t>DTT à 0,01 M (0,154</w:t>
      </w:r>
      <w:r w:rsidR="003708C0">
        <w:rPr>
          <w:lang w:val="fr-CA"/>
        </w:rPr>
        <w:t> </w:t>
      </w:r>
      <w:r w:rsidRPr="00E9235E">
        <w:rPr>
          <w:lang w:val="fr-CA"/>
        </w:rPr>
        <w:t>g</w:t>
      </w:r>
      <w:r w:rsidR="00B82D7C">
        <w:rPr>
          <w:lang w:val="fr-CA"/>
        </w:rPr>
        <w:t xml:space="preserve"> </w:t>
      </w:r>
      <w:r w:rsidRPr="00E9235E">
        <w:rPr>
          <w:lang w:val="fr-CA"/>
        </w:rPr>
        <w:t>de DTT dilué jusqu</w:t>
      </w:r>
      <w:r w:rsidR="003708C0">
        <w:rPr>
          <w:lang w:val="fr-CA"/>
        </w:rPr>
        <w:t>’</w:t>
      </w:r>
      <w:r w:rsidRPr="00E9235E">
        <w:rPr>
          <w:lang w:val="fr-CA"/>
        </w:rPr>
        <w:t>à 100 </w:t>
      </w:r>
      <w:proofErr w:type="spellStart"/>
      <w:r w:rsidRPr="00E9235E">
        <w:rPr>
          <w:lang w:val="fr-CA"/>
        </w:rPr>
        <w:t>mL</w:t>
      </w:r>
      <w:proofErr w:type="spellEnd"/>
      <w:r w:rsidRPr="00E9235E">
        <w:rPr>
          <w:lang w:val="fr-CA"/>
        </w:rPr>
        <w:t xml:space="preserve"> dans une solution saline.</w:t>
      </w:r>
      <w:r w:rsidR="00B82D7C">
        <w:rPr>
          <w:lang w:val="fr-CA"/>
        </w:rPr>
        <w:t xml:space="preserve"> </w:t>
      </w:r>
    </w:p>
    <w:p w:rsidR="00E9235E" w:rsidRPr="00E9235E" w:rsidRDefault="00480876" w:rsidP="00480876">
      <w:pPr>
        <w:pStyle w:val="BodyText2"/>
        <w:spacing w:line="228" w:lineRule="auto"/>
        <w:ind w:left="2880"/>
        <w:rPr>
          <w:lang w:val="fr-CA"/>
        </w:rPr>
      </w:pPr>
      <w:r w:rsidRPr="00E9235E">
        <w:rPr>
          <w:lang w:val="fr-CA"/>
        </w:rPr>
        <w:t>On peut aussi faire une dilution d’un volume de DTT à 0,1 M dans 10 volumes de solution saline (0,154</w:t>
      </w:r>
      <w:r w:rsidR="003708C0">
        <w:rPr>
          <w:lang w:val="fr-CA"/>
        </w:rPr>
        <w:t> </w:t>
      </w:r>
      <w:r w:rsidRPr="00E9235E">
        <w:rPr>
          <w:lang w:val="fr-CA"/>
        </w:rPr>
        <w:t>g DTT dans 10</w:t>
      </w:r>
      <w:r w:rsidR="003708C0">
        <w:rPr>
          <w:lang w:val="fr-CA"/>
        </w:rPr>
        <w:t> </w:t>
      </w:r>
      <w:r w:rsidRPr="00E9235E">
        <w:rPr>
          <w:lang w:val="fr-CA"/>
        </w:rPr>
        <w:t>ml STP).</w:t>
      </w:r>
      <w:r w:rsidR="00B82D7C">
        <w:rPr>
          <w:lang w:val="fr-CA"/>
        </w:rPr>
        <w:t xml:space="preserve"> </w:t>
      </w:r>
      <w:r w:rsidRPr="00E9235E">
        <w:rPr>
          <w:lang w:val="fr-CA"/>
        </w:rPr>
        <w:t>Des aliquotes de DTT à 0,01 M peuvent être congelées dans des contenants de verre à -20</w:t>
      </w:r>
      <w:r w:rsidR="00C23E47">
        <w:rPr>
          <w:rFonts w:cs="Arial"/>
          <w:lang w:val="fr-CA"/>
        </w:rPr>
        <w:t>º</w:t>
      </w:r>
      <w:r w:rsidRPr="00E9235E">
        <w:rPr>
          <w:lang w:val="fr-CA"/>
        </w:rPr>
        <w:t>C pendant jusqu’à 6 mois.</w:t>
      </w:r>
    </w:p>
    <w:p w:rsidR="00C91620" w:rsidRPr="00E9235E" w:rsidRDefault="00C91620" w:rsidP="00480876">
      <w:pPr>
        <w:pStyle w:val="BodyText2"/>
        <w:spacing w:line="228" w:lineRule="auto"/>
        <w:ind w:left="2880"/>
        <w:rPr>
          <w:lang w:val="fr-CA"/>
        </w:rPr>
      </w:pPr>
    </w:p>
    <w:p w:rsidR="00C91620" w:rsidRPr="00E9235E" w:rsidRDefault="00480876" w:rsidP="00480876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E9235E">
        <w:rPr>
          <w:rFonts w:ascii="Arial" w:hAnsi="Arial"/>
          <w:b/>
          <w:sz w:val="28"/>
          <w:lang w:val="fr-CA"/>
        </w:rPr>
        <w:t>Contrôle de la qualité - S.O.</w:t>
      </w:r>
    </w:p>
    <w:p w:rsidR="00C91620" w:rsidRPr="00E9235E" w:rsidRDefault="00C91620">
      <w:pPr>
        <w:ind w:left="720"/>
        <w:rPr>
          <w:rFonts w:ascii="Arial" w:hAnsi="Arial"/>
          <w:sz w:val="24"/>
          <w:lang w:val="fr-CA"/>
        </w:rPr>
      </w:pPr>
    </w:p>
    <w:p w:rsidR="00C91620" w:rsidRPr="00E9235E" w:rsidRDefault="00C91620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E9235E">
        <w:rPr>
          <w:rFonts w:ascii="Arial" w:hAnsi="Arial"/>
          <w:b/>
          <w:sz w:val="28"/>
          <w:lang w:val="fr-CA"/>
        </w:rPr>
        <w:t>Proc</w:t>
      </w:r>
      <w:r w:rsidR="00E9235E" w:rsidRPr="00E9235E">
        <w:rPr>
          <w:rFonts w:ascii="Arial" w:hAnsi="Arial"/>
          <w:b/>
          <w:sz w:val="28"/>
          <w:lang w:val="fr-CA"/>
        </w:rPr>
        <w:t>é</w:t>
      </w:r>
      <w:r w:rsidRPr="00E9235E">
        <w:rPr>
          <w:rFonts w:ascii="Arial" w:hAnsi="Arial"/>
          <w:b/>
          <w:sz w:val="28"/>
          <w:lang w:val="fr-CA"/>
        </w:rPr>
        <w:t>dure</w:t>
      </w:r>
    </w:p>
    <w:p w:rsidR="00C91620" w:rsidRPr="00E9235E" w:rsidRDefault="00C91620">
      <w:pPr>
        <w:rPr>
          <w:rFonts w:ascii="Arial" w:hAnsi="Arial"/>
          <w:sz w:val="24"/>
          <w:lang w:val="fr-CA"/>
        </w:rPr>
      </w:pPr>
    </w:p>
    <w:p w:rsidR="00C91620" w:rsidRPr="00E9235E" w:rsidRDefault="00C9162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E9235E">
        <w:rPr>
          <w:rFonts w:ascii="Arial" w:hAnsi="Arial"/>
          <w:sz w:val="24"/>
          <w:lang w:val="fr-CA"/>
        </w:rPr>
        <w:t>M</w:t>
      </w:r>
      <w:r w:rsidR="00E9235E" w:rsidRPr="00E9235E">
        <w:rPr>
          <w:rFonts w:ascii="Arial" w:hAnsi="Arial"/>
          <w:sz w:val="24"/>
          <w:lang w:val="fr-CA"/>
        </w:rPr>
        <w:t xml:space="preserve">élanger des volumes égaux de </w:t>
      </w:r>
      <w:r w:rsidRPr="00E9235E">
        <w:rPr>
          <w:rFonts w:ascii="Arial" w:hAnsi="Arial"/>
          <w:sz w:val="24"/>
          <w:lang w:val="fr-CA"/>
        </w:rPr>
        <w:t xml:space="preserve">DTT </w:t>
      </w:r>
      <w:r w:rsidR="00E9235E" w:rsidRPr="00E9235E">
        <w:rPr>
          <w:rFonts w:ascii="Arial" w:hAnsi="Arial"/>
          <w:sz w:val="24"/>
          <w:lang w:val="fr-CA"/>
        </w:rPr>
        <w:t>à 0,01 M et de suspension de globules rouges à 50 %</w:t>
      </w:r>
      <w:r w:rsidRPr="00E9235E">
        <w:rPr>
          <w:rFonts w:ascii="Arial" w:hAnsi="Arial"/>
          <w:sz w:val="24"/>
          <w:lang w:val="fr-CA"/>
        </w:rPr>
        <w:t>.</w:t>
      </w:r>
    </w:p>
    <w:p w:rsidR="00C91620" w:rsidRPr="00E9235E" w:rsidRDefault="00C91620">
      <w:pPr>
        <w:ind w:left="720"/>
        <w:rPr>
          <w:rFonts w:ascii="Arial" w:hAnsi="Arial"/>
          <w:sz w:val="24"/>
          <w:lang w:val="fr-CA"/>
        </w:rPr>
      </w:pPr>
    </w:p>
    <w:p w:rsidR="00C91620" w:rsidRPr="00E9235E" w:rsidRDefault="00C9162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E9235E">
        <w:rPr>
          <w:rFonts w:ascii="Arial" w:hAnsi="Arial"/>
          <w:sz w:val="24"/>
          <w:lang w:val="fr-CA"/>
        </w:rPr>
        <w:t>Incub</w:t>
      </w:r>
      <w:r w:rsidR="00E9235E" w:rsidRPr="00E9235E">
        <w:rPr>
          <w:rFonts w:ascii="Arial" w:hAnsi="Arial"/>
          <w:sz w:val="24"/>
          <w:lang w:val="fr-CA"/>
        </w:rPr>
        <w:t xml:space="preserve">er à </w:t>
      </w:r>
      <w:r w:rsidRPr="00E9235E">
        <w:rPr>
          <w:rFonts w:ascii="Arial" w:hAnsi="Arial"/>
          <w:sz w:val="24"/>
          <w:lang w:val="fr-CA"/>
        </w:rPr>
        <w:t>37</w:t>
      </w:r>
      <w:r w:rsidR="00E9235E" w:rsidRPr="00E9235E">
        <w:rPr>
          <w:rFonts w:ascii="Arial" w:hAnsi="Arial"/>
          <w:sz w:val="24"/>
          <w:vertAlign w:val="superscript"/>
          <w:lang w:val="fr-CA"/>
        </w:rPr>
        <w:t>o</w:t>
      </w:r>
      <w:r w:rsidRPr="00E9235E">
        <w:rPr>
          <w:rFonts w:ascii="Arial" w:hAnsi="Arial"/>
          <w:sz w:val="24"/>
          <w:lang w:val="fr-CA"/>
        </w:rPr>
        <w:t xml:space="preserve">C </w:t>
      </w:r>
      <w:r w:rsidR="00E9235E" w:rsidRPr="00E9235E">
        <w:rPr>
          <w:rFonts w:ascii="Arial" w:hAnsi="Arial"/>
          <w:sz w:val="24"/>
          <w:lang w:val="fr-CA"/>
        </w:rPr>
        <w:t>pendant 1</w:t>
      </w:r>
      <w:r w:rsidRPr="00E9235E">
        <w:rPr>
          <w:rFonts w:ascii="Arial" w:hAnsi="Arial"/>
          <w:sz w:val="24"/>
          <w:lang w:val="fr-CA"/>
        </w:rPr>
        <w:t>5 min</w:t>
      </w:r>
      <w:r w:rsidR="00E9235E" w:rsidRPr="00E9235E">
        <w:rPr>
          <w:rFonts w:ascii="Arial" w:hAnsi="Arial"/>
          <w:sz w:val="24"/>
          <w:lang w:val="fr-CA"/>
        </w:rPr>
        <w:t>utes</w:t>
      </w:r>
      <w:r w:rsidRPr="00E9235E">
        <w:rPr>
          <w:rFonts w:ascii="Arial" w:hAnsi="Arial"/>
          <w:sz w:val="24"/>
          <w:lang w:val="fr-CA"/>
        </w:rPr>
        <w:t>.</w:t>
      </w:r>
    </w:p>
    <w:p w:rsidR="00C91620" w:rsidRPr="00E9235E" w:rsidRDefault="00C91620">
      <w:pPr>
        <w:ind w:left="720"/>
        <w:rPr>
          <w:rFonts w:ascii="Arial" w:hAnsi="Arial"/>
          <w:sz w:val="24"/>
          <w:lang w:val="fr-CA"/>
        </w:rPr>
      </w:pPr>
    </w:p>
    <w:p w:rsidR="00C91620" w:rsidRPr="00E9235E" w:rsidRDefault="00E9235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E9235E">
        <w:rPr>
          <w:rFonts w:ascii="Arial" w:hAnsi="Arial"/>
          <w:sz w:val="24"/>
          <w:lang w:val="fr-CA"/>
        </w:rPr>
        <w:t xml:space="preserve">Laver les globules rouges 3 ou 4 fois dans </w:t>
      </w:r>
      <w:r w:rsidR="003708C0">
        <w:rPr>
          <w:rFonts w:ascii="Arial" w:hAnsi="Arial"/>
          <w:sz w:val="24"/>
          <w:lang w:val="fr-CA"/>
        </w:rPr>
        <w:t>la</w:t>
      </w:r>
      <w:r w:rsidRPr="00E9235E">
        <w:rPr>
          <w:rFonts w:ascii="Arial" w:hAnsi="Arial"/>
          <w:sz w:val="24"/>
          <w:lang w:val="fr-CA"/>
        </w:rPr>
        <w:t xml:space="preserve"> solution saline et remettre en suspension à </w:t>
      </w:r>
      <w:r w:rsidR="00C91620" w:rsidRPr="00E9235E">
        <w:rPr>
          <w:rFonts w:ascii="Arial" w:hAnsi="Arial"/>
          <w:sz w:val="24"/>
          <w:lang w:val="fr-CA"/>
        </w:rPr>
        <w:t>3</w:t>
      </w:r>
      <w:r w:rsidR="003708C0">
        <w:rPr>
          <w:rFonts w:ascii="Arial" w:hAnsi="Arial"/>
          <w:sz w:val="24"/>
          <w:lang w:val="fr-CA"/>
        </w:rPr>
        <w:t> </w:t>
      </w:r>
      <w:r w:rsidR="00C91620" w:rsidRPr="00E9235E">
        <w:rPr>
          <w:rFonts w:ascii="Arial" w:hAnsi="Arial"/>
          <w:sz w:val="24"/>
          <w:lang w:val="fr-CA"/>
        </w:rPr>
        <w:t>%.</w:t>
      </w:r>
    </w:p>
    <w:p w:rsidR="00C91620" w:rsidRPr="00E9235E" w:rsidRDefault="00C91620">
      <w:pPr>
        <w:ind w:left="720"/>
        <w:rPr>
          <w:rFonts w:ascii="Arial" w:hAnsi="Arial"/>
          <w:sz w:val="24"/>
          <w:lang w:val="fr-CA"/>
        </w:rPr>
      </w:pPr>
    </w:p>
    <w:p w:rsidR="00C91620" w:rsidRPr="00E9235E" w:rsidRDefault="00C91620" w:rsidP="00480876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E9235E">
        <w:rPr>
          <w:rFonts w:ascii="Arial" w:hAnsi="Arial"/>
          <w:sz w:val="24"/>
          <w:lang w:val="fr-CA"/>
        </w:rPr>
        <w:t>Test</w:t>
      </w:r>
      <w:r w:rsidR="00E9235E" w:rsidRPr="00E9235E">
        <w:rPr>
          <w:rFonts w:ascii="Arial" w:hAnsi="Arial"/>
          <w:sz w:val="24"/>
          <w:lang w:val="fr-CA"/>
        </w:rPr>
        <w:t xml:space="preserve">er les globules rouges traités avec de l’ABS à </w:t>
      </w:r>
      <w:r w:rsidRPr="00E9235E">
        <w:rPr>
          <w:rFonts w:ascii="Arial" w:hAnsi="Arial"/>
          <w:sz w:val="24"/>
          <w:lang w:val="fr-CA"/>
        </w:rPr>
        <w:t>6</w:t>
      </w:r>
      <w:r w:rsidR="00E9235E" w:rsidRPr="00E9235E">
        <w:rPr>
          <w:rFonts w:ascii="Arial" w:hAnsi="Arial"/>
          <w:sz w:val="24"/>
          <w:lang w:val="fr-CA"/>
        </w:rPr>
        <w:t> </w:t>
      </w:r>
      <w:r w:rsidRPr="00E9235E">
        <w:rPr>
          <w:rFonts w:ascii="Arial" w:hAnsi="Arial"/>
          <w:sz w:val="24"/>
          <w:lang w:val="fr-CA"/>
        </w:rPr>
        <w:t xml:space="preserve">%. </w:t>
      </w:r>
      <w:r w:rsidR="00E9235E" w:rsidRPr="00E9235E">
        <w:rPr>
          <w:rFonts w:ascii="Arial" w:hAnsi="Arial"/>
          <w:sz w:val="24"/>
          <w:lang w:val="fr-CA"/>
        </w:rPr>
        <w:t>Si une agglutination reste présente, répéter le traitement. V</w:t>
      </w:r>
      <w:r w:rsidR="00480876" w:rsidRPr="00E9235E">
        <w:rPr>
          <w:rFonts w:ascii="Arial" w:hAnsi="Arial"/>
          <w:sz w:val="24"/>
          <w:lang w:val="fr-CA"/>
        </w:rPr>
        <w:t>oir la Remarque</w:t>
      </w:r>
      <w:r w:rsidR="003708C0">
        <w:rPr>
          <w:rFonts w:ascii="Arial" w:hAnsi="Arial"/>
          <w:sz w:val="24"/>
          <w:lang w:val="fr-CA"/>
        </w:rPr>
        <w:t> </w:t>
      </w:r>
      <w:r w:rsidR="00480876" w:rsidRPr="00E9235E">
        <w:rPr>
          <w:rFonts w:ascii="Arial" w:hAnsi="Arial"/>
          <w:sz w:val="24"/>
          <w:lang w:val="fr-CA"/>
        </w:rPr>
        <w:t>8.2.</w:t>
      </w:r>
    </w:p>
    <w:p w:rsidR="00C91620" w:rsidRPr="00E9235E" w:rsidRDefault="00C91620">
      <w:pPr>
        <w:rPr>
          <w:rFonts w:ascii="Arial" w:hAnsi="Arial"/>
          <w:sz w:val="24"/>
          <w:lang w:val="fr-CA"/>
        </w:rPr>
      </w:pPr>
    </w:p>
    <w:p w:rsidR="00C91620" w:rsidRPr="00E9235E" w:rsidRDefault="00E9235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  <w:r w:rsidRPr="00E9235E">
        <w:rPr>
          <w:rFonts w:ascii="Arial" w:hAnsi="Arial"/>
          <w:sz w:val="24"/>
          <w:lang w:val="fr-CA"/>
        </w:rPr>
        <w:t xml:space="preserve">Procéder au groupage </w:t>
      </w:r>
      <w:r w:rsidR="00C91620" w:rsidRPr="00E9235E">
        <w:rPr>
          <w:rFonts w:ascii="Arial" w:hAnsi="Arial"/>
          <w:sz w:val="24"/>
          <w:lang w:val="fr-CA"/>
        </w:rPr>
        <w:t xml:space="preserve">ABO, </w:t>
      </w:r>
      <w:r w:rsidRPr="00E9235E">
        <w:rPr>
          <w:rFonts w:ascii="Arial" w:hAnsi="Arial"/>
          <w:sz w:val="24"/>
          <w:lang w:val="fr-CA"/>
        </w:rPr>
        <w:t xml:space="preserve">à la détermination du facteur </w:t>
      </w:r>
      <w:r w:rsidR="00C91620" w:rsidRPr="00E9235E">
        <w:rPr>
          <w:rFonts w:ascii="Arial" w:hAnsi="Arial"/>
          <w:sz w:val="24"/>
          <w:lang w:val="fr-CA"/>
        </w:rPr>
        <w:t>Rh o</w:t>
      </w:r>
      <w:r w:rsidRPr="00E9235E">
        <w:rPr>
          <w:rFonts w:ascii="Arial" w:hAnsi="Arial"/>
          <w:sz w:val="24"/>
          <w:lang w:val="fr-CA"/>
        </w:rPr>
        <w:t>u au TDA, au besoin</w:t>
      </w:r>
      <w:r w:rsidR="00C91620" w:rsidRPr="00E9235E">
        <w:rPr>
          <w:rFonts w:ascii="Arial" w:hAnsi="Arial"/>
          <w:sz w:val="24"/>
          <w:lang w:val="fr-CA"/>
        </w:rPr>
        <w:t>.</w:t>
      </w:r>
    </w:p>
    <w:p w:rsidR="00C91620" w:rsidRPr="00480876" w:rsidRDefault="00C91620">
      <w:pPr>
        <w:ind w:left="720"/>
        <w:rPr>
          <w:rFonts w:ascii="Arial" w:hAnsi="Arial"/>
          <w:sz w:val="24"/>
          <w:lang w:val="fr-CA"/>
        </w:rPr>
      </w:pPr>
    </w:p>
    <w:p w:rsidR="00C91620" w:rsidRPr="00480876" w:rsidRDefault="00480876" w:rsidP="00480876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80876">
        <w:rPr>
          <w:rFonts w:ascii="Arial" w:hAnsi="Arial"/>
          <w:b/>
          <w:sz w:val="28"/>
          <w:lang w:val="fr-CA"/>
        </w:rPr>
        <w:t>Documentation - S.O.</w:t>
      </w:r>
    </w:p>
    <w:p w:rsidR="00C91620" w:rsidRPr="00480876" w:rsidRDefault="00C91620">
      <w:pPr>
        <w:rPr>
          <w:rFonts w:ascii="Arial" w:hAnsi="Arial"/>
          <w:sz w:val="24"/>
          <w:lang w:val="fr-CA"/>
        </w:rPr>
      </w:pPr>
    </w:p>
    <w:p w:rsidR="00C91620" w:rsidRPr="00480876" w:rsidRDefault="00480876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80876">
        <w:rPr>
          <w:rFonts w:ascii="Arial" w:hAnsi="Arial"/>
          <w:b/>
          <w:sz w:val="28"/>
          <w:lang w:val="fr-CA"/>
        </w:rPr>
        <w:t>Remarques</w:t>
      </w:r>
    </w:p>
    <w:p w:rsidR="00C91620" w:rsidRPr="00480876" w:rsidRDefault="00C91620">
      <w:pPr>
        <w:rPr>
          <w:rFonts w:ascii="Arial" w:hAnsi="Arial"/>
          <w:sz w:val="24"/>
          <w:lang w:val="fr-CA"/>
        </w:rPr>
      </w:pPr>
    </w:p>
    <w:p w:rsidR="00C91620" w:rsidRPr="00480876" w:rsidRDefault="00480876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 xml:space="preserve">Le traitement des globules rouges par </w:t>
      </w:r>
      <w:r w:rsidR="00C91620" w:rsidRPr="00480876">
        <w:rPr>
          <w:rFonts w:ascii="Arial" w:hAnsi="Arial"/>
          <w:sz w:val="24"/>
          <w:lang w:val="fr-CA"/>
        </w:rPr>
        <w:t xml:space="preserve">DTT </w:t>
      </w:r>
      <w:r w:rsidRPr="00480876">
        <w:rPr>
          <w:rFonts w:ascii="Arial" w:hAnsi="Arial"/>
          <w:sz w:val="24"/>
          <w:lang w:val="fr-CA"/>
        </w:rPr>
        <w:t xml:space="preserve">n’éliminera pas de la membrane cellulaire l’IgG ou les éléments du complément liés </w:t>
      </w:r>
      <w:r w:rsidRPr="00480876">
        <w:rPr>
          <w:rFonts w:ascii="Arial" w:hAnsi="Arial"/>
          <w:i/>
          <w:sz w:val="24"/>
          <w:lang w:val="fr-CA"/>
        </w:rPr>
        <w:t>in vivo</w:t>
      </w:r>
      <w:r w:rsidR="00C91620" w:rsidRPr="00480876">
        <w:rPr>
          <w:rFonts w:ascii="Arial" w:hAnsi="Arial"/>
          <w:sz w:val="24"/>
          <w:lang w:val="fr-CA"/>
        </w:rPr>
        <w:t>.</w:t>
      </w:r>
    </w:p>
    <w:p w:rsidR="00C91620" w:rsidRPr="00480876" w:rsidRDefault="00C91620">
      <w:pPr>
        <w:ind w:left="720"/>
        <w:rPr>
          <w:rFonts w:ascii="Arial" w:hAnsi="Arial"/>
          <w:sz w:val="24"/>
          <w:lang w:val="fr-CA"/>
        </w:rPr>
      </w:pPr>
    </w:p>
    <w:p w:rsidR="00C91620" w:rsidRPr="00480876" w:rsidRDefault="00480876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480876">
        <w:rPr>
          <w:rFonts w:ascii="Arial" w:hAnsi="Arial"/>
          <w:sz w:val="24"/>
          <w:lang w:val="fr-CA"/>
        </w:rPr>
        <w:t>Si les globules rouges réagissent toujours à l’ABS à 6 </w:t>
      </w:r>
      <w:r w:rsidR="00C91620" w:rsidRPr="00480876">
        <w:rPr>
          <w:rFonts w:ascii="Arial" w:hAnsi="Arial"/>
          <w:sz w:val="24"/>
          <w:lang w:val="fr-CA"/>
        </w:rPr>
        <w:t xml:space="preserve">%, </w:t>
      </w:r>
      <w:r w:rsidRPr="00480876">
        <w:rPr>
          <w:rFonts w:ascii="Arial" w:hAnsi="Arial"/>
          <w:sz w:val="24"/>
          <w:lang w:val="fr-CA"/>
        </w:rPr>
        <w:t xml:space="preserve">essayer de traiter une aliquote fraîche avec du DTT à </w:t>
      </w:r>
      <w:r w:rsidR="00C91620" w:rsidRPr="00480876">
        <w:rPr>
          <w:rFonts w:ascii="Arial" w:hAnsi="Arial"/>
          <w:sz w:val="24"/>
          <w:lang w:val="fr-CA"/>
        </w:rPr>
        <w:t>0</w:t>
      </w:r>
      <w:r w:rsidRPr="00480876">
        <w:rPr>
          <w:rFonts w:ascii="Arial" w:hAnsi="Arial"/>
          <w:sz w:val="24"/>
          <w:lang w:val="fr-CA"/>
        </w:rPr>
        <w:t>,</w:t>
      </w:r>
      <w:r w:rsidR="00C91620" w:rsidRPr="00480876">
        <w:rPr>
          <w:rFonts w:ascii="Arial" w:hAnsi="Arial"/>
          <w:sz w:val="24"/>
          <w:lang w:val="fr-CA"/>
        </w:rPr>
        <w:t>05</w:t>
      </w:r>
      <w:r w:rsidR="003708C0">
        <w:rPr>
          <w:rFonts w:ascii="Arial" w:hAnsi="Arial"/>
          <w:sz w:val="24"/>
          <w:lang w:val="fr-CA"/>
        </w:rPr>
        <w:t> </w:t>
      </w:r>
      <w:r w:rsidR="00C91620" w:rsidRPr="00480876">
        <w:rPr>
          <w:rFonts w:ascii="Arial" w:hAnsi="Arial"/>
          <w:sz w:val="24"/>
          <w:lang w:val="fr-CA"/>
        </w:rPr>
        <w:t xml:space="preserve">M </w:t>
      </w:r>
      <w:r w:rsidR="00256719" w:rsidRPr="00480876">
        <w:rPr>
          <w:rFonts w:ascii="Arial" w:hAnsi="Arial"/>
          <w:sz w:val="24"/>
          <w:lang w:val="fr-CA"/>
        </w:rPr>
        <w:t>pendant</w:t>
      </w:r>
      <w:r w:rsidRPr="00480876">
        <w:rPr>
          <w:rFonts w:ascii="Arial" w:hAnsi="Arial"/>
          <w:sz w:val="24"/>
          <w:lang w:val="fr-CA"/>
        </w:rPr>
        <w:t xml:space="preserve"> 15 à 30 minutes à </w:t>
      </w:r>
      <w:r w:rsidR="00C91620" w:rsidRPr="00480876">
        <w:rPr>
          <w:rFonts w:ascii="Arial" w:hAnsi="Arial"/>
          <w:sz w:val="24"/>
          <w:lang w:val="fr-CA"/>
        </w:rPr>
        <w:t>37</w:t>
      </w:r>
      <w:r w:rsidR="00C23E47">
        <w:rPr>
          <w:rFonts w:ascii="Arial" w:hAnsi="Arial" w:cs="Arial"/>
          <w:sz w:val="24"/>
          <w:lang w:val="fr-CA"/>
        </w:rPr>
        <w:t>º</w:t>
      </w:r>
      <w:r w:rsidR="00C91620" w:rsidRPr="00480876">
        <w:rPr>
          <w:rFonts w:ascii="Arial" w:hAnsi="Arial"/>
          <w:sz w:val="24"/>
          <w:lang w:val="fr-CA"/>
        </w:rPr>
        <w:t xml:space="preserve">C. </w:t>
      </w:r>
      <w:r w:rsidRPr="00480876">
        <w:rPr>
          <w:rFonts w:ascii="Arial" w:hAnsi="Arial"/>
          <w:sz w:val="24"/>
          <w:lang w:val="fr-CA"/>
        </w:rPr>
        <w:t xml:space="preserve">Le traitement par DTT à </w:t>
      </w:r>
      <w:r w:rsidR="00C91620" w:rsidRPr="00480876">
        <w:rPr>
          <w:rFonts w:ascii="Arial" w:hAnsi="Arial"/>
          <w:sz w:val="24"/>
          <w:lang w:val="fr-CA"/>
        </w:rPr>
        <w:t>0</w:t>
      </w:r>
      <w:r w:rsidRPr="00480876">
        <w:rPr>
          <w:rFonts w:ascii="Arial" w:hAnsi="Arial"/>
          <w:sz w:val="24"/>
          <w:lang w:val="fr-CA"/>
        </w:rPr>
        <w:t>,</w:t>
      </w:r>
      <w:r w:rsidR="00C91620" w:rsidRPr="00480876">
        <w:rPr>
          <w:rFonts w:ascii="Arial" w:hAnsi="Arial"/>
          <w:sz w:val="24"/>
          <w:lang w:val="fr-CA"/>
        </w:rPr>
        <w:t xml:space="preserve">1 M </w:t>
      </w:r>
      <w:r w:rsidRPr="00480876">
        <w:rPr>
          <w:rFonts w:ascii="Arial" w:hAnsi="Arial"/>
          <w:sz w:val="24"/>
          <w:lang w:val="fr-CA"/>
        </w:rPr>
        <w:t>entraîne une hémolyse accrue</w:t>
      </w:r>
      <w:r w:rsidR="00C91620" w:rsidRPr="00480876">
        <w:rPr>
          <w:rFonts w:ascii="Arial" w:hAnsi="Arial"/>
          <w:sz w:val="24"/>
          <w:lang w:val="fr-CA"/>
        </w:rPr>
        <w:t>.</w:t>
      </w:r>
    </w:p>
    <w:p w:rsidR="00C91620" w:rsidRDefault="00C91620">
      <w:pPr>
        <w:ind w:left="720"/>
        <w:rPr>
          <w:rFonts w:ascii="Arial" w:hAnsi="Arial"/>
          <w:sz w:val="24"/>
          <w:lang w:val="fr-CA"/>
        </w:rPr>
      </w:pPr>
    </w:p>
    <w:p w:rsidR="00C23E47" w:rsidRDefault="00C23E47">
      <w:pPr>
        <w:ind w:left="720"/>
        <w:rPr>
          <w:rFonts w:ascii="Arial" w:hAnsi="Arial"/>
          <w:sz w:val="24"/>
          <w:lang w:val="fr-CA"/>
        </w:rPr>
      </w:pPr>
    </w:p>
    <w:p w:rsidR="00C23E47" w:rsidRDefault="00C23E47">
      <w:pPr>
        <w:ind w:left="720"/>
        <w:rPr>
          <w:rFonts w:ascii="Arial" w:hAnsi="Arial"/>
          <w:sz w:val="24"/>
          <w:lang w:val="fr-CA"/>
        </w:rPr>
      </w:pPr>
    </w:p>
    <w:p w:rsidR="00C23E47" w:rsidRDefault="00C23E47">
      <w:pPr>
        <w:ind w:left="720"/>
        <w:rPr>
          <w:rFonts w:ascii="Arial" w:hAnsi="Arial"/>
          <w:sz w:val="24"/>
          <w:lang w:val="fr-CA"/>
        </w:rPr>
      </w:pPr>
    </w:p>
    <w:p w:rsidR="00C23E47" w:rsidRPr="00480876" w:rsidRDefault="00C23E47">
      <w:pPr>
        <w:ind w:left="720"/>
        <w:rPr>
          <w:rFonts w:ascii="Arial" w:hAnsi="Arial"/>
          <w:sz w:val="24"/>
          <w:lang w:val="fr-CA"/>
        </w:rPr>
      </w:pPr>
    </w:p>
    <w:p w:rsidR="00C91620" w:rsidRPr="00480876" w:rsidRDefault="00C91620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480876">
        <w:rPr>
          <w:rFonts w:ascii="Arial" w:hAnsi="Arial"/>
          <w:b/>
          <w:sz w:val="28"/>
          <w:lang w:val="fr-CA"/>
        </w:rPr>
        <w:t>R</w:t>
      </w:r>
      <w:r w:rsidR="00480876" w:rsidRPr="00480876">
        <w:rPr>
          <w:rFonts w:ascii="Arial" w:hAnsi="Arial"/>
          <w:b/>
          <w:sz w:val="28"/>
          <w:lang w:val="fr-CA"/>
        </w:rPr>
        <w:t>é</w:t>
      </w:r>
      <w:r w:rsidRPr="00480876">
        <w:rPr>
          <w:rFonts w:ascii="Arial" w:hAnsi="Arial"/>
          <w:b/>
          <w:sz w:val="28"/>
          <w:lang w:val="fr-CA"/>
        </w:rPr>
        <w:t>f</w:t>
      </w:r>
      <w:r w:rsidR="00480876" w:rsidRPr="00480876">
        <w:rPr>
          <w:rFonts w:ascii="Arial" w:hAnsi="Arial"/>
          <w:b/>
          <w:sz w:val="28"/>
          <w:lang w:val="fr-CA"/>
        </w:rPr>
        <w:t>é</w:t>
      </w:r>
      <w:r w:rsidRPr="00480876">
        <w:rPr>
          <w:rFonts w:ascii="Arial" w:hAnsi="Arial"/>
          <w:b/>
          <w:sz w:val="28"/>
          <w:lang w:val="fr-CA"/>
        </w:rPr>
        <w:t>rences</w:t>
      </w:r>
    </w:p>
    <w:p w:rsidR="00C91620" w:rsidRPr="00480876" w:rsidRDefault="00C91620">
      <w:pPr>
        <w:rPr>
          <w:rFonts w:ascii="Arial" w:hAnsi="Arial"/>
          <w:sz w:val="24"/>
          <w:lang w:val="fr-CA"/>
        </w:rPr>
      </w:pPr>
    </w:p>
    <w:p w:rsidR="00C91620" w:rsidRPr="00480876" w:rsidRDefault="0073146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23E47">
        <w:rPr>
          <w:rFonts w:ascii="Arial" w:hAnsi="Arial"/>
          <w:sz w:val="24"/>
          <w:lang w:val="en-CA"/>
        </w:rPr>
        <w:t xml:space="preserve">ROBACK, JD, </w:t>
      </w:r>
      <w:proofErr w:type="spellStart"/>
      <w:r w:rsidRPr="00C23E47">
        <w:rPr>
          <w:rFonts w:ascii="Arial" w:hAnsi="Arial"/>
          <w:sz w:val="24"/>
          <w:lang w:val="en-CA"/>
        </w:rPr>
        <w:t>éd</w:t>
      </w:r>
      <w:proofErr w:type="spellEnd"/>
      <w:r w:rsidRPr="00C23E47">
        <w:rPr>
          <w:rFonts w:ascii="Arial" w:hAnsi="Arial"/>
          <w:sz w:val="24"/>
          <w:lang w:val="en-CA"/>
        </w:rPr>
        <w:t xml:space="preserve">. </w:t>
      </w:r>
      <w:r w:rsidRPr="00C23E47">
        <w:rPr>
          <w:rFonts w:ascii="Arial" w:hAnsi="Arial"/>
          <w:i/>
          <w:sz w:val="24"/>
          <w:lang w:val="en-CA"/>
        </w:rPr>
        <w:t>American Association of Blood Banks Technical Manual</w:t>
      </w:r>
      <w:r w:rsidRPr="00C23E47">
        <w:rPr>
          <w:rFonts w:ascii="Arial" w:hAnsi="Arial"/>
          <w:sz w:val="24"/>
          <w:lang w:val="en-CA"/>
        </w:rPr>
        <w:t>, 1</w:t>
      </w:r>
      <w:r w:rsidR="003708C0" w:rsidRPr="00C23E47">
        <w:rPr>
          <w:rFonts w:ascii="Arial" w:hAnsi="Arial"/>
          <w:sz w:val="24"/>
          <w:lang w:val="en-CA"/>
        </w:rPr>
        <w:t>7</w:t>
      </w:r>
      <w:r w:rsidRPr="00C23E47">
        <w:rPr>
          <w:rFonts w:ascii="Arial" w:hAnsi="Arial"/>
          <w:sz w:val="24"/>
          <w:vertAlign w:val="superscript"/>
          <w:lang w:val="en-CA"/>
        </w:rPr>
        <w:t xml:space="preserve">e </w:t>
      </w:r>
      <w:proofErr w:type="spellStart"/>
      <w:r w:rsidRPr="00C23E47">
        <w:rPr>
          <w:rFonts w:ascii="Arial" w:hAnsi="Arial"/>
          <w:sz w:val="24"/>
          <w:lang w:val="en-CA"/>
        </w:rPr>
        <w:t>éd</w:t>
      </w:r>
      <w:proofErr w:type="spellEnd"/>
      <w:r w:rsidRPr="00C23E47">
        <w:rPr>
          <w:rFonts w:ascii="Arial" w:hAnsi="Arial"/>
          <w:sz w:val="24"/>
          <w:lang w:val="en-CA"/>
        </w:rPr>
        <w:t xml:space="preserve">. </w:t>
      </w:r>
      <w:r w:rsidR="003708C0" w:rsidRPr="00731462">
        <w:rPr>
          <w:rFonts w:ascii="Arial" w:hAnsi="Arial"/>
          <w:sz w:val="24"/>
          <w:lang w:val="fr-CA"/>
        </w:rPr>
        <w:t>(20</w:t>
      </w:r>
      <w:r w:rsidR="003708C0">
        <w:rPr>
          <w:rFonts w:ascii="Arial" w:hAnsi="Arial"/>
          <w:sz w:val="24"/>
          <w:lang w:val="fr-CA"/>
        </w:rPr>
        <w:t>11).</w:t>
      </w:r>
      <w:r w:rsidR="003708C0" w:rsidRPr="00731462">
        <w:rPr>
          <w:rFonts w:ascii="Arial" w:hAnsi="Arial"/>
          <w:sz w:val="24"/>
          <w:lang w:val="fr-CA"/>
        </w:rPr>
        <w:t xml:space="preserve"> </w:t>
      </w:r>
      <w:r w:rsidRPr="00731462">
        <w:rPr>
          <w:rFonts w:ascii="Arial" w:hAnsi="Arial"/>
          <w:sz w:val="24"/>
          <w:lang w:val="fr-CA"/>
        </w:rPr>
        <w:t xml:space="preserve">Bethesda, MD: American Association of Blood Banks p. </w:t>
      </w:r>
      <w:r>
        <w:rPr>
          <w:rFonts w:ascii="Arial" w:hAnsi="Arial"/>
          <w:sz w:val="24"/>
          <w:lang w:val="fr-CA"/>
        </w:rPr>
        <w:t>89</w:t>
      </w:r>
      <w:r w:rsidR="003708C0">
        <w:rPr>
          <w:rFonts w:ascii="Arial" w:hAnsi="Arial"/>
          <w:sz w:val="24"/>
          <w:lang w:val="fr-CA"/>
        </w:rPr>
        <w:t>0</w:t>
      </w:r>
      <w:r w:rsidRPr="00731462">
        <w:rPr>
          <w:rFonts w:ascii="Arial" w:hAnsi="Arial"/>
          <w:sz w:val="24"/>
          <w:lang w:val="fr-CA"/>
        </w:rPr>
        <w:t>.</w:t>
      </w:r>
    </w:p>
    <w:p w:rsidR="00C91620" w:rsidRDefault="00C91620">
      <w:pPr>
        <w:rPr>
          <w:lang w:val="fr-CA"/>
        </w:rPr>
      </w:pPr>
    </w:p>
    <w:p w:rsidR="008C27FC" w:rsidRPr="00AA3396" w:rsidRDefault="008C27FC" w:rsidP="008C27FC">
      <w:pPr>
        <w:pStyle w:val="ListParagraph"/>
        <w:numPr>
          <w:ilvl w:val="0"/>
          <w:numId w:val="14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8C27FC" w:rsidRPr="00AA3396" w:rsidRDefault="008C27FC" w:rsidP="008C27FC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753"/>
      </w:tblGrid>
      <w:tr w:rsidR="008C27FC" w:rsidRPr="00AA3396" w:rsidTr="00BE6708">
        <w:trPr>
          <w:cantSplit/>
        </w:trPr>
        <w:tc>
          <w:tcPr>
            <w:tcW w:w="2943" w:type="dxa"/>
            <w:shd w:val="clear" w:color="auto" w:fill="F2F2F2"/>
          </w:tcPr>
          <w:p w:rsidR="008C27FC" w:rsidRPr="004050E8" w:rsidRDefault="008C27FC" w:rsidP="00BE67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8C27FC" w:rsidRPr="004050E8" w:rsidRDefault="008C27FC" w:rsidP="00BE67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8C27FC" w:rsidRPr="00AA3396" w:rsidTr="00BE6708">
        <w:trPr>
          <w:cantSplit/>
          <w:trHeight w:val="1373"/>
        </w:trPr>
        <w:tc>
          <w:tcPr>
            <w:tcW w:w="2943" w:type="dxa"/>
          </w:tcPr>
          <w:p w:rsidR="008C27FC" w:rsidRPr="00AA3396" w:rsidRDefault="008C27FC" w:rsidP="00BE6708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913" w:type="dxa"/>
          </w:tcPr>
          <w:p w:rsidR="008C27FC" w:rsidRDefault="008C27FC" w:rsidP="008C27F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0773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3708C0" w:rsidRPr="00F07732" w:rsidRDefault="003708C0" w:rsidP="008C27F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du libellé des sections 1.0 et 2.0</w:t>
            </w:r>
          </w:p>
          <w:p w:rsidR="008C27FC" w:rsidRDefault="008C27FC" w:rsidP="008C27FC">
            <w:pPr>
              <w:pStyle w:val="BodyTextIndent2"/>
              <w:keepLines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3352EC">
              <w:rPr>
                <w:rFonts w:ascii="Arial" w:hAnsi="Arial" w:cs="Arial"/>
                <w:sz w:val="22"/>
                <w:szCs w:val="22"/>
                <w:lang w:val="fr-CA"/>
              </w:rPr>
              <w:t>la section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3352EC">
              <w:rPr>
                <w:rFonts w:ascii="Arial" w:hAnsi="Arial" w:cs="Arial"/>
                <w:sz w:val="22"/>
                <w:szCs w:val="22"/>
                <w:lang w:val="fr-CA"/>
              </w:rPr>
              <w:t xml:space="preserve">4, </w:t>
            </w:r>
            <w:r w:rsidR="003708C0" w:rsidRPr="003708C0">
              <w:rPr>
                <w:rFonts w:ascii="Arial" w:hAnsi="Arial" w:cs="Arial"/>
                <w:i/>
                <w:sz w:val="22"/>
                <w:szCs w:val="22"/>
                <w:lang w:val="fr-CA"/>
              </w:rPr>
              <w:t>Réactifs</w:t>
            </w:r>
            <w:r w:rsidR="003708C0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Pr="003352EC">
              <w:rPr>
                <w:rFonts w:ascii="Arial" w:hAnsi="Arial" w:cs="Arial"/>
                <w:sz w:val="22"/>
                <w:szCs w:val="22"/>
                <w:lang w:val="fr-CA"/>
              </w:rPr>
              <w:t>remplacement</w:t>
            </w:r>
            <w:r w:rsidRPr="008F45F6">
              <w:rPr>
                <w:rFonts w:ascii="Arial" w:hAnsi="Arial" w:cs="Arial"/>
                <w:sz w:val="22"/>
                <w:szCs w:val="22"/>
                <w:lang w:val="fr-CA"/>
              </w:rPr>
              <w:t xml:space="preserve"> de solution saline par « solution saline à 0,9 %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»</w:t>
            </w:r>
          </w:p>
          <w:p w:rsidR="008C27FC" w:rsidRPr="00AA3396" w:rsidRDefault="008C27FC" w:rsidP="008C27FC">
            <w:pPr>
              <w:pStyle w:val="BodyTextIndent2"/>
              <w:keepLines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F07732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8C27FC" w:rsidRPr="00767813" w:rsidRDefault="008C27FC" w:rsidP="008C27FC">
      <w:pPr>
        <w:rPr>
          <w:noProof/>
          <w:lang w:val="fr-CA"/>
        </w:rPr>
      </w:pPr>
    </w:p>
    <w:p w:rsidR="008C27FC" w:rsidRPr="00254036" w:rsidRDefault="008C27FC" w:rsidP="008C27FC">
      <w:pPr>
        <w:ind w:left="720"/>
        <w:rPr>
          <w:rFonts w:ascii="Arial" w:hAnsi="Arial"/>
          <w:sz w:val="24"/>
          <w:lang w:val="fr-CA"/>
        </w:rPr>
      </w:pPr>
    </w:p>
    <w:p w:rsidR="008C27FC" w:rsidRPr="00254036" w:rsidRDefault="008C27FC" w:rsidP="008C27FC">
      <w:pPr>
        <w:rPr>
          <w:lang w:val="fr-CA"/>
        </w:rPr>
      </w:pPr>
    </w:p>
    <w:p w:rsidR="008C27FC" w:rsidRPr="00480876" w:rsidRDefault="008C27FC">
      <w:pPr>
        <w:rPr>
          <w:lang w:val="fr-CA"/>
        </w:rPr>
      </w:pPr>
    </w:p>
    <w:sectPr w:rsidR="008C27FC" w:rsidRPr="0048087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3F" w:rsidRDefault="006B693F">
      <w:r>
        <w:separator/>
      </w:r>
    </w:p>
  </w:endnote>
  <w:endnote w:type="continuationSeparator" w:id="0">
    <w:p w:rsidR="006B693F" w:rsidRDefault="006B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A4D7E">
      <w:trPr>
        <w:trHeight w:val="720"/>
      </w:trPr>
      <w:tc>
        <w:tcPr>
          <w:tcW w:w="1368" w:type="dxa"/>
        </w:tcPr>
        <w:p w:rsidR="001A4D7E" w:rsidRDefault="001A4D7E">
          <w:pPr>
            <w:pStyle w:val="Footer"/>
            <w:jc w:val="center"/>
            <w:rPr>
              <w:sz w:val="8"/>
            </w:rPr>
          </w:pPr>
        </w:p>
        <w:p w:rsidR="001A4D7E" w:rsidRDefault="00A5733E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A4D7E" w:rsidRDefault="001A4D7E" w:rsidP="00BE6708">
          <w:pPr>
            <w:pStyle w:val="Footer"/>
            <w:tabs>
              <w:tab w:val="clear" w:pos="4320"/>
              <w:tab w:val="center" w:pos="2585"/>
            </w:tabs>
            <w:jc w:val="center"/>
            <w:rPr>
              <w:rFonts w:ascii="Arial" w:hAnsi="Arial"/>
              <w:sz w:val="18"/>
            </w:rPr>
          </w:pPr>
        </w:p>
        <w:p w:rsidR="001A4D7E" w:rsidRDefault="001A4D7E" w:rsidP="00BE6708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>gional ontarien de coordination du sang</w:t>
          </w:r>
        </w:p>
        <w:p w:rsidR="001A4D7E" w:rsidRPr="00C23E47" w:rsidRDefault="001A4D7E" w:rsidP="00BE6708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1A4D7E" w:rsidRPr="00C23E47" w:rsidRDefault="001A4D7E" w:rsidP="00BE6708">
          <w:pPr>
            <w:pStyle w:val="Footer"/>
            <w:tabs>
              <w:tab w:val="clear" w:pos="4320"/>
              <w:tab w:val="center" w:pos="1451"/>
            </w:tabs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1A4D7E" w:rsidRPr="00C23E47" w:rsidRDefault="001A4D7E" w:rsidP="00BE6708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  <w:lang w:val="fr-CA"/>
            </w:rPr>
          </w:pPr>
        </w:p>
        <w:p w:rsidR="001A4D7E" w:rsidRDefault="001A4D7E" w:rsidP="001A4D7E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</w:rPr>
          </w:pPr>
          <w:r w:rsidRPr="00C23E47">
            <w:rPr>
              <w:rFonts w:ascii="Arial" w:hAnsi="Arial"/>
              <w:sz w:val="18"/>
              <w:lang w:val="fr-CA"/>
            </w:rPr>
            <w:t xml:space="preserve">        </w:t>
          </w:r>
          <w:r>
            <w:rPr>
              <w:rFonts w:ascii="Arial" w:hAnsi="Arial"/>
              <w:sz w:val="18"/>
            </w:rPr>
            <w:t>PS.030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23E47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23E47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65518" w:rsidRDefault="00E6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A4D7E">
      <w:trPr>
        <w:trHeight w:val="720"/>
      </w:trPr>
      <w:tc>
        <w:tcPr>
          <w:tcW w:w="1368" w:type="dxa"/>
        </w:tcPr>
        <w:p w:rsidR="001A4D7E" w:rsidRDefault="001A4D7E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A4D7E" w:rsidRDefault="00A5733E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A4D7E" w:rsidRDefault="001A4D7E" w:rsidP="00BE6708">
          <w:pPr>
            <w:pStyle w:val="Footer"/>
            <w:tabs>
              <w:tab w:val="clear" w:pos="4320"/>
              <w:tab w:val="center" w:pos="2585"/>
            </w:tabs>
            <w:jc w:val="center"/>
            <w:rPr>
              <w:rFonts w:ascii="Arial" w:hAnsi="Arial"/>
              <w:sz w:val="18"/>
            </w:rPr>
          </w:pPr>
        </w:p>
        <w:p w:rsidR="001A4D7E" w:rsidRDefault="001A4D7E" w:rsidP="00BE6708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>gional ontarien de coordination du sang</w:t>
          </w:r>
        </w:p>
        <w:p w:rsidR="001A4D7E" w:rsidRPr="00C23E47" w:rsidRDefault="001A4D7E" w:rsidP="00BE6708">
          <w:pPr>
            <w:pStyle w:val="Footer"/>
            <w:tabs>
              <w:tab w:val="clear" w:pos="4320"/>
              <w:tab w:val="left" w:pos="34"/>
            </w:tabs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1A4D7E" w:rsidRPr="00C23E47" w:rsidRDefault="001A4D7E" w:rsidP="00BE6708">
          <w:pPr>
            <w:pStyle w:val="Footer"/>
            <w:tabs>
              <w:tab w:val="clear" w:pos="4320"/>
              <w:tab w:val="center" w:pos="1451"/>
            </w:tabs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1A4D7E" w:rsidRPr="00C23E47" w:rsidRDefault="001A4D7E" w:rsidP="00BE6708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  <w:lang w:val="fr-CA"/>
            </w:rPr>
          </w:pPr>
        </w:p>
        <w:p w:rsidR="001A4D7E" w:rsidRDefault="001A4D7E" w:rsidP="001A4D7E">
          <w:pPr>
            <w:pStyle w:val="Footer"/>
            <w:tabs>
              <w:tab w:val="clear" w:pos="4320"/>
              <w:tab w:val="center" w:pos="2585"/>
            </w:tabs>
            <w:rPr>
              <w:rFonts w:ascii="Arial" w:hAnsi="Arial"/>
              <w:sz w:val="18"/>
            </w:rPr>
          </w:pPr>
          <w:r w:rsidRPr="00C23E47">
            <w:rPr>
              <w:rFonts w:ascii="Arial" w:hAnsi="Arial"/>
              <w:sz w:val="18"/>
              <w:lang w:val="fr-CA"/>
            </w:rPr>
            <w:t xml:space="preserve">        </w:t>
          </w:r>
          <w:r>
            <w:rPr>
              <w:rFonts w:ascii="Arial" w:hAnsi="Arial"/>
              <w:sz w:val="18"/>
            </w:rPr>
            <w:t>PS.030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23E4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23E47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65518" w:rsidRDefault="00E6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3F" w:rsidRDefault="006B693F">
      <w:r>
        <w:separator/>
      </w:r>
    </w:p>
  </w:footnote>
  <w:footnote w:type="continuationSeparator" w:id="0">
    <w:p w:rsidR="006B693F" w:rsidRDefault="006B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18" w:rsidRPr="00B82D7C" w:rsidRDefault="00E65518" w:rsidP="00480876">
    <w:pPr>
      <w:pStyle w:val="Title"/>
      <w:rPr>
        <w:rFonts w:ascii="Arial" w:hAnsi="Arial"/>
        <w:sz w:val="28"/>
        <w:lang w:val="fr-CA"/>
      </w:rPr>
    </w:pPr>
    <w:r w:rsidRPr="00B82D7C">
      <w:rPr>
        <w:rFonts w:ascii="Arial" w:hAnsi="Arial"/>
        <w:sz w:val="28"/>
        <w:lang w:val="fr-CA"/>
      </w:rPr>
      <w:t xml:space="preserve">Traitement des hématies par </w:t>
    </w:r>
    <w:proofErr w:type="spellStart"/>
    <w:r w:rsidRPr="00B82D7C">
      <w:rPr>
        <w:rFonts w:ascii="Arial" w:hAnsi="Arial"/>
        <w:sz w:val="28"/>
        <w:lang w:val="fr-CA"/>
      </w:rPr>
      <w:t>dithiothréitol</w:t>
    </w:r>
    <w:proofErr w:type="spellEnd"/>
    <w:r w:rsidRPr="00B82D7C">
      <w:rPr>
        <w:rFonts w:ascii="Arial" w:hAnsi="Arial"/>
        <w:sz w:val="28"/>
        <w:lang w:val="fr-CA"/>
      </w:rPr>
      <w:t xml:space="preserve"> (DTT) pour disperser l’</w:t>
    </w:r>
    <w:proofErr w:type="spellStart"/>
    <w:r w:rsidRPr="00B82D7C">
      <w:rPr>
        <w:rFonts w:ascii="Arial" w:hAnsi="Arial"/>
        <w:sz w:val="28"/>
        <w:lang w:val="fr-CA"/>
      </w:rPr>
      <w:t>autoagglutination</w:t>
    </w:r>
    <w:proofErr w:type="spellEnd"/>
    <w:r w:rsidRPr="00B82D7C">
      <w:rPr>
        <w:rFonts w:ascii="Arial" w:hAnsi="Arial"/>
        <w:sz w:val="28"/>
        <w:lang w:val="fr-CA"/>
      </w:rPr>
      <w:t xml:space="preserve"> provoquée par les anticorps IgM</w:t>
    </w:r>
  </w:p>
  <w:p w:rsidR="00E65518" w:rsidRPr="00E9235E" w:rsidRDefault="00E65518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18" w:rsidRDefault="00A5733E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E47" w:rsidRPr="00480876" w:rsidRDefault="00C23E47">
    <w:pPr>
      <w:pStyle w:val="Header"/>
      <w:rPr>
        <w:rFonts w:ascii="Arial" w:hAnsi="Arial" w:cs="Arial"/>
        <w:b/>
        <w:bCs/>
        <w:sz w:val="22"/>
        <w:lang w:val="fr-CA"/>
      </w:rPr>
    </w:pPr>
  </w:p>
  <w:p w:rsidR="001A4D7E" w:rsidRPr="000C64D0" w:rsidRDefault="001A4D7E" w:rsidP="001A4D7E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1A4D7E" w:rsidRPr="000C64D0" w:rsidRDefault="001A4D7E" w:rsidP="001A4D7E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E65518" w:rsidRPr="00480876" w:rsidRDefault="00E65518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E65518" w:rsidRPr="00480876" w:rsidRDefault="00E65518" w:rsidP="00480876">
    <w:pPr>
      <w:pStyle w:val="Title"/>
      <w:rPr>
        <w:rFonts w:ascii="Arial" w:hAnsi="Arial"/>
        <w:sz w:val="28"/>
        <w:lang w:val="fr-CA"/>
      </w:rPr>
    </w:pPr>
    <w:r w:rsidRPr="00480876">
      <w:rPr>
        <w:rFonts w:ascii="Arial" w:hAnsi="Arial"/>
        <w:sz w:val="28"/>
        <w:lang w:val="fr-CA"/>
      </w:rPr>
      <w:t xml:space="preserve">Traitement des hématies par </w:t>
    </w:r>
    <w:proofErr w:type="spellStart"/>
    <w:r w:rsidRPr="00480876">
      <w:rPr>
        <w:rFonts w:ascii="Arial" w:hAnsi="Arial"/>
        <w:sz w:val="28"/>
        <w:lang w:val="fr-CA"/>
      </w:rPr>
      <w:t>dithiothréitol</w:t>
    </w:r>
    <w:proofErr w:type="spellEnd"/>
    <w:r w:rsidRPr="00480876">
      <w:rPr>
        <w:rFonts w:ascii="Arial" w:hAnsi="Arial"/>
        <w:sz w:val="28"/>
        <w:lang w:val="fr-CA"/>
      </w:rPr>
      <w:t xml:space="preserve"> (DTT) pour disperser l’</w:t>
    </w:r>
    <w:proofErr w:type="spellStart"/>
    <w:r w:rsidRPr="00480876">
      <w:rPr>
        <w:rFonts w:ascii="Arial" w:hAnsi="Arial"/>
        <w:sz w:val="28"/>
        <w:lang w:val="fr-CA"/>
      </w:rPr>
      <w:t>autoagglutination</w:t>
    </w:r>
    <w:proofErr w:type="spellEnd"/>
    <w:r w:rsidRPr="00480876">
      <w:rPr>
        <w:rFonts w:ascii="Arial" w:hAnsi="Arial"/>
        <w:sz w:val="28"/>
        <w:lang w:val="fr-CA"/>
      </w:rPr>
      <w:t xml:space="preserve"> provoquée par les anticorps IgM</w:t>
    </w:r>
  </w:p>
  <w:p w:rsidR="00E65518" w:rsidRPr="00480876" w:rsidRDefault="00E65518">
    <w:pPr>
      <w:pStyle w:val="Title"/>
      <w:rPr>
        <w:rFonts w:ascii="Arial" w:hAnsi="Arial"/>
        <w:sz w:val="28"/>
        <w:lang w:val="fr-CA"/>
      </w:rPr>
    </w:pPr>
  </w:p>
  <w:p w:rsidR="00E65518" w:rsidRPr="00480876" w:rsidRDefault="00A5733E">
    <w:pPr>
      <w:pStyle w:val="Header"/>
      <w:jc w:val="center"/>
      <w:rPr>
        <w:rFonts w:ascii="Arial" w:hAnsi="Arial" w:cs="Arial"/>
        <w:b/>
        <w:bCs/>
        <w:lang w:val="fr-CA"/>
      </w:rPr>
    </w:pPr>
    <w:r w:rsidRPr="00480876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4EFF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9092" w:type="dxa"/>
      <w:tblLook w:val="0000" w:firstRow="0" w:lastRow="0" w:firstColumn="0" w:lastColumn="0" w:noHBand="0" w:noVBand="0"/>
    </w:tblPr>
    <w:tblGrid>
      <w:gridCol w:w="4428"/>
      <w:gridCol w:w="236"/>
      <w:gridCol w:w="4428"/>
    </w:tblGrid>
    <w:tr w:rsidR="008C27FC" w:rsidRPr="00480876" w:rsidTr="008C27FC">
      <w:tc>
        <w:tcPr>
          <w:tcW w:w="4428" w:type="dxa"/>
        </w:tcPr>
        <w:p w:rsidR="008C27FC" w:rsidRPr="00394A8A" w:rsidRDefault="008C27FC" w:rsidP="00BE6708">
          <w:pPr>
            <w:pStyle w:val="Header"/>
            <w:rPr>
              <w:rFonts w:ascii="Arial" w:hAnsi="Arial" w:cs="Arial"/>
              <w:lang w:val="fr-CA"/>
            </w:rPr>
          </w:pPr>
          <w:r w:rsidRPr="00394A8A">
            <w:rPr>
              <w:rFonts w:ascii="Arial" w:hAnsi="Arial" w:cs="Arial"/>
              <w:lang w:val="fr-CA"/>
            </w:rPr>
            <w:t>Approbation</w:t>
          </w:r>
          <w:r w:rsidR="003708C0">
            <w:rPr>
              <w:rFonts w:ascii="Arial" w:hAnsi="Arial" w:cs="Arial"/>
              <w:lang w:val="fr-CA"/>
            </w:rPr>
            <w:t> </w:t>
          </w:r>
          <w:r w:rsidRPr="00394A8A">
            <w:rPr>
              <w:rFonts w:ascii="Arial" w:hAnsi="Arial" w:cs="Arial"/>
              <w:lang w:val="fr-CA"/>
            </w:rPr>
            <w:t>:</w:t>
          </w:r>
        </w:p>
      </w:tc>
      <w:tc>
        <w:tcPr>
          <w:tcW w:w="236" w:type="dxa"/>
        </w:tcPr>
        <w:p w:rsidR="008C27FC" w:rsidRPr="00480876" w:rsidRDefault="008C27FC" w:rsidP="00480876">
          <w:pPr>
            <w:pStyle w:val="Header"/>
            <w:tabs>
              <w:tab w:val="clear" w:pos="4320"/>
              <w:tab w:val="clear" w:pos="8640"/>
              <w:tab w:val="right" w:pos="4212"/>
            </w:tabs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8C27FC" w:rsidRPr="00480876" w:rsidRDefault="008C27FC">
          <w:pPr>
            <w:pStyle w:val="Header"/>
            <w:rPr>
              <w:rFonts w:ascii="Arial" w:hAnsi="Arial" w:cs="Arial"/>
              <w:lang w:val="fr-CA"/>
            </w:rPr>
          </w:pPr>
          <w:r w:rsidRPr="00480876">
            <w:rPr>
              <w:rFonts w:ascii="Arial" w:hAnsi="Arial" w:cs="Arial"/>
              <w:lang w:val="fr-CA"/>
            </w:rPr>
            <w:t>Document n</w:t>
          </w:r>
          <w:r w:rsidRPr="00480876">
            <w:rPr>
              <w:rFonts w:ascii="Arial" w:hAnsi="Arial" w:cs="Arial"/>
              <w:vertAlign w:val="superscript"/>
              <w:lang w:val="fr-CA"/>
            </w:rPr>
            <w:t>o</w:t>
          </w:r>
          <w:r w:rsidR="003708C0">
            <w:rPr>
              <w:rFonts w:ascii="Arial" w:hAnsi="Arial" w:cs="Arial"/>
              <w:vertAlign w:val="superscript"/>
              <w:lang w:val="fr-CA"/>
            </w:rPr>
            <w:t> </w:t>
          </w:r>
          <w:r w:rsidRPr="00480876">
            <w:rPr>
              <w:rFonts w:ascii="Arial" w:hAnsi="Arial" w:cs="Arial"/>
              <w:lang w:val="fr-CA"/>
            </w:rPr>
            <w:t>: PS.030</w:t>
          </w:r>
        </w:p>
      </w:tc>
    </w:tr>
    <w:tr w:rsidR="008C27FC" w:rsidRPr="00480876" w:rsidTr="008C27FC">
      <w:tc>
        <w:tcPr>
          <w:tcW w:w="4428" w:type="dxa"/>
        </w:tcPr>
        <w:p w:rsidR="008C27FC" w:rsidRPr="00394A8A" w:rsidRDefault="008C27FC" w:rsidP="00BE6708">
          <w:pPr>
            <w:pStyle w:val="Header"/>
            <w:rPr>
              <w:rFonts w:ascii="Arial" w:hAnsi="Arial" w:cs="Arial"/>
              <w:lang w:val="fr-CA"/>
            </w:rPr>
          </w:pPr>
          <w:r w:rsidRPr="00394A8A">
            <w:rPr>
              <w:rFonts w:ascii="Arial" w:hAnsi="Arial" w:cs="Arial"/>
              <w:lang w:val="fr-CA"/>
            </w:rPr>
            <w:t>Date de publication</w:t>
          </w:r>
          <w:r w:rsidR="003708C0">
            <w:rPr>
              <w:rFonts w:ascii="Arial" w:hAnsi="Arial" w:cs="Arial"/>
              <w:lang w:val="fr-CA"/>
            </w:rPr>
            <w:t> </w:t>
          </w:r>
          <w:r w:rsidRPr="00394A8A">
            <w:rPr>
              <w:rFonts w:ascii="Arial" w:hAnsi="Arial" w:cs="Arial"/>
              <w:lang w:val="fr-CA"/>
            </w:rPr>
            <w:t>: 2006/08/01</w:t>
          </w:r>
        </w:p>
      </w:tc>
      <w:tc>
        <w:tcPr>
          <w:tcW w:w="236" w:type="dxa"/>
        </w:tcPr>
        <w:p w:rsidR="008C27FC" w:rsidRPr="00480876" w:rsidRDefault="008C27FC" w:rsidP="00480876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8C27FC" w:rsidRPr="00480876" w:rsidRDefault="008C27FC" w:rsidP="00480876">
          <w:pPr>
            <w:pStyle w:val="Header"/>
            <w:rPr>
              <w:rFonts w:ascii="Arial" w:hAnsi="Arial" w:cs="Arial"/>
              <w:lang w:val="fr-CA"/>
            </w:rPr>
          </w:pPr>
          <w:r w:rsidRPr="00480876">
            <w:rPr>
              <w:rFonts w:ascii="Arial" w:hAnsi="Arial" w:cs="Arial"/>
              <w:lang w:val="fr-CA"/>
            </w:rPr>
            <w:t>Catégorie</w:t>
          </w:r>
          <w:r w:rsidR="003708C0">
            <w:rPr>
              <w:rFonts w:ascii="Arial" w:hAnsi="Arial" w:cs="Arial"/>
              <w:lang w:val="fr-CA"/>
            </w:rPr>
            <w:t> </w:t>
          </w:r>
          <w:r w:rsidRPr="00480876">
            <w:rPr>
              <w:rFonts w:ascii="Arial" w:hAnsi="Arial" w:cs="Arial"/>
              <w:lang w:val="fr-CA"/>
            </w:rPr>
            <w:t>: Procédures spéciales</w:t>
          </w:r>
        </w:p>
      </w:tc>
    </w:tr>
    <w:tr w:rsidR="008C27FC" w:rsidRPr="00480876" w:rsidTr="008C27FC">
      <w:trPr>
        <w:trHeight w:val="270"/>
      </w:trPr>
      <w:tc>
        <w:tcPr>
          <w:tcW w:w="4428" w:type="dxa"/>
        </w:tcPr>
        <w:p w:rsidR="008C27FC" w:rsidRPr="00394A8A" w:rsidRDefault="008C27FC" w:rsidP="00BE6708">
          <w:pPr>
            <w:pStyle w:val="Header"/>
            <w:rPr>
              <w:rFonts w:ascii="Arial" w:hAnsi="Arial" w:cs="Arial"/>
              <w:lang w:val="fr-CA"/>
            </w:rPr>
          </w:pPr>
          <w:r w:rsidRPr="00394A8A">
            <w:rPr>
              <w:rFonts w:ascii="Arial" w:hAnsi="Arial" w:cs="Arial"/>
              <w:lang w:val="fr-CA"/>
            </w:rPr>
            <w:t>Date de révision</w:t>
          </w:r>
          <w:r w:rsidR="003708C0">
            <w:rPr>
              <w:rFonts w:ascii="Arial" w:hAnsi="Arial" w:cs="Arial"/>
              <w:lang w:val="fr-CA"/>
            </w:rPr>
            <w:t> </w:t>
          </w:r>
          <w:r w:rsidRPr="00394A8A">
            <w:rPr>
              <w:rFonts w:ascii="Arial" w:hAnsi="Arial" w:cs="Arial"/>
              <w:lang w:val="fr-CA"/>
            </w:rPr>
            <w:t>:</w:t>
          </w:r>
          <w:r w:rsidRPr="00767813">
            <w:rPr>
              <w:rFonts w:ascii="Arial" w:hAnsi="Arial" w:cs="Arial"/>
              <w:lang w:val="fr-CA"/>
            </w:rPr>
            <w:t xml:space="preserve"> 200</w:t>
          </w:r>
          <w:r>
            <w:rPr>
              <w:rFonts w:ascii="Arial" w:hAnsi="Arial" w:cs="Arial"/>
              <w:lang w:val="fr-CA"/>
            </w:rPr>
            <w:t>9</w:t>
          </w:r>
          <w:r w:rsidRPr="00767813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9</w:t>
          </w:r>
          <w:r w:rsidRPr="00767813">
            <w:rPr>
              <w:rFonts w:ascii="Arial" w:hAnsi="Arial" w:cs="Arial"/>
              <w:lang w:val="fr-CA"/>
            </w:rPr>
            <w:t>/01</w:t>
          </w:r>
          <w:r>
            <w:rPr>
              <w:rFonts w:ascii="Arial" w:hAnsi="Arial" w:cs="Arial"/>
              <w:lang w:val="fr-CA"/>
            </w:rPr>
            <w:t>;</w:t>
          </w:r>
          <w:r w:rsidRPr="00767813">
            <w:rPr>
              <w:rFonts w:ascii="Arial" w:hAnsi="Arial" w:cs="Arial"/>
              <w:lang w:val="fr-CA"/>
            </w:rPr>
            <w:t xml:space="preserve"> 20</w:t>
          </w:r>
          <w:r>
            <w:rPr>
              <w:rFonts w:ascii="Arial" w:hAnsi="Arial" w:cs="Arial"/>
              <w:lang w:val="fr-CA"/>
            </w:rPr>
            <w:t>14</w:t>
          </w:r>
          <w:r w:rsidRPr="00767813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lang w:val="fr-CA"/>
            </w:rPr>
            <w:t>9</w:t>
          </w:r>
          <w:r w:rsidRPr="00767813">
            <w:rPr>
              <w:rFonts w:ascii="Arial" w:hAnsi="Arial" w:cs="Arial"/>
              <w:lang w:val="fr-CA"/>
            </w:rPr>
            <w:t>/01</w:t>
          </w:r>
        </w:p>
      </w:tc>
      <w:tc>
        <w:tcPr>
          <w:tcW w:w="236" w:type="dxa"/>
        </w:tcPr>
        <w:p w:rsidR="008C27FC" w:rsidRPr="00480876" w:rsidRDefault="008C27FC" w:rsidP="00480876">
          <w:pPr>
            <w:pStyle w:val="Header"/>
            <w:rPr>
              <w:rFonts w:ascii="Arial" w:hAnsi="Arial" w:cs="Arial"/>
              <w:lang w:val="fr-CA"/>
            </w:rPr>
          </w:pPr>
        </w:p>
      </w:tc>
      <w:tc>
        <w:tcPr>
          <w:tcW w:w="4428" w:type="dxa"/>
        </w:tcPr>
        <w:p w:rsidR="008C27FC" w:rsidRPr="00480876" w:rsidRDefault="008C27FC">
          <w:pPr>
            <w:pStyle w:val="Header"/>
            <w:rPr>
              <w:rFonts w:ascii="Arial" w:hAnsi="Arial" w:cs="Arial"/>
              <w:lang w:val="fr-CA"/>
            </w:rPr>
          </w:pPr>
          <w:r w:rsidRPr="00480876">
            <w:rPr>
              <w:rFonts w:ascii="Arial" w:hAnsi="Arial" w:cs="Arial"/>
              <w:lang w:val="fr-CA"/>
            </w:rPr>
            <w:t>Page</w:t>
          </w:r>
          <w:r w:rsidR="003708C0">
            <w:rPr>
              <w:rFonts w:ascii="Arial" w:hAnsi="Arial" w:cs="Arial"/>
              <w:lang w:val="fr-CA"/>
            </w:rPr>
            <w:t> </w:t>
          </w:r>
          <w:r w:rsidRPr="00480876">
            <w:rPr>
              <w:rFonts w:ascii="Arial" w:hAnsi="Arial" w:cs="Arial"/>
              <w:lang w:val="fr-CA"/>
            </w:rPr>
            <w:t xml:space="preserve">: </w:t>
          </w:r>
          <w:r w:rsidRPr="00480876">
            <w:rPr>
              <w:rFonts w:ascii="Arial" w:hAnsi="Arial" w:cs="Arial"/>
              <w:lang w:val="fr-CA"/>
            </w:rPr>
            <w:fldChar w:fldCharType="begin"/>
          </w:r>
          <w:r w:rsidRPr="00480876">
            <w:rPr>
              <w:rFonts w:ascii="Arial" w:hAnsi="Arial" w:cs="Arial"/>
              <w:lang w:val="fr-CA"/>
            </w:rPr>
            <w:instrText xml:space="preserve"> NUMPAGES </w:instrText>
          </w:r>
          <w:r w:rsidRPr="00480876">
            <w:rPr>
              <w:rFonts w:ascii="Arial" w:hAnsi="Arial" w:cs="Arial"/>
              <w:lang w:val="fr-CA"/>
            </w:rPr>
            <w:fldChar w:fldCharType="separate"/>
          </w:r>
          <w:r w:rsidR="00C23E47">
            <w:rPr>
              <w:rFonts w:ascii="Arial" w:hAnsi="Arial" w:cs="Arial"/>
              <w:noProof/>
              <w:lang w:val="fr-CA"/>
            </w:rPr>
            <w:t>3</w:t>
          </w:r>
          <w:r w:rsidRPr="00480876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E65518" w:rsidRDefault="00A5733E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C721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E65518">
      <w:rPr>
        <w:rFonts w:ascii="Arial" w:hAnsi="Arial" w:cs="Arial"/>
      </w:rPr>
      <w:tab/>
    </w:r>
  </w:p>
  <w:p w:rsidR="00E65518" w:rsidRDefault="00E65518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95085"/>
    <w:multiLevelType w:val="multilevel"/>
    <w:tmpl w:val="9AF08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5300BFB"/>
    <w:multiLevelType w:val="hybridMultilevel"/>
    <w:tmpl w:val="0DF01D30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63C51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431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CE"/>
    <w:rsid w:val="00020E5C"/>
    <w:rsid w:val="00064675"/>
    <w:rsid w:val="00084E75"/>
    <w:rsid w:val="000B5AD9"/>
    <w:rsid w:val="000E1716"/>
    <w:rsid w:val="001A4D7E"/>
    <w:rsid w:val="00256719"/>
    <w:rsid w:val="003708C0"/>
    <w:rsid w:val="003C2C4A"/>
    <w:rsid w:val="00422AF9"/>
    <w:rsid w:val="00480876"/>
    <w:rsid w:val="00536715"/>
    <w:rsid w:val="00587E43"/>
    <w:rsid w:val="005A37CD"/>
    <w:rsid w:val="006501D3"/>
    <w:rsid w:val="00674CCC"/>
    <w:rsid w:val="006B693F"/>
    <w:rsid w:val="00731462"/>
    <w:rsid w:val="008C27FC"/>
    <w:rsid w:val="009836C3"/>
    <w:rsid w:val="00A2274F"/>
    <w:rsid w:val="00A5733E"/>
    <w:rsid w:val="00B4470F"/>
    <w:rsid w:val="00B82D7C"/>
    <w:rsid w:val="00BB2249"/>
    <w:rsid w:val="00BE6708"/>
    <w:rsid w:val="00C23E47"/>
    <w:rsid w:val="00C91620"/>
    <w:rsid w:val="00D825CE"/>
    <w:rsid w:val="00E65518"/>
    <w:rsid w:val="00E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04B1D-6449-49E2-93CA-1F443E4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2567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6719"/>
    <w:rPr>
      <w:sz w:val="16"/>
      <w:szCs w:val="16"/>
    </w:rPr>
  </w:style>
  <w:style w:type="paragraph" w:styleId="CommentText">
    <w:name w:val="annotation text"/>
    <w:basedOn w:val="Normal"/>
    <w:semiHidden/>
    <w:rsid w:val="00256719"/>
  </w:style>
  <w:style w:type="paragraph" w:styleId="CommentSubject">
    <w:name w:val="annotation subject"/>
    <w:basedOn w:val="CommentText"/>
    <w:next w:val="CommentText"/>
    <w:semiHidden/>
    <w:rsid w:val="00256719"/>
    <w:rPr>
      <w:b/>
      <w:bCs/>
    </w:rPr>
  </w:style>
  <w:style w:type="paragraph" w:styleId="BodyTextIndent2">
    <w:name w:val="Body Text Indent 2"/>
    <w:basedOn w:val="Normal"/>
    <w:link w:val="BodyTextIndent2Char"/>
    <w:rsid w:val="008C27F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C27F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C27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SP.030 Treatment of Red Cells with Dithiothreitol to Disperse Autoagglutination caused by IgM Antibodies</vt:lpstr>
      <vt:lpstr>SP.030 Treatment of Red Cells with Dithiothreitol to Disperse Autoagglutination caused by IgM Antibodies</vt:lpstr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SP.030 Treatment of Red Cells with Dithiothreitol to Disperse Autoagglutination caused by IgM Antibodies</dc:title>
  <dc:subject/>
  <dc:creator>Transfusion Ontario Program Office</dc:creator>
  <cp:keywords/>
  <cp:lastModifiedBy>Nesrallah, Heather</cp:lastModifiedBy>
  <cp:revision>2</cp:revision>
  <cp:lastPrinted>2010-08-04T15:56:00Z</cp:lastPrinted>
  <dcterms:created xsi:type="dcterms:W3CDTF">2020-08-11T15:47:00Z</dcterms:created>
  <dcterms:modified xsi:type="dcterms:W3CDTF">2020-08-11T15:47:00Z</dcterms:modified>
</cp:coreProperties>
</file>