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CF" w:rsidRPr="004C30B6" w:rsidRDefault="005D054A" w:rsidP="005D054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4C30B6">
        <w:rPr>
          <w:rFonts w:ascii="Arial" w:hAnsi="Arial"/>
          <w:b/>
          <w:sz w:val="28"/>
          <w:lang w:val="fr-CA"/>
        </w:rPr>
        <w:t>Principe</w:t>
      </w:r>
    </w:p>
    <w:p w:rsidR="00616FCF" w:rsidRPr="00832F92" w:rsidRDefault="00616FCF">
      <w:pPr>
        <w:rPr>
          <w:rFonts w:ascii="Arial" w:hAnsi="Arial"/>
          <w:b/>
          <w:lang w:val="fr-CA"/>
        </w:rPr>
      </w:pPr>
    </w:p>
    <w:p w:rsidR="00276E75" w:rsidRPr="004C30B6" w:rsidRDefault="00276E75" w:rsidP="00276E75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sz w:val="24"/>
          <w:lang w:val="fr-CA"/>
        </w:rPr>
        <w:t>Les réactifs thiol, comme le DTT</w:t>
      </w:r>
      <w:r>
        <w:rPr>
          <w:rFonts w:ascii="Arial" w:hAnsi="Arial"/>
          <w:sz w:val="24"/>
          <w:lang w:val="fr-CA"/>
        </w:rPr>
        <w:t>,</w:t>
      </w:r>
      <w:r w:rsidRPr="004C30B6">
        <w:rPr>
          <w:rFonts w:ascii="Arial" w:hAnsi="Arial"/>
          <w:sz w:val="24"/>
          <w:lang w:val="fr-CA"/>
        </w:rPr>
        <w:t xml:space="preserve"> scindent les l</w:t>
      </w:r>
      <w:r>
        <w:rPr>
          <w:rFonts w:ascii="Arial" w:hAnsi="Arial"/>
          <w:sz w:val="24"/>
          <w:lang w:val="fr-CA"/>
        </w:rPr>
        <w:t>iaisons</w:t>
      </w:r>
      <w:r w:rsidRPr="004C30B6">
        <w:rPr>
          <w:rFonts w:ascii="Arial" w:hAnsi="Arial"/>
          <w:sz w:val="24"/>
          <w:lang w:val="fr-CA"/>
        </w:rPr>
        <w:t xml:space="preserve"> disulf</w:t>
      </w:r>
      <w:r>
        <w:rPr>
          <w:rFonts w:ascii="Arial" w:hAnsi="Arial"/>
          <w:sz w:val="24"/>
          <w:lang w:val="fr-CA"/>
        </w:rPr>
        <w:t>ures</w:t>
      </w:r>
      <w:r w:rsidRPr="004C30B6">
        <w:rPr>
          <w:rFonts w:ascii="Arial" w:hAnsi="Arial"/>
          <w:sz w:val="24"/>
          <w:lang w:val="fr-CA"/>
        </w:rPr>
        <w:t xml:space="preserve"> </w:t>
      </w:r>
      <w:proofErr w:type="spellStart"/>
      <w:r w:rsidRPr="004C30B6">
        <w:rPr>
          <w:rFonts w:ascii="Arial" w:hAnsi="Arial"/>
          <w:sz w:val="24"/>
          <w:lang w:val="fr-CA"/>
        </w:rPr>
        <w:t>interchaînes</w:t>
      </w:r>
      <w:proofErr w:type="spellEnd"/>
      <w:r w:rsidRPr="004C30B6">
        <w:rPr>
          <w:rFonts w:ascii="Arial" w:hAnsi="Arial"/>
          <w:sz w:val="24"/>
          <w:lang w:val="fr-CA"/>
        </w:rPr>
        <w:t xml:space="preserve"> des molécules d’IgM et neutralisent la capacité d’agglutination des anticorps IgM, sans affecter les molécules IgG.</w:t>
      </w:r>
    </w:p>
    <w:p w:rsidR="00D91D28" w:rsidRDefault="00D91D28">
      <w:pPr>
        <w:pStyle w:val="Subtitle"/>
        <w:ind w:left="720"/>
        <w:rPr>
          <w:rFonts w:ascii="Arial" w:hAnsi="Arial"/>
          <w:b w:val="0"/>
          <w:lang w:val="fr-CA"/>
        </w:rPr>
      </w:pPr>
    </w:p>
    <w:p w:rsidR="00616FCF" w:rsidRPr="004C30B6" w:rsidRDefault="00382E28">
      <w:pPr>
        <w:pStyle w:val="Subtitle"/>
        <w:ind w:left="720"/>
        <w:rPr>
          <w:rFonts w:ascii="Arial" w:hAnsi="Arial"/>
          <w:b w:val="0"/>
          <w:lang w:val="fr-CA"/>
        </w:rPr>
      </w:pPr>
      <w:r w:rsidRPr="004C30B6">
        <w:rPr>
          <w:rFonts w:ascii="Arial" w:hAnsi="Arial"/>
          <w:b w:val="0"/>
          <w:lang w:val="fr-CA"/>
        </w:rPr>
        <w:t xml:space="preserve">Le </w:t>
      </w:r>
      <w:r w:rsidR="00616FCF" w:rsidRPr="004C30B6">
        <w:rPr>
          <w:rFonts w:ascii="Arial" w:hAnsi="Arial"/>
          <w:b w:val="0"/>
          <w:lang w:val="fr-CA"/>
        </w:rPr>
        <w:t xml:space="preserve">DTT </w:t>
      </w:r>
      <w:r w:rsidRPr="004C30B6">
        <w:rPr>
          <w:rFonts w:ascii="Arial" w:hAnsi="Arial"/>
          <w:b w:val="0"/>
          <w:lang w:val="fr-CA"/>
        </w:rPr>
        <w:t xml:space="preserve">permet de distinguer les anticorps </w:t>
      </w:r>
      <w:r w:rsidR="00616FCF" w:rsidRPr="004C30B6">
        <w:rPr>
          <w:rFonts w:ascii="Arial" w:hAnsi="Arial"/>
          <w:b w:val="0"/>
          <w:lang w:val="fr-CA"/>
        </w:rPr>
        <w:t xml:space="preserve">IgM </w:t>
      </w:r>
      <w:r w:rsidRPr="004C30B6">
        <w:rPr>
          <w:rFonts w:ascii="Arial" w:hAnsi="Arial"/>
          <w:b w:val="0"/>
          <w:lang w:val="fr-CA"/>
        </w:rPr>
        <w:t xml:space="preserve">et les anticorps </w:t>
      </w:r>
      <w:r w:rsidR="00616FCF" w:rsidRPr="004C30B6">
        <w:rPr>
          <w:rFonts w:ascii="Arial" w:hAnsi="Arial"/>
          <w:b w:val="0"/>
          <w:lang w:val="fr-CA"/>
        </w:rPr>
        <w:t>IgG</w:t>
      </w:r>
      <w:r w:rsidR="0014213A">
        <w:rPr>
          <w:rFonts w:ascii="Arial" w:hAnsi="Arial"/>
          <w:b w:val="0"/>
          <w:lang w:val="fr-CA"/>
        </w:rPr>
        <w:t xml:space="preserve"> </w:t>
      </w:r>
      <w:r w:rsidRPr="004C30B6">
        <w:rPr>
          <w:rFonts w:ascii="Arial" w:hAnsi="Arial"/>
          <w:b w:val="0"/>
          <w:lang w:val="fr-CA"/>
        </w:rPr>
        <w:t xml:space="preserve">ou d’inactiver les anticorps </w:t>
      </w:r>
      <w:r w:rsidR="00616FCF" w:rsidRPr="004C30B6">
        <w:rPr>
          <w:rFonts w:ascii="Arial" w:hAnsi="Arial"/>
          <w:b w:val="0"/>
          <w:lang w:val="fr-CA"/>
        </w:rPr>
        <w:t xml:space="preserve">IgM </w:t>
      </w:r>
      <w:r w:rsidRPr="004C30B6">
        <w:rPr>
          <w:rFonts w:ascii="Arial" w:hAnsi="Arial"/>
          <w:b w:val="0"/>
          <w:lang w:val="fr-CA"/>
        </w:rPr>
        <w:t>pour permettre l’identification de tout anticorps IgG non affecté</w:t>
      </w:r>
      <w:r w:rsidR="00616FCF" w:rsidRPr="004C30B6">
        <w:rPr>
          <w:rFonts w:ascii="Arial" w:hAnsi="Arial"/>
          <w:b w:val="0"/>
          <w:lang w:val="fr-CA"/>
        </w:rPr>
        <w:t>.</w:t>
      </w:r>
    </w:p>
    <w:p w:rsidR="00616FCF" w:rsidRPr="004C30B6" w:rsidRDefault="00616FCF">
      <w:pPr>
        <w:ind w:left="720"/>
        <w:rPr>
          <w:rFonts w:ascii="Arial" w:hAnsi="Arial"/>
          <w:sz w:val="24"/>
          <w:lang w:val="fr-CA"/>
        </w:rPr>
      </w:pPr>
    </w:p>
    <w:p w:rsidR="00616FCF" w:rsidRDefault="005D054A" w:rsidP="005D054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4C30B6">
        <w:rPr>
          <w:rFonts w:ascii="Arial" w:hAnsi="Arial"/>
          <w:b/>
          <w:sz w:val="28"/>
          <w:lang w:val="fr-CA"/>
        </w:rPr>
        <w:t>Portée et politiques connexes</w:t>
      </w:r>
    </w:p>
    <w:p w:rsidR="004D20F5" w:rsidRPr="004C30B6" w:rsidRDefault="004D20F5" w:rsidP="004D20F5">
      <w:pPr>
        <w:ind w:left="720"/>
        <w:rPr>
          <w:rFonts w:ascii="Arial" w:hAnsi="Arial"/>
          <w:b/>
          <w:sz w:val="28"/>
          <w:lang w:val="fr-CA"/>
        </w:rPr>
      </w:pPr>
    </w:p>
    <w:p w:rsidR="00616FCF" w:rsidRPr="0017422B" w:rsidRDefault="0017422B" w:rsidP="00D91D28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 w:rsidRPr="0017422B">
        <w:rPr>
          <w:rFonts w:ascii="Arial" w:hAnsi="Arial"/>
          <w:sz w:val="24"/>
          <w:szCs w:val="24"/>
          <w:lang w:val="fr-CA"/>
        </w:rPr>
        <w:t>Le traitement par DDT de sérum, de plasma ou d’</w:t>
      </w:r>
      <w:proofErr w:type="spellStart"/>
      <w:r w:rsidRPr="0017422B">
        <w:rPr>
          <w:rFonts w:ascii="Arial" w:hAnsi="Arial"/>
          <w:sz w:val="24"/>
          <w:szCs w:val="24"/>
          <w:lang w:val="fr-CA"/>
        </w:rPr>
        <w:t>éluat</w:t>
      </w:r>
      <w:proofErr w:type="spellEnd"/>
      <w:r w:rsidRPr="0017422B">
        <w:rPr>
          <w:rFonts w:ascii="Arial" w:hAnsi="Arial"/>
          <w:sz w:val="24"/>
          <w:szCs w:val="24"/>
          <w:lang w:val="fr-CA"/>
        </w:rPr>
        <w:t xml:space="preserve"> </w:t>
      </w:r>
      <w:r>
        <w:rPr>
          <w:rFonts w:ascii="Arial" w:hAnsi="Arial"/>
          <w:sz w:val="24"/>
          <w:szCs w:val="24"/>
          <w:lang w:val="fr-CA"/>
        </w:rPr>
        <w:t>à analyser peut aider à identifier des anticorps en présence d’un mélange d’anticorps IgM et IgG.</w:t>
      </w:r>
    </w:p>
    <w:p w:rsidR="00616FCF" w:rsidRPr="004C30B6" w:rsidRDefault="00616FCF">
      <w:pPr>
        <w:rPr>
          <w:rFonts w:ascii="Arial" w:hAnsi="Arial"/>
          <w:sz w:val="24"/>
          <w:lang w:val="fr-CA"/>
        </w:rPr>
      </w:pPr>
    </w:p>
    <w:p w:rsidR="00616FCF" w:rsidRPr="004C30B6" w:rsidRDefault="005D054A" w:rsidP="005D054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4C30B6">
        <w:rPr>
          <w:rFonts w:ascii="Arial" w:hAnsi="Arial"/>
          <w:b/>
          <w:sz w:val="28"/>
          <w:lang w:val="fr-CA"/>
        </w:rPr>
        <w:t>Échantillon</w:t>
      </w:r>
    </w:p>
    <w:p w:rsidR="00616FCF" w:rsidRPr="00832F92" w:rsidRDefault="00616FCF">
      <w:pPr>
        <w:rPr>
          <w:rFonts w:ascii="Arial" w:hAnsi="Arial"/>
          <w:lang w:val="fr-CA"/>
        </w:rPr>
      </w:pPr>
    </w:p>
    <w:p w:rsidR="00616FCF" w:rsidRPr="004C30B6" w:rsidRDefault="005D054A" w:rsidP="005D054A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sz w:val="24"/>
          <w:lang w:val="fr-CA"/>
        </w:rPr>
        <w:t xml:space="preserve">Plasma, sérum ou </w:t>
      </w:r>
      <w:proofErr w:type="spellStart"/>
      <w:r w:rsidRPr="004C30B6">
        <w:rPr>
          <w:rFonts w:ascii="Arial" w:hAnsi="Arial"/>
          <w:sz w:val="24"/>
          <w:lang w:val="fr-CA"/>
        </w:rPr>
        <w:t>éluat</w:t>
      </w:r>
      <w:proofErr w:type="spellEnd"/>
    </w:p>
    <w:p w:rsidR="00616FCF" w:rsidRPr="004C30B6" w:rsidRDefault="00D91D28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:rsidR="00616FCF" w:rsidRPr="004C30B6" w:rsidRDefault="005D054A" w:rsidP="005D054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4C30B6">
        <w:rPr>
          <w:rFonts w:ascii="Arial" w:hAnsi="Arial"/>
          <w:b/>
          <w:sz w:val="28"/>
          <w:lang w:val="fr-CA"/>
        </w:rPr>
        <w:t>Matériel</w:t>
      </w:r>
    </w:p>
    <w:p w:rsidR="00616FCF" w:rsidRPr="00832F92" w:rsidRDefault="00616FCF">
      <w:pPr>
        <w:rPr>
          <w:rFonts w:ascii="Arial" w:hAnsi="Arial"/>
          <w:lang w:val="fr-CA"/>
        </w:rPr>
      </w:pPr>
    </w:p>
    <w:p w:rsidR="00616FCF" w:rsidRPr="004C30B6" w:rsidRDefault="005D054A" w:rsidP="005D054A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b/>
          <w:sz w:val="24"/>
          <w:lang w:val="fr-CA"/>
        </w:rPr>
        <w:t>Équipement</w:t>
      </w:r>
      <w:r w:rsidRPr="004C30B6">
        <w:rPr>
          <w:rFonts w:ascii="Arial" w:hAnsi="Arial"/>
          <w:sz w:val="24"/>
          <w:lang w:val="fr-CA"/>
        </w:rPr>
        <w:t xml:space="preserve"> : </w:t>
      </w:r>
      <w:r w:rsidRPr="004C30B6">
        <w:rPr>
          <w:rFonts w:ascii="Arial" w:hAnsi="Arial"/>
          <w:sz w:val="24"/>
          <w:lang w:val="fr-CA"/>
        </w:rPr>
        <w:tab/>
        <w:t>laveur de cellules</w:t>
      </w:r>
    </w:p>
    <w:p w:rsidR="00616FCF" w:rsidRPr="004C30B6" w:rsidRDefault="00616FCF" w:rsidP="005D054A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  <w:proofErr w:type="gramStart"/>
      <w:r w:rsidR="005D054A" w:rsidRPr="004C30B6">
        <w:rPr>
          <w:rFonts w:ascii="Arial" w:hAnsi="Arial"/>
          <w:sz w:val="24"/>
          <w:lang w:val="fr-CA"/>
        </w:rPr>
        <w:t>centrifugeuse</w:t>
      </w:r>
      <w:proofErr w:type="gramEnd"/>
      <w:r w:rsidR="005D054A" w:rsidRPr="004C30B6">
        <w:rPr>
          <w:rFonts w:ascii="Arial" w:hAnsi="Arial"/>
          <w:sz w:val="24"/>
          <w:lang w:val="fr-CA"/>
        </w:rPr>
        <w:t xml:space="preserve"> sérologique</w:t>
      </w:r>
    </w:p>
    <w:p w:rsidR="00616FCF" w:rsidRPr="004C30B6" w:rsidRDefault="00616FCF" w:rsidP="005D054A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  <w:proofErr w:type="gramStart"/>
      <w:r w:rsidR="005D054A" w:rsidRPr="004C30B6">
        <w:rPr>
          <w:rFonts w:ascii="Arial" w:hAnsi="Arial"/>
          <w:sz w:val="24"/>
          <w:lang w:val="fr-CA"/>
        </w:rPr>
        <w:t>support</w:t>
      </w:r>
      <w:proofErr w:type="gramEnd"/>
      <w:r w:rsidR="005D054A" w:rsidRPr="004C30B6">
        <w:rPr>
          <w:rFonts w:ascii="Arial" w:hAnsi="Arial"/>
          <w:sz w:val="24"/>
          <w:lang w:val="fr-CA"/>
        </w:rPr>
        <w:t xml:space="preserve"> à tubes</w:t>
      </w:r>
    </w:p>
    <w:p w:rsidR="00616FCF" w:rsidRPr="004C30B6" w:rsidRDefault="005D054A" w:rsidP="005D054A">
      <w:pPr>
        <w:ind w:left="2880"/>
        <w:rPr>
          <w:rFonts w:ascii="Arial" w:hAnsi="Arial"/>
          <w:sz w:val="24"/>
          <w:lang w:val="fr-CA"/>
        </w:rPr>
      </w:pPr>
      <w:proofErr w:type="gramStart"/>
      <w:r w:rsidRPr="004C30B6">
        <w:rPr>
          <w:rFonts w:ascii="Arial" w:hAnsi="Arial"/>
          <w:sz w:val="24"/>
          <w:lang w:val="fr-CA"/>
        </w:rPr>
        <w:t>microscope</w:t>
      </w:r>
      <w:proofErr w:type="gramEnd"/>
    </w:p>
    <w:p w:rsidR="00616FCF" w:rsidRPr="004C30B6" w:rsidRDefault="005D054A" w:rsidP="005D054A">
      <w:pPr>
        <w:ind w:left="2880"/>
        <w:rPr>
          <w:rFonts w:ascii="Arial" w:hAnsi="Arial"/>
          <w:sz w:val="24"/>
          <w:lang w:val="fr-CA"/>
        </w:rPr>
      </w:pPr>
      <w:proofErr w:type="gramStart"/>
      <w:r w:rsidRPr="004C30B6">
        <w:rPr>
          <w:rFonts w:ascii="Arial" w:hAnsi="Arial"/>
          <w:sz w:val="24"/>
          <w:lang w:val="fr-CA"/>
        </w:rPr>
        <w:t>bain</w:t>
      </w:r>
      <w:proofErr w:type="gramEnd"/>
      <w:r w:rsidRPr="004C30B6">
        <w:rPr>
          <w:rFonts w:ascii="Arial" w:hAnsi="Arial"/>
          <w:sz w:val="24"/>
          <w:lang w:val="fr-CA"/>
        </w:rPr>
        <w:t>-marie/bloc chauffant à 37°C</w:t>
      </w:r>
    </w:p>
    <w:p w:rsidR="00616FCF" w:rsidRPr="004C30B6" w:rsidRDefault="00616FCF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</w:p>
    <w:p w:rsidR="00616FCF" w:rsidRPr="004C30B6" w:rsidRDefault="005D054A" w:rsidP="005D054A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b/>
          <w:sz w:val="24"/>
          <w:lang w:val="fr-CA"/>
        </w:rPr>
        <w:t xml:space="preserve">Fournitures : </w:t>
      </w:r>
      <w:r w:rsidRPr="004C30B6">
        <w:rPr>
          <w:rFonts w:ascii="Arial" w:hAnsi="Arial"/>
          <w:sz w:val="24"/>
          <w:lang w:val="fr-CA"/>
        </w:rPr>
        <w:tab/>
        <w:t>tubes 10 x 75 mm</w:t>
      </w:r>
    </w:p>
    <w:p w:rsidR="00616FCF" w:rsidRPr="004C30B6" w:rsidRDefault="00616FCF" w:rsidP="005D054A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  <w:proofErr w:type="gramStart"/>
      <w:r w:rsidR="005D054A" w:rsidRPr="004C30B6">
        <w:rPr>
          <w:rFonts w:ascii="Arial" w:hAnsi="Arial"/>
          <w:sz w:val="24"/>
          <w:lang w:val="fr-CA"/>
        </w:rPr>
        <w:t>pipettes</w:t>
      </w:r>
      <w:proofErr w:type="gramEnd"/>
      <w:r w:rsidR="005D054A" w:rsidRPr="004C30B6">
        <w:rPr>
          <w:rFonts w:ascii="Arial" w:hAnsi="Arial"/>
          <w:sz w:val="24"/>
          <w:lang w:val="fr-CA"/>
        </w:rPr>
        <w:t xml:space="preserve"> sérologiques</w:t>
      </w:r>
    </w:p>
    <w:p w:rsidR="00616FCF" w:rsidRPr="004C30B6" w:rsidRDefault="004C30B6" w:rsidP="005D054A">
      <w:pPr>
        <w:ind w:left="2880"/>
        <w:rPr>
          <w:rFonts w:ascii="Arial" w:hAnsi="Arial"/>
          <w:sz w:val="24"/>
          <w:lang w:val="fr-CA"/>
        </w:rPr>
      </w:pPr>
      <w:proofErr w:type="gramStart"/>
      <w:r w:rsidRPr="004C30B6">
        <w:rPr>
          <w:rFonts w:ascii="Arial" w:hAnsi="Arial"/>
          <w:sz w:val="24"/>
          <w:lang w:val="fr-CA"/>
        </w:rPr>
        <w:t>f</w:t>
      </w:r>
      <w:r w:rsidR="005D054A" w:rsidRPr="004C30B6">
        <w:rPr>
          <w:rFonts w:ascii="Arial" w:hAnsi="Arial"/>
          <w:sz w:val="24"/>
          <w:lang w:val="fr-CA"/>
        </w:rPr>
        <w:t>euille</w:t>
      </w:r>
      <w:proofErr w:type="gramEnd"/>
      <w:r w:rsidR="005D054A" w:rsidRPr="004C30B6">
        <w:rPr>
          <w:rFonts w:ascii="Arial" w:hAnsi="Arial"/>
          <w:sz w:val="24"/>
          <w:lang w:val="fr-CA"/>
        </w:rPr>
        <w:t xml:space="preserve"> de travail</w:t>
      </w:r>
      <w:r w:rsidR="000C163C">
        <w:rPr>
          <w:rFonts w:ascii="Arial" w:hAnsi="Arial"/>
          <w:sz w:val="24"/>
          <w:lang w:val="fr-CA"/>
        </w:rPr>
        <w:t> </w:t>
      </w:r>
      <w:r w:rsidRPr="004C30B6">
        <w:rPr>
          <w:rFonts w:ascii="Arial" w:hAnsi="Arial"/>
          <w:sz w:val="24"/>
          <w:lang w:val="fr-CA"/>
        </w:rPr>
        <w:t>PS.029F</w:t>
      </w:r>
      <w:r w:rsidR="0014213A">
        <w:rPr>
          <w:rFonts w:ascii="Arial" w:hAnsi="Arial"/>
          <w:sz w:val="24"/>
          <w:lang w:val="fr-CA"/>
        </w:rPr>
        <w:t xml:space="preserve"> </w:t>
      </w:r>
      <w:r w:rsidR="005D054A" w:rsidRPr="004C30B6">
        <w:rPr>
          <w:rFonts w:ascii="Arial" w:hAnsi="Arial"/>
          <w:sz w:val="24"/>
          <w:lang w:val="fr-CA"/>
        </w:rPr>
        <w:t>– Traitement du plasma par DTT</w:t>
      </w:r>
    </w:p>
    <w:p w:rsidR="00616FCF" w:rsidRPr="004C30B6" w:rsidRDefault="00616FCF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ab/>
      </w:r>
    </w:p>
    <w:p w:rsidR="00616FCF" w:rsidRPr="004C30B6" w:rsidRDefault="005D054A" w:rsidP="005D054A">
      <w:pPr>
        <w:ind w:left="720"/>
        <w:rPr>
          <w:rFonts w:ascii="Arial" w:hAnsi="Arial"/>
          <w:sz w:val="24"/>
          <w:lang w:val="fr-CA"/>
        </w:rPr>
      </w:pPr>
      <w:r w:rsidRPr="004C30B6">
        <w:rPr>
          <w:rFonts w:ascii="Arial" w:hAnsi="Arial"/>
          <w:b/>
          <w:sz w:val="24"/>
          <w:lang w:val="fr-CA"/>
        </w:rPr>
        <w:lastRenderedPageBreak/>
        <w:t>Réactifs </w:t>
      </w:r>
      <w:r w:rsidRPr="004C30B6">
        <w:rPr>
          <w:rFonts w:ascii="Arial" w:hAnsi="Arial"/>
          <w:sz w:val="24"/>
          <w:lang w:val="fr-CA"/>
        </w:rPr>
        <w:t>:</w:t>
      </w:r>
      <w:r w:rsidRPr="004C30B6">
        <w:rPr>
          <w:rFonts w:ascii="Arial" w:hAnsi="Arial"/>
          <w:sz w:val="24"/>
          <w:lang w:val="fr-CA"/>
        </w:rPr>
        <w:tab/>
      </w:r>
      <w:r w:rsidR="00916652" w:rsidRPr="004C30B6">
        <w:rPr>
          <w:rFonts w:ascii="Arial" w:hAnsi="Arial"/>
          <w:sz w:val="24"/>
          <w:lang w:val="fr-CA"/>
        </w:rPr>
        <w:tab/>
      </w:r>
      <w:r w:rsidRPr="004C30B6">
        <w:rPr>
          <w:rFonts w:ascii="Arial" w:hAnsi="Arial"/>
          <w:sz w:val="24"/>
          <w:lang w:val="fr-CA"/>
        </w:rPr>
        <w:t>solution saline tamponnée au phosphate (</w:t>
      </w:r>
      <w:r w:rsidR="0014213A">
        <w:rPr>
          <w:rFonts w:ascii="Arial" w:hAnsi="Arial"/>
          <w:sz w:val="24"/>
          <w:lang w:val="fr-CA"/>
        </w:rPr>
        <w:t>STP</w:t>
      </w:r>
      <w:proofErr w:type="gramStart"/>
      <w:r w:rsidRPr="004C30B6">
        <w:rPr>
          <w:rFonts w:ascii="Arial" w:hAnsi="Arial"/>
          <w:sz w:val="24"/>
          <w:lang w:val="fr-CA"/>
        </w:rPr>
        <w:t>)</w:t>
      </w:r>
      <w:r w:rsidR="00D77FFA">
        <w:rPr>
          <w:rFonts w:ascii="Arial" w:hAnsi="Arial"/>
          <w:sz w:val="24"/>
          <w:lang w:val="fr-CA"/>
        </w:rPr>
        <w:t>,</w:t>
      </w:r>
      <w:r w:rsidR="00B777D4">
        <w:rPr>
          <w:rFonts w:ascii="Arial" w:hAnsi="Arial"/>
          <w:sz w:val="24"/>
          <w:lang w:val="fr-CA"/>
        </w:rPr>
        <w:t xml:space="preserve">   </w:t>
      </w:r>
      <w:proofErr w:type="gramEnd"/>
      <w:r w:rsidR="00D77FFA">
        <w:rPr>
          <w:rFonts w:ascii="Arial" w:hAnsi="Arial"/>
          <w:sz w:val="24"/>
          <w:lang w:val="fr-CA"/>
        </w:rPr>
        <w:tab/>
      </w:r>
      <w:r w:rsidR="00D77FFA">
        <w:rPr>
          <w:rFonts w:ascii="Arial" w:hAnsi="Arial"/>
          <w:sz w:val="24"/>
          <w:lang w:val="fr-CA"/>
        </w:rPr>
        <w:tab/>
      </w:r>
      <w:r w:rsidR="00D77FFA">
        <w:rPr>
          <w:rFonts w:ascii="Arial" w:hAnsi="Arial"/>
          <w:sz w:val="24"/>
          <w:lang w:val="fr-CA"/>
        </w:rPr>
        <w:tab/>
      </w:r>
      <w:r w:rsidR="00D77FFA">
        <w:rPr>
          <w:rFonts w:ascii="Arial" w:hAnsi="Arial"/>
          <w:sz w:val="24"/>
          <w:lang w:val="fr-CA"/>
        </w:rPr>
        <w:tab/>
        <w:t>pH</w:t>
      </w:r>
      <w:r w:rsidR="000C163C">
        <w:rPr>
          <w:rFonts w:ascii="Arial" w:hAnsi="Arial"/>
          <w:sz w:val="24"/>
          <w:lang w:val="fr-CA"/>
        </w:rPr>
        <w:t> </w:t>
      </w:r>
      <w:r w:rsidR="00D77FFA">
        <w:rPr>
          <w:rFonts w:ascii="Arial" w:hAnsi="Arial"/>
          <w:sz w:val="24"/>
          <w:lang w:val="fr-CA"/>
        </w:rPr>
        <w:t>7.3</w:t>
      </w:r>
    </w:p>
    <w:p w:rsidR="00616FCF" w:rsidRPr="004C30B6" w:rsidRDefault="005D054A" w:rsidP="005D054A">
      <w:pPr>
        <w:pStyle w:val="BodyTextIndent2"/>
        <w:rPr>
          <w:lang w:val="fr-CA"/>
        </w:rPr>
      </w:pPr>
      <w:r w:rsidRPr="004C30B6">
        <w:rPr>
          <w:lang w:val="fr-CA"/>
        </w:rPr>
        <w:t>D</w:t>
      </w:r>
      <w:r w:rsidR="004C30B6" w:rsidRPr="004C30B6">
        <w:rPr>
          <w:lang w:val="fr-CA"/>
        </w:rPr>
        <w:t>T</w:t>
      </w:r>
      <w:r w:rsidRPr="004C30B6">
        <w:rPr>
          <w:lang w:val="fr-CA"/>
        </w:rPr>
        <w:t>T à 0,</w:t>
      </w:r>
      <w:r w:rsidR="00D77FFA">
        <w:rPr>
          <w:lang w:val="fr-CA"/>
        </w:rPr>
        <w:t>0</w:t>
      </w:r>
      <w:r w:rsidRPr="004C30B6">
        <w:rPr>
          <w:lang w:val="fr-CA"/>
        </w:rPr>
        <w:t>1 M (0,154</w:t>
      </w:r>
      <w:r w:rsidR="000C163C">
        <w:rPr>
          <w:lang w:val="fr-CA"/>
        </w:rPr>
        <w:t> </w:t>
      </w:r>
      <w:r w:rsidRPr="004C30B6">
        <w:rPr>
          <w:lang w:val="fr-CA"/>
        </w:rPr>
        <w:t>g</w:t>
      </w:r>
      <w:r w:rsidR="00B777D4">
        <w:rPr>
          <w:lang w:val="fr-CA"/>
        </w:rPr>
        <w:t xml:space="preserve"> </w:t>
      </w:r>
      <w:r w:rsidR="00797E9B">
        <w:rPr>
          <w:lang w:val="fr-CA"/>
        </w:rPr>
        <w:t xml:space="preserve">de </w:t>
      </w:r>
      <w:r w:rsidR="00D77FFA" w:rsidRPr="004C30B6">
        <w:rPr>
          <w:lang w:val="fr-CA"/>
        </w:rPr>
        <w:t>D</w:t>
      </w:r>
      <w:r w:rsidR="00D77FFA">
        <w:rPr>
          <w:lang w:val="fr-CA"/>
        </w:rPr>
        <w:t>T</w:t>
      </w:r>
      <w:r w:rsidR="00D77FFA" w:rsidRPr="004C30B6">
        <w:rPr>
          <w:lang w:val="fr-CA"/>
        </w:rPr>
        <w:t xml:space="preserve">T </w:t>
      </w:r>
      <w:r w:rsidRPr="004C30B6">
        <w:rPr>
          <w:lang w:val="fr-CA"/>
        </w:rPr>
        <w:t>dilué jusqu</w:t>
      </w:r>
      <w:r w:rsidR="000C163C">
        <w:rPr>
          <w:lang w:val="fr-CA"/>
        </w:rPr>
        <w:t>’</w:t>
      </w:r>
      <w:r w:rsidRPr="004C30B6">
        <w:rPr>
          <w:lang w:val="fr-CA"/>
        </w:rPr>
        <w:t>à 100 </w:t>
      </w:r>
      <w:proofErr w:type="spellStart"/>
      <w:r w:rsidRPr="004C30B6">
        <w:rPr>
          <w:lang w:val="fr-CA"/>
        </w:rPr>
        <w:t>mL</w:t>
      </w:r>
      <w:proofErr w:type="spellEnd"/>
      <w:r w:rsidRPr="004C30B6">
        <w:rPr>
          <w:lang w:val="fr-CA"/>
        </w:rPr>
        <w:t xml:space="preserve"> dans </w:t>
      </w:r>
      <w:r w:rsidR="00797E9B">
        <w:rPr>
          <w:lang w:val="fr-CA"/>
        </w:rPr>
        <w:t>une</w:t>
      </w:r>
      <w:r w:rsidR="00797E9B" w:rsidRPr="004C30B6">
        <w:rPr>
          <w:lang w:val="fr-CA"/>
        </w:rPr>
        <w:t xml:space="preserve"> </w:t>
      </w:r>
      <w:r w:rsidRPr="004C30B6">
        <w:rPr>
          <w:lang w:val="fr-CA"/>
        </w:rPr>
        <w:t>STP).</w:t>
      </w:r>
      <w:r w:rsidR="00616FCF" w:rsidRPr="004C30B6">
        <w:rPr>
          <w:lang w:val="fr-CA"/>
        </w:rPr>
        <w:t xml:space="preserve"> </w:t>
      </w:r>
      <w:r w:rsidR="004C30B6" w:rsidRPr="004C30B6">
        <w:rPr>
          <w:lang w:val="fr-CA"/>
        </w:rPr>
        <w:t>On peut aussi faire une dilution d</w:t>
      </w:r>
      <w:r w:rsidR="00832F92">
        <w:rPr>
          <w:lang w:val="fr-CA"/>
        </w:rPr>
        <w:t>e</w:t>
      </w:r>
      <w:r w:rsidR="004C30B6" w:rsidRPr="004C30B6">
        <w:rPr>
          <w:lang w:val="fr-CA"/>
        </w:rPr>
        <w:t xml:space="preserve"> </w:t>
      </w:r>
      <w:r w:rsidR="00832F92">
        <w:rPr>
          <w:lang w:val="fr-CA"/>
        </w:rPr>
        <w:t>1 </w:t>
      </w:r>
      <w:r w:rsidR="004C30B6" w:rsidRPr="004C30B6">
        <w:rPr>
          <w:lang w:val="fr-CA"/>
        </w:rPr>
        <w:t xml:space="preserve">volume de DTT à 0,1 M dans 10 volumes de STP </w:t>
      </w:r>
      <w:r w:rsidR="00616FCF" w:rsidRPr="004C30B6">
        <w:rPr>
          <w:lang w:val="fr-CA"/>
        </w:rPr>
        <w:t>(0</w:t>
      </w:r>
      <w:r w:rsidR="004C30B6" w:rsidRPr="004C30B6">
        <w:rPr>
          <w:lang w:val="fr-CA"/>
        </w:rPr>
        <w:t>,</w:t>
      </w:r>
      <w:r w:rsidR="00616FCF" w:rsidRPr="004C30B6">
        <w:rPr>
          <w:lang w:val="fr-CA"/>
        </w:rPr>
        <w:t>154</w:t>
      </w:r>
      <w:r w:rsidR="000C163C">
        <w:rPr>
          <w:lang w:val="fr-CA"/>
        </w:rPr>
        <w:t> </w:t>
      </w:r>
      <w:r w:rsidR="00616FCF" w:rsidRPr="004C30B6">
        <w:rPr>
          <w:lang w:val="fr-CA"/>
        </w:rPr>
        <w:t xml:space="preserve">g DTT </w:t>
      </w:r>
      <w:r w:rsidR="004C30B6" w:rsidRPr="004C30B6">
        <w:rPr>
          <w:lang w:val="fr-CA"/>
        </w:rPr>
        <w:t>dans 1</w:t>
      </w:r>
      <w:r w:rsidR="00616FCF" w:rsidRPr="004C30B6">
        <w:rPr>
          <w:lang w:val="fr-CA"/>
        </w:rPr>
        <w:t>0</w:t>
      </w:r>
      <w:r w:rsidR="000C163C">
        <w:rPr>
          <w:lang w:val="fr-CA"/>
        </w:rPr>
        <w:t> </w:t>
      </w:r>
      <w:r w:rsidR="00616FCF" w:rsidRPr="004C30B6">
        <w:rPr>
          <w:lang w:val="fr-CA"/>
        </w:rPr>
        <w:t xml:space="preserve">ml </w:t>
      </w:r>
      <w:r w:rsidR="004C30B6" w:rsidRPr="004C30B6">
        <w:rPr>
          <w:lang w:val="fr-CA"/>
        </w:rPr>
        <w:t>ST</w:t>
      </w:r>
      <w:r w:rsidR="00616FCF" w:rsidRPr="004C30B6">
        <w:rPr>
          <w:lang w:val="fr-CA"/>
        </w:rPr>
        <w:t>P)</w:t>
      </w:r>
      <w:r w:rsidR="004C30B6" w:rsidRPr="004C30B6">
        <w:rPr>
          <w:lang w:val="fr-CA"/>
        </w:rPr>
        <w:t>. Des aliquotes de DTT à 0,</w:t>
      </w:r>
      <w:r w:rsidR="00616FCF" w:rsidRPr="004C30B6">
        <w:rPr>
          <w:lang w:val="fr-CA"/>
        </w:rPr>
        <w:t>01</w:t>
      </w:r>
      <w:r w:rsidR="004C30B6">
        <w:rPr>
          <w:lang w:val="fr-CA"/>
        </w:rPr>
        <w:t> </w:t>
      </w:r>
      <w:r w:rsidR="00616FCF" w:rsidRPr="004C30B6">
        <w:rPr>
          <w:lang w:val="fr-CA"/>
        </w:rPr>
        <w:t xml:space="preserve">M </w:t>
      </w:r>
      <w:r w:rsidR="004C30B6" w:rsidRPr="004C30B6">
        <w:rPr>
          <w:lang w:val="fr-CA"/>
        </w:rPr>
        <w:t>peuvent être congelées dans des contenants de verre à -</w:t>
      </w:r>
      <w:r w:rsidR="00616FCF" w:rsidRPr="004C30B6">
        <w:rPr>
          <w:lang w:val="fr-CA"/>
        </w:rPr>
        <w:t>20</w:t>
      </w:r>
      <w:r w:rsidR="004C30B6" w:rsidRPr="004C30B6">
        <w:rPr>
          <w:vertAlign w:val="superscript"/>
          <w:lang w:val="fr-CA"/>
        </w:rPr>
        <w:t>o</w:t>
      </w:r>
      <w:r w:rsidR="00616FCF" w:rsidRPr="004C30B6">
        <w:rPr>
          <w:lang w:val="fr-CA"/>
        </w:rPr>
        <w:t xml:space="preserve">C </w:t>
      </w:r>
      <w:r w:rsidR="004C30B6" w:rsidRPr="004C30B6">
        <w:rPr>
          <w:lang w:val="fr-CA"/>
        </w:rPr>
        <w:t xml:space="preserve">pendant jusqu’à </w:t>
      </w:r>
      <w:r w:rsidR="00616FCF" w:rsidRPr="004C30B6">
        <w:rPr>
          <w:lang w:val="fr-CA"/>
        </w:rPr>
        <w:t>6 mo</w:t>
      </w:r>
      <w:r w:rsidR="004C30B6" w:rsidRPr="004C30B6">
        <w:rPr>
          <w:lang w:val="fr-CA"/>
        </w:rPr>
        <w:t>i</w:t>
      </w:r>
      <w:r w:rsidR="00616FCF" w:rsidRPr="004C30B6">
        <w:rPr>
          <w:lang w:val="fr-CA"/>
        </w:rPr>
        <w:t>s.</w:t>
      </w:r>
    </w:p>
    <w:p w:rsidR="00616FCF" w:rsidRDefault="004C30B6" w:rsidP="005D054A">
      <w:pPr>
        <w:ind w:left="288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anticorps</w:t>
      </w:r>
      <w:proofErr w:type="gramEnd"/>
      <w:r>
        <w:rPr>
          <w:rFonts w:ascii="Arial" w:hAnsi="Arial"/>
          <w:sz w:val="24"/>
          <w:lang w:val="fr-CA"/>
        </w:rPr>
        <w:t xml:space="preserve"> IgM témoin</w:t>
      </w:r>
      <w:r w:rsidR="00616FCF" w:rsidRPr="004C30B6">
        <w:rPr>
          <w:rFonts w:ascii="Arial" w:hAnsi="Arial"/>
          <w:sz w:val="24"/>
          <w:lang w:val="fr-CA"/>
        </w:rPr>
        <w:t xml:space="preserve">, </w:t>
      </w:r>
      <w:r>
        <w:rPr>
          <w:rFonts w:ascii="Arial" w:hAnsi="Arial"/>
          <w:sz w:val="24"/>
          <w:lang w:val="fr-CA"/>
        </w:rPr>
        <w:t xml:space="preserve">p. ex </w:t>
      </w:r>
      <w:proofErr w:type="spellStart"/>
      <w:r w:rsidR="00D77FFA">
        <w:rPr>
          <w:rFonts w:ascii="Arial" w:hAnsi="Arial"/>
          <w:sz w:val="24"/>
          <w:lang w:val="fr-CA"/>
        </w:rPr>
        <w:t>anti-I</w:t>
      </w:r>
      <w:proofErr w:type="spellEnd"/>
      <w:r w:rsidR="00D77FFA">
        <w:rPr>
          <w:rFonts w:ascii="Arial" w:hAnsi="Arial"/>
          <w:sz w:val="24"/>
          <w:lang w:val="fr-CA"/>
        </w:rPr>
        <w:t xml:space="preserve"> de haut titre</w:t>
      </w:r>
    </w:p>
    <w:p w:rsidR="00D77FFA" w:rsidRPr="004C30B6" w:rsidRDefault="00D77FFA" w:rsidP="005D054A">
      <w:pPr>
        <w:ind w:left="288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anticorps</w:t>
      </w:r>
      <w:proofErr w:type="gramEnd"/>
      <w:r>
        <w:rPr>
          <w:rFonts w:ascii="Arial" w:hAnsi="Arial"/>
          <w:sz w:val="24"/>
          <w:lang w:val="fr-CA"/>
        </w:rPr>
        <w:t xml:space="preserve"> IgG témoin</w:t>
      </w:r>
    </w:p>
    <w:p w:rsidR="00616FCF" w:rsidRPr="004C30B6" w:rsidRDefault="00426485">
      <w:pPr>
        <w:ind w:left="288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hématies</w:t>
      </w:r>
      <w:proofErr w:type="gramEnd"/>
      <w:r>
        <w:rPr>
          <w:rFonts w:ascii="Arial" w:hAnsi="Arial"/>
          <w:sz w:val="24"/>
          <w:lang w:val="fr-CA"/>
        </w:rPr>
        <w:t xml:space="preserve"> test appropriées</w:t>
      </w:r>
      <w:r w:rsidR="00616FCF" w:rsidRPr="004C30B6">
        <w:rPr>
          <w:rFonts w:ascii="Arial" w:hAnsi="Arial"/>
          <w:sz w:val="24"/>
          <w:lang w:val="fr-CA"/>
        </w:rPr>
        <w:t xml:space="preserve"> (d</w:t>
      </w:r>
      <w:r>
        <w:rPr>
          <w:rFonts w:ascii="Arial" w:hAnsi="Arial"/>
          <w:sz w:val="24"/>
          <w:lang w:val="fr-CA"/>
        </w:rPr>
        <w:t xml:space="preserve">éterminées par la </w:t>
      </w:r>
      <w:r w:rsidR="00616FCF" w:rsidRPr="004C30B6">
        <w:rPr>
          <w:rFonts w:ascii="Arial" w:hAnsi="Arial"/>
          <w:sz w:val="24"/>
          <w:lang w:val="fr-CA"/>
        </w:rPr>
        <w:t>sp</w:t>
      </w:r>
      <w:r>
        <w:rPr>
          <w:rFonts w:ascii="Arial" w:hAnsi="Arial"/>
          <w:sz w:val="24"/>
          <w:lang w:val="fr-CA"/>
        </w:rPr>
        <w:t>é</w:t>
      </w:r>
      <w:r w:rsidR="00616FCF" w:rsidRPr="004C30B6">
        <w:rPr>
          <w:rFonts w:ascii="Arial" w:hAnsi="Arial"/>
          <w:sz w:val="24"/>
          <w:lang w:val="fr-CA"/>
        </w:rPr>
        <w:t>cificit</w:t>
      </w:r>
      <w:r>
        <w:rPr>
          <w:rFonts w:ascii="Arial" w:hAnsi="Arial"/>
          <w:sz w:val="24"/>
          <w:lang w:val="fr-CA"/>
        </w:rPr>
        <w:t>é de l’anticorps à l’étude)</w:t>
      </w:r>
    </w:p>
    <w:p w:rsidR="00616FCF" w:rsidRPr="004C30B6" w:rsidRDefault="0017422B">
      <w:pPr>
        <w:pStyle w:val="Heading9"/>
        <w:rPr>
          <w:lang w:val="fr-CA"/>
        </w:rPr>
      </w:pPr>
      <w:proofErr w:type="gramStart"/>
      <w:r>
        <w:rPr>
          <w:lang w:val="fr-CA"/>
        </w:rPr>
        <w:t>cellules</w:t>
      </w:r>
      <w:proofErr w:type="gramEnd"/>
      <w:r>
        <w:rPr>
          <w:lang w:val="fr-CA"/>
        </w:rPr>
        <w:t xml:space="preserve"> témoins sensibilisées à l’IgG et à l’</w:t>
      </w:r>
      <w:proofErr w:type="spellStart"/>
      <w:r w:rsidR="00426485">
        <w:rPr>
          <w:lang w:val="fr-CA"/>
        </w:rPr>
        <w:t>a</w:t>
      </w:r>
      <w:r w:rsidR="00616FCF" w:rsidRPr="004C30B6">
        <w:rPr>
          <w:lang w:val="fr-CA"/>
        </w:rPr>
        <w:t>nti-IgG</w:t>
      </w:r>
      <w:proofErr w:type="spellEnd"/>
    </w:p>
    <w:p w:rsidR="00616FCF" w:rsidRPr="004C30B6" w:rsidRDefault="00616FCF">
      <w:pPr>
        <w:rPr>
          <w:rFonts w:ascii="Arial" w:hAnsi="Arial"/>
          <w:sz w:val="24"/>
          <w:lang w:val="fr-CA"/>
        </w:rPr>
      </w:pPr>
    </w:p>
    <w:p w:rsidR="00616FCF" w:rsidRPr="00426485" w:rsidRDefault="005D054A" w:rsidP="005D054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426485">
        <w:rPr>
          <w:rFonts w:ascii="Arial" w:hAnsi="Arial"/>
          <w:b/>
          <w:sz w:val="28"/>
          <w:lang w:val="fr-CA"/>
        </w:rPr>
        <w:t>Contrôle de la qualité</w:t>
      </w:r>
    </w:p>
    <w:p w:rsidR="00616FCF" w:rsidRPr="00426485" w:rsidRDefault="00616FCF">
      <w:pPr>
        <w:rPr>
          <w:rFonts w:ascii="Arial" w:hAnsi="Arial"/>
          <w:b/>
          <w:sz w:val="28"/>
          <w:lang w:val="fr-CA"/>
        </w:rPr>
      </w:pPr>
    </w:p>
    <w:p w:rsidR="00616FCF" w:rsidRPr="00426485" w:rsidRDefault="00426485">
      <w:pPr>
        <w:pStyle w:val="BodyTextIndent"/>
        <w:numPr>
          <w:ilvl w:val="1"/>
          <w:numId w:val="1"/>
        </w:numPr>
        <w:rPr>
          <w:rFonts w:ascii="Arial" w:hAnsi="Arial"/>
          <w:lang w:val="fr-CA"/>
        </w:rPr>
      </w:pPr>
      <w:r w:rsidRPr="00426485">
        <w:rPr>
          <w:rFonts w:ascii="Arial" w:hAnsi="Arial"/>
          <w:lang w:val="fr-CA"/>
        </w:rPr>
        <w:t xml:space="preserve">Tester en parallèle au plasma à l’étude un anticorps </w:t>
      </w:r>
      <w:r w:rsidR="00616FCF" w:rsidRPr="00426485">
        <w:rPr>
          <w:rFonts w:ascii="Arial" w:hAnsi="Arial"/>
          <w:lang w:val="fr-CA"/>
        </w:rPr>
        <w:t xml:space="preserve">IgM </w:t>
      </w:r>
      <w:r w:rsidRPr="00426485">
        <w:rPr>
          <w:rFonts w:ascii="Arial" w:hAnsi="Arial"/>
          <w:lang w:val="fr-CA"/>
        </w:rPr>
        <w:t xml:space="preserve">connu et un anticorps </w:t>
      </w:r>
      <w:r w:rsidR="00616FCF" w:rsidRPr="00426485">
        <w:rPr>
          <w:rFonts w:ascii="Arial" w:hAnsi="Arial"/>
          <w:lang w:val="fr-CA"/>
        </w:rPr>
        <w:t xml:space="preserve">IgG </w:t>
      </w:r>
      <w:r w:rsidRPr="00426485">
        <w:rPr>
          <w:rFonts w:ascii="Arial" w:hAnsi="Arial"/>
          <w:lang w:val="fr-CA"/>
        </w:rPr>
        <w:t>connu pour confirmer que le réactif thiol fonctionne bie</w:t>
      </w:r>
      <w:r>
        <w:rPr>
          <w:rFonts w:ascii="Arial" w:hAnsi="Arial"/>
          <w:lang w:val="fr-CA"/>
        </w:rPr>
        <w:t>n</w:t>
      </w:r>
      <w:r w:rsidRPr="00426485">
        <w:rPr>
          <w:rFonts w:ascii="Arial" w:hAnsi="Arial"/>
          <w:lang w:val="fr-CA"/>
        </w:rPr>
        <w:t xml:space="preserve">. La réactivité de l’anticorps </w:t>
      </w:r>
      <w:r w:rsidR="005310F3">
        <w:rPr>
          <w:rFonts w:ascii="Arial" w:hAnsi="Arial"/>
          <w:lang w:val="fr-CA"/>
        </w:rPr>
        <w:t xml:space="preserve">IgM </w:t>
      </w:r>
      <w:r w:rsidRPr="00426485">
        <w:rPr>
          <w:rFonts w:ascii="Arial" w:hAnsi="Arial"/>
          <w:lang w:val="fr-CA"/>
        </w:rPr>
        <w:t xml:space="preserve">devrait être neutralisée et </w:t>
      </w:r>
      <w:r w:rsidR="005310F3">
        <w:rPr>
          <w:rFonts w:ascii="Arial" w:hAnsi="Arial"/>
          <w:lang w:val="fr-CA"/>
        </w:rPr>
        <w:t xml:space="preserve">celle de </w:t>
      </w:r>
      <w:r w:rsidRPr="00426485">
        <w:rPr>
          <w:rFonts w:ascii="Arial" w:hAnsi="Arial"/>
          <w:lang w:val="fr-CA"/>
        </w:rPr>
        <w:t>l’anticorps I</w:t>
      </w:r>
      <w:r w:rsidR="00616FCF" w:rsidRPr="00426485">
        <w:rPr>
          <w:rFonts w:ascii="Arial" w:hAnsi="Arial"/>
          <w:lang w:val="fr-CA"/>
        </w:rPr>
        <w:t xml:space="preserve">gG </w:t>
      </w:r>
      <w:r w:rsidRPr="00426485">
        <w:rPr>
          <w:rFonts w:ascii="Arial" w:hAnsi="Arial"/>
          <w:lang w:val="fr-CA"/>
        </w:rPr>
        <w:t>devrait toujours être dépisté</w:t>
      </w:r>
      <w:r w:rsidR="00797E9B">
        <w:rPr>
          <w:rFonts w:ascii="Arial" w:hAnsi="Arial"/>
          <w:lang w:val="fr-CA"/>
        </w:rPr>
        <w:t>e</w:t>
      </w:r>
      <w:r w:rsidRPr="00426485">
        <w:rPr>
          <w:rFonts w:ascii="Arial" w:hAnsi="Arial"/>
          <w:lang w:val="fr-CA"/>
        </w:rPr>
        <w:t>.</w:t>
      </w:r>
      <w:r w:rsidR="00B777D4">
        <w:rPr>
          <w:rFonts w:ascii="Arial" w:hAnsi="Arial"/>
          <w:lang w:val="fr-CA"/>
        </w:rPr>
        <w:t xml:space="preserve"> </w:t>
      </w:r>
    </w:p>
    <w:p w:rsidR="00616FCF" w:rsidRPr="00426485" w:rsidRDefault="00616FCF">
      <w:pPr>
        <w:pStyle w:val="BodyTextIndent"/>
        <w:rPr>
          <w:rFonts w:ascii="Arial" w:hAnsi="Arial"/>
          <w:lang w:val="fr-CA"/>
        </w:rPr>
      </w:pPr>
    </w:p>
    <w:p w:rsidR="00616FCF" w:rsidRPr="00426485" w:rsidRDefault="00616FCF">
      <w:pPr>
        <w:pStyle w:val="BodyTextIndent"/>
        <w:numPr>
          <w:ilvl w:val="1"/>
          <w:numId w:val="1"/>
        </w:numPr>
        <w:rPr>
          <w:rFonts w:ascii="Arial" w:hAnsi="Arial"/>
          <w:lang w:val="fr-CA"/>
        </w:rPr>
      </w:pPr>
      <w:r w:rsidRPr="00426485">
        <w:rPr>
          <w:rFonts w:ascii="Arial" w:hAnsi="Arial"/>
          <w:lang w:val="fr-CA"/>
        </w:rPr>
        <w:t>R</w:t>
      </w:r>
      <w:r w:rsidR="00426485">
        <w:rPr>
          <w:rFonts w:ascii="Arial" w:hAnsi="Arial"/>
          <w:lang w:val="fr-CA"/>
        </w:rPr>
        <w:t xml:space="preserve">épéter le traitement et les épreuves sur le plasma (à </w:t>
      </w:r>
      <w:r w:rsidR="008D1D2E">
        <w:rPr>
          <w:rFonts w:ascii="Arial" w:hAnsi="Arial"/>
          <w:lang w:val="fr-CA"/>
        </w:rPr>
        <w:t>l’étude et témoin</w:t>
      </w:r>
      <w:r w:rsidR="000C163C">
        <w:rPr>
          <w:rFonts w:ascii="Arial" w:hAnsi="Arial"/>
          <w:lang w:val="fr-CA"/>
        </w:rPr>
        <w:t>s</w:t>
      </w:r>
      <w:r w:rsidRPr="00426485">
        <w:rPr>
          <w:rFonts w:ascii="Arial" w:hAnsi="Arial"/>
          <w:lang w:val="fr-CA"/>
        </w:rPr>
        <w:t xml:space="preserve">) </w:t>
      </w:r>
      <w:r w:rsidR="008D1D2E">
        <w:rPr>
          <w:rFonts w:ascii="Arial" w:hAnsi="Arial"/>
          <w:lang w:val="fr-CA"/>
        </w:rPr>
        <w:t>si les témoins ne réagissent pas tel qu’attendu.</w:t>
      </w:r>
    </w:p>
    <w:p w:rsidR="00616FCF" w:rsidRPr="00426485" w:rsidRDefault="00616FCF">
      <w:pPr>
        <w:pStyle w:val="BodyTextIndent"/>
        <w:rPr>
          <w:rFonts w:ascii="Arial" w:hAnsi="Arial"/>
          <w:lang w:val="fr-CA"/>
        </w:rPr>
      </w:pPr>
    </w:p>
    <w:p w:rsidR="00616FCF" w:rsidRPr="00426485" w:rsidRDefault="00616FCF">
      <w:pPr>
        <w:pStyle w:val="BodyTextIndent"/>
        <w:numPr>
          <w:ilvl w:val="1"/>
          <w:numId w:val="1"/>
        </w:numPr>
        <w:rPr>
          <w:rFonts w:ascii="Arial" w:hAnsi="Arial"/>
          <w:lang w:val="fr-CA"/>
        </w:rPr>
      </w:pPr>
      <w:r w:rsidRPr="00426485">
        <w:rPr>
          <w:rFonts w:ascii="Arial" w:hAnsi="Arial"/>
          <w:lang w:val="fr-CA"/>
        </w:rPr>
        <w:t>R</w:t>
      </w:r>
      <w:r w:rsidR="008D1D2E">
        <w:rPr>
          <w:rFonts w:ascii="Arial" w:hAnsi="Arial"/>
          <w:lang w:val="fr-CA"/>
        </w:rPr>
        <w:t>épéter le test s</w:t>
      </w:r>
      <w:r w:rsidR="00796F94">
        <w:rPr>
          <w:rFonts w:ascii="Arial" w:hAnsi="Arial"/>
          <w:lang w:val="fr-CA"/>
        </w:rPr>
        <w:t>i</w:t>
      </w:r>
      <w:r w:rsidR="008D1D2E">
        <w:rPr>
          <w:rFonts w:ascii="Arial" w:hAnsi="Arial"/>
          <w:lang w:val="fr-CA"/>
        </w:rPr>
        <w:t xml:space="preserve"> les cellules témoins d’</w:t>
      </w:r>
      <w:proofErr w:type="spellStart"/>
      <w:r w:rsidR="008D1D2E">
        <w:rPr>
          <w:rFonts w:ascii="Arial" w:hAnsi="Arial"/>
          <w:lang w:val="fr-CA"/>
        </w:rPr>
        <w:t>antiglobuline</w:t>
      </w:r>
      <w:proofErr w:type="spellEnd"/>
      <w:r w:rsidR="008D1D2E">
        <w:rPr>
          <w:rFonts w:ascii="Arial" w:hAnsi="Arial"/>
          <w:lang w:val="fr-CA"/>
        </w:rPr>
        <w:t xml:space="preserve"> ne réagissent pas.</w:t>
      </w:r>
      <w:r w:rsidR="0014213A">
        <w:rPr>
          <w:rFonts w:ascii="Arial" w:hAnsi="Arial"/>
          <w:lang w:val="fr-CA"/>
        </w:rPr>
        <w:t xml:space="preserve"> </w:t>
      </w:r>
    </w:p>
    <w:p w:rsidR="00616FCF" w:rsidRPr="00426485" w:rsidRDefault="00616FCF">
      <w:pPr>
        <w:pStyle w:val="BodyTextIndent"/>
        <w:ind w:left="0"/>
        <w:rPr>
          <w:rFonts w:ascii="Arial" w:hAnsi="Arial"/>
          <w:lang w:val="fr-CA"/>
        </w:rPr>
      </w:pPr>
    </w:p>
    <w:p w:rsidR="00616FCF" w:rsidRPr="00426485" w:rsidRDefault="008D1D2E">
      <w:pPr>
        <w:pStyle w:val="BodyTextIndent"/>
        <w:numPr>
          <w:ilvl w:val="1"/>
          <w:numId w:val="1"/>
        </w:num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Inscrire les résultats sur la feuille de travail</w:t>
      </w:r>
      <w:r w:rsidR="000C163C">
        <w:rPr>
          <w:rFonts w:ascii="Arial" w:hAnsi="Arial"/>
          <w:lang w:val="fr-CA"/>
        </w:rPr>
        <w:t> </w:t>
      </w:r>
      <w:r>
        <w:rPr>
          <w:rFonts w:ascii="Arial" w:hAnsi="Arial"/>
          <w:lang w:val="fr-CA"/>
        </w:rPr>
        <w:t>PS.029F -Traitement du p</w:t>
      </w:r>
      <w:r w:rsidR="00616FCF" w:rsidRPr="00426485">
        <w:rPr>
          <w:rFonts w:ascii="Arial" w:hAnsi="Arial"/>
          <w:lang w:val="fr-CA"/>
        </w:rPr>
        <w:t xml:space="preserve">lasma </w:t>
      </w:r>
      <w:r>
        <w:rPr>
          <w:rFonts w:ascii="Arial" w:hAnsi="Arial"/>
          <w:lang w:val="fr-CA"/>
        </w:rPr>
        <w:t xml:space="preserve">par </w:t>
      </w:r>
      <w:r w:rsidR="00616FCF" w:rsidRPr="00426485">
        <w:rPr>
          <w:rFonts w:ascii="Arial" w:hAnsi="Arial"/>
          <w:lang w:val="fr-CA"/>
        </w:rPr>
        <w:t>DTT</w:t>
      </w:r>
      <w:r>
        <w:rPr>
          <w:rFonts w:ascii="Arial" w:hAnsi="Arial"/>
          <w:lang w:val="fr-CA"/>
        </w:rPr>
        <w:t>.</w:t>
      </w:r>
    </w:p>
    <w:p w:rsidR="00616FCF" w:rsidRPr="004D20F5" w:rsidRDefault="00616FCF">
      <w:pPr>
        <w:rPr>
          <w:rFonts w:ascii="Arial" w:hAnsi="Arial"/>
          <w:b/>
          <w:sz w:val="28"/>
          <w:lang w:val="fr-CA"/>
        </w:rPr>
      </w:pPr>
    </w:p>
    <w:p w:rsidR="00616FCF" w:rsidRPr="008D1D2E" w:rsidRDefault="00616FC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8D1D2E">
        <w:rPr>
          <w:rFonts w:ascii="Arial" w:hAnsi="Arial"/>
          <w:b/>
          <w:sz w:val="28"/>
          <w:lang w:val="fr-CA"/>
        </w:rPr>
        <w:t>Proc</w:t>
      </w:r>
      <w:r w:rsidR="008D1D2E" w:rsidRPr="008D1D2E">
        <w:rPr>
          <w:rFonts w:ascii="Arial" w:hAnsi="Arial"/>
          <w:b/>
          <w:sz w:val="28"/>
          <w:lang w:val="fr-CA"/>
        </w:rPr>
        <w:t>é</w:t>
      </w:r>
      <w:r w:rsidRPr="008D1D2E">
        <w:rPr>
          <w:rFonts w:ascii="Arial" w:hAnsi="Arial"/>
          <w:b/>
          <w:sz w:val="28"/>
          <w:lang w:val="fr-CA"/>
        </w:rPr>
        <w:t>dure</w:t>
      </w:r>
    </w:p>
    <w:p w:rsidR="00616FCF" w:rsidRPr="008D1D2E" w:rsidRDefault="00616FCF">
      <w:pPr>
        <w:rPr>
          <w:rFonts w:ascii="Arial" w:hAnsi="Arial"/>
          <w:sz w:val="24"/>
          <w:lang w:val="fr-CA"/>
        </w:rPr>
      </w:pPr>
    </w:p>
    <w:p w:rsidR="00616FCF" w:rsidRPr="008D1D2E" w:rsidRDefault="008D1D2E">
      <w:pPr>
        <w:pStyle w:val="Heading1"/>
        <w:numPr>
          <w:ilvl w:val="1"/>
          <w:numId w:val="1"/>
        </w:numPr>
        <w:rPr>
          <w:rFonts w:ascii="Arial" w:hAnsi="Arial"/>
          <w:b w:val="0"/>
          <w:sz w:val="24"/>
          <w:lang w:val="fr-CA"/>
        </w:rPr>
      </w:pPr>
      <w:r>
        <w:rPr>
          <w:rFonts w:ascii="Arial" w:hAnsi="Arial"/>
          <w:b w:val="0"/>
          <w:sz w:val="24"/>
          <w:lang w:val="fr-CA"/>
        </w:rPr>
        <w:t xml:space="preserve">Pour chaque échantillon et chaque témoin, mélanger un volume égal de plasma et de </w:t>
      </w:r>
      <w:r w:rsidR="00616FCF" w:rsidRPr="008D1D2E">
        <w:rPr>
          <w:rFonts w:ascii="Arial" w:hAnsi="Arial"/>
          <w:b w:val="0"/>
          <w:sz w:val="24"/>
          <w:lang w:val="fr-CA"/>
        </w:rPr>
        <w:t xml:space="preserve">DTT </w:t>
      </w:r>
      <w:r>
        <w:rPr>
          <w:rFonts w:ascii="Arial" w:hAnsi="Arial"/>
          <w:b w:val="0"/>
          <w:sz w:val="24"/>
          <w:lang w:val="fr-CA"/>
        </w:rPr>
        <w:t xml:space="preserve">dans un </w:t>
      </w:r>
      <w:r w:rsidR="00616FCF" w:rsidRPr="008D1D2E">
        <w:rPr>
          <w:rFonts w:ascii="Arial" w:hAnsi="Arial"/>
          <w:b w:val="0"/>
          <w:sz w:val="24"/>
          <w:lang w:val="fr-CA"/>
        </w:rPr>
        <w:t>tube</w:t>
      </w:r>
      <w:r w:rsidR="0017422B">
        <w:rPr>
          <w:rFonts w:ascii="Arial" w:hAnsi="Arial"/>
          <w:b w:val="0"/>
          <w:sz w:val="24"/>
          <w:lang w:val="fr-CA"/>
        </w:rPr>
        <w:t xml:space="preserve"> (</w:t>
      </w:r>
      <w:r>
        <w:rPr>
          <w:rFonts w:ascii="Arial" w:hAnsi="Arial"/>
          <w:b w:val="0"/>
          <w:sz w:val="24"/>
          <w:lang w:val="fr-CA"/>
        </w:rPr>
        <w:t xml:space="preserve">p. ex. </w:t>
      </w:r>
      <w:r w:rsidR="00616FCF" w:rsidRPr="008D1D2E">
        <w:rPr>
          <w:rFonts w:ascii="Arial" w:hAnsi="Arial"/>
          <w:b w:val="0"/>
          <w:sz w:val="24"/>
          <w:lang w:val="fr-CA"/>
        </w:rPr>
        <w:t xml:space="preserve">2 </w:t>
      </w:r>
      <w:r>
        <w:rPr>
          <w:rFonts w:ascii="Arial" w:hAnsi="Arial"/>
          <w:b w:val="0"/>
          <w:sz w:val="24"/>
          <w:lang w:val="fr-CA"/>
        </w:rPr>
        <w:t xml:space="preserve">gouttes de </w:t>
      </w:r>
      <w:r w:rsidR="00616FCF" w:rsidRPr="008D1D2E">
        <w:rPr>
          <w:rFonts w:ascii="Arial" w:hAnsi="Arial"/>
          <w:b w:val="0"/>
          <w:sz w:val="24"/>
          <w:lang w:val="fr-CA"/>
        </w:rPr>
        <w:t>plasma +</w:t>
      </w:r>
      <w:r w:rsidR="000C163C">
        <w:rPr>
          <w:rFonts w:ascii="Arial" w:hAnsi="Arial"/>
          <w:b w:val="0"/>
          <w:sz w:val="24"/>
          <w:lang w:val="fr-CA"/>
        </w:rPr>
        <w:t> </w:t>
      </w:r>
      <w:r w:rsidR="00616FCF" w:rsidRPr="008D1D2E">
        <w:rPr>
          <w:rFonts w:ascii="Arial" w:hAnsi="Arial"/>
          <w:b w:val="0"/>
          <w:sz w:val="24"/>
          <w:lang w:val="fr-CA"/>
        </w:rPr>
        <w:t xml:space="preserve">2 </w:t>
      </w:r>
      <w:r>
        <w:rPr>
          <w:rFonts w:ascii="Arial" w:hAnsi="Arial"/>
          <w:b w:val="0"/>
          <w:sz w:val="24"/>
          <w:lang w:val="fr-CA"/>
        </w:rPr>
        <w:t xml:space="preserve">gouttes de </w:t>
      </w:r>
      <w:r w:rsidR="00616FCF" w:rsidRPr="008D1D2E">
        <w:rPr>
          <w:rFonts w:ascii="Arial" w:hAnsi="Arial"/>
          <w:b w:val="0"/>
          <w:sz w:val="24"/>
          <w:lang w:val="fr-CA"/>
        </w:rPr>
        <w:t>DTT</w:t>
      </w:r>
      <w:r w:rsidR="0017422B">
        <w:rPr>
          <w:rFonts w:ascii="Arial" w:hAnsi="Arial"/>
          <w:b w:val="0"/>
          <w:sz w:val="24"/>
          <w:lang w:val="fr-CA"/>
        </w:rPr>
        <w:t>)</w:t>
      </w:r>
      <w:r w:rsidR="00616FCF" w:rsidRPr="008D1D2E">
        <w:rPr>
          <w:rFonts w:ascii="Arial" w:hAnsi="Arial"/>
          <w:b w:val="0"/>
          <w:sz w:val="24"/>
          <w:lang w:val="fr-CA"/>
        </w:rPr>
        <w:t xml:space="preserve">. </w:t>
      </w:r>
    </w:p>
    <w:p w:rsidR="0017422B" w:rsidRPr="008D1D2E" w:rsidRDefault="008D1D2E" w:rsidP="0017422B">
      <w:pPr>
        <w:pStyle w:val="Heading1"/>
        <w:numPr>
          <w:ilvl w:val="1"/>
          <w:numId w:val="1"/>
        </w:numPr>
        <w:rPr>
          <w:rFonts w:ascii="Arial" w:hAnsi="Arial"/>
          <w:b w:val="0"/>
          <w:sz w:val="24"/>
          <w:lang w:val="fr-CA"/>
        </w:rPr>
      </w:pPr>
      <w:r w:rsidRPr="0017422B">
        <w:rPr>
          <w:rFonts w:ascii="Arial" w:hAnsi="Arial"/>
          <w:b w:val="0"/>
          <w:sz w:val="24"/>
          <w:lang w:val="fr-CA"/>
        </w:rPr>
        <w:t>Pour chaque échantillon et chaque témoin</w:t>
      </w:r>
      <w:r w:rsidR="00616FCF" w:rsidRPr="0017422B">
        <w:rPr>
          <w:rFonts w:ascii="Arial" w:hAnsi="Arial"/>
          <w:b w:val="0"/>
          <w:sz w:val="24"/>
          <w:lang w:val="fr-CA"/>
        </w:rPr>
        <w:t>, m</w:t>
      </w:r>
      <w:r w:rsidRPr="0017422B">
        <w:rPr>
          <w:rFonts w:ascii="Arial" w:hAnsi="Arial"/>
          <w:b w:val="0"/>
          <w:sz w:val="24"/>
          <w:lang w:val="fr-CA"/>
        </w:rPr>
        <w:t xml:space="preserve">élanger dans un tube séparé un volume égal de </w:t>
      </w:r>
      <w:r w:rsidR="00616FCF" w:rsidRPr="0017422B">
        <w:rPr>
          <w:rFonts w:ascii="Arial" w:hAnsi="Arial"/>
          <w:b w:val="0"/>
          <w:sz w:val="24"/>
          <w:lang w:val="fr-CA"/>
        </w:rPr>
        <w:t xml:space="preserve">plasma </w:t>
      </w:r>
      <w:r w:rsidRPr="0017422B">
        <w:rPr>
          <w:rFonts w:ascii="Arial" w:hAnsi="Arial"/>
          <w:b w:val="0"/>
          <w:sz w:val="24"/>
          <w:lang w:val="fr-CA"/>
        </w:rPr>
        <w:t xml:space="preserve">et de STP, comme </w:t>
      </w:r>
      <w:r w:rsidR="00915D14" w:rsidRPr="0017422B">
        <w:rPr>
          <w:rFonts w:ascii="Arial" w:hAnsi="Arial"/>
          <w:b w:val="0"/>
          <w:sz w:val="24"/>
          <w:lang w:val="fr-CA"/>
        </w:rPr>
        <w:t>di</w:t>
      </w:r>
      <w:r w:rsidR="00915D14">
        <w:rPr>
          <w:rFonts w:ascii="Arial" w:hAnsi="Arial"/>
          <w:b w:val="0"/>
          <w:sz w:val="24"/>
          <w:lang w:val="fr-CA"/>
        </w:rPr>
        <w:t>l</w:t>
      </w:r>
      <w:r w:rsidRPr="0017422B">
        <w:rPr>
          <w:rFonts w:ascii="Arial" w:hAnsi="Arial"/>
          <w:b w:val="0"/>
          <w:sz w:val="24"/>
          <w:lang w:val="fr-CA"/>
        </w:rPr>
        <w:t>ution témoin</w:t>
      </w:r>
      <w:r w:rsidR="0017422B">
        <w:rPr>
          <w:rFonts w:ascii="Arial" w:hAnsi="Arial"/>
          <w:b w:val="0"/>
          <w:sz w:val="24"/>
          <w:lang w:val="fr-CA"/>
        </w:rPr>
        <w:t xml:space="preserve"> (p. ex. </w:t>
      </w:r>
      <w:r w:rsidR="0017422B" w:rsidRPr="008D1D2E">
        <w:rPr>
          <w:rFonts w:ascii="Arial" w:hAnsi="Arial"/>
          <w:b w:val="0"/>
          <w:sz w:val="24"/>
          <w:lang w:val="fr-CA"/>
        </w:rPr>
        <w:t xml:space="preserve">2 </w:t>
      </w:r>
      <w:r w:rsidR="0017422B">
        <w:rPr>
          <w:rFonts w:ascii="Arial" w:hAnsi="Arial"/>
          <w:b w:val="0"/>
          <w:sz w:val="24"/>
          <w:lang w:val="fr-CA"/>
        </w:rPr>
        <w:t xml:space="preserve">gouttes de </w:t>
      </w:r>
      <w:r w:rsidR="0017422B" w:rsidRPr="008D1D2E">
        <w:rPr>
          <w:rFonts w:ascii="Arial" w:hAnsi="Arial"/>
          <w:b w:val="0"/>
          <w:sz w:val="24"/>
          <w:lang w:val="fr-CA"/>
        </w:rPr>
        <w:t>plasma +</w:t>
      </w:r>
      <w:r w:rsidR="000C163C">
        <w:rPr>
          <w:rFonts w:ascii="Arial" w:hAnsi="Arial"/>
          <w:b w:val="0"/>
          <w:sz w:val="24"/>
          <w:lang w:val="fr-CA"/>
        </w:rPr>
        <w:t> </w:t>
      </w:r>
      <w:r w:rsidR="0017422B" w:rsidRPr="008D1D2E">
        <w:rPr>
          <w:rFonts w:ascii="Arial" w:hAnsi="Arial"/>
          <w:b w:val="0"/>
          <w:sz w:val="24"/>
          <w:lang w:val="fr-CA"/>
        </w:rPr>
        <w:t xml:space="preserve">2 </w:t>
      </w:r>
      <w:r w:rsidR="0017422B">
        <w:rPr>
          <w:rFonts w:ascii="Arial" w:hAnsi="Arial"/>
          <w:b w:val="0"/>
          <w:sz w:val="24"/>
          <w:lang w:val="fr-CA"/>
        </w:rPr>
        <w:t>gouttes de STP).</w:t>
      </w:r>
      <w:r w:rsidR="0017422B" w:rsidRPr="008D1D2E">
        <w:rPr>
          <w:rFonts w:ascii="Arial" w:hAnsi="Arial"/>
          <w:b w:val="0"/>
          <w:sz w:val="24"/>
          <w:lang w:val="fr-CA"/>
        </w:rPr>
        <w:t xml:space="preserve"> </w:t>
      </w:r>
    </w:p>
    <w:p w:rsidR="00616FCF" w:rsidRPr="008D1D2E" w:rsidRDefault="00616FCF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D1D2E">
        <w:rPr>
          <w:rFonts w:ascii="Arial" w:hAnsi="Arial"/>
          <w:sz w:val="24"/>
          <w:lang w:val="fr-CA"/>
        </w:rPr>
        <w:t>Incub</w:t>
      </w:r>
      <w:r w:rsidR="008D1D2E">
        <w:rPr>
          <w:rFonts w:ascii="Arial" w:hAnsi="Arial"/>
          <w:sz w:val="24"/>
          <w:lang w:val="fr-CA"/>
        </w:rPr>
        <w:t xml:space="preserve">er à </w:t>
      </w:r>
      <w:r w:rsidRPr="008D1D2E">
        <w:rPr>
          <w:rFonts w:ascii="Arial" w:hAnsi="Arial"/>
          <w:sz w:val="24"/>
          <w:lang w:val="fr-CA"/>
        </w:rPr>
        <w:t>37</w:t>
      </w:r>
      <w:r w:rsidR="004D20F5">
        <w:rPr>
          <w:rFonts w:ascii="Arial" w:hAnsi="Arial" w:cs="Arial"/>
          <w:sz w:val="24"/>
          <w:lang w:val="fr-CA"/>
        </w:rPr>
        <w:t>º</w:t>
      </w:r>
      <w:r w:rsidRPr="008D1D2E">
        <w:rPr>
          <w:rFonts w:ascii="Arial" w:hAnsi="Arial"/>
          <w:sz w:val="24"/>
          <w:lang w:val="fr-CA"/>
        </w:rPr>
        <w:t xml:space="preserve">C </w:t>
      </w:r>
      <w:r w:rsidR="008D1D2E">
        <w:rPr>
          <w:rFonts w:ascii="Arial" w:hAnsi="Arial"/>
          <w:sz w:val="24"/>
          <w:lang w:val="fr-CA"/>
        </w:rPr>
        <w:t xml:space="preserve">pendant </w:t>
      </w:r>
      <w:r w:rsidRPr="008D1D2E">
        <w:rPr>
          <w:rFonts w:ascii="Arial" w:hAnsi="Arial"/>
          <w:sz w:val="24"/>
          <w:lang w:val="fr-CA"/>
        </w:rPr>
        <w:t xml:space="preserve">30 minutes. </w:t>
      </w:r>
      <w:r w:rsidR="008D1D2E">
        <w:rPr>
          <w:rFonts w:ascii="Arial" w:hAnsi="Arial"/>
          <w:sz w:val="24"/>
          <w:lang w:val="fr-CA"/>
        </w:rPr>
        <w:t xml:space="preserve">On peut prolonger jusqu’à 2 heures le traitement par </w:t>
      </w:r>
      <w:r w:rsidRPr="008D1D2E">
        <w:rPr>
          <w:rFonts w:ascii="Arial" w:hAnsi="Arial"/>
          <w:sz w:val="24"/>
          <w:lang w:val="fr-CA"/>
        </w:rPr>
        <w:t>DTT.</w:t>
      </w:r>
    </w:p>
    <w:p w:rsidR="00616FCF" w:rsidRPr="008D1D2E" w:rsidRDefault="00616FCF">
      <w:pPr>
        <w:rPr>
          <w:rFonts w:ascii="Arial" w:hAnsi="Arial"/>
          <w:sz w:val="24"/>
          <w:lang w:val="fr-CA"/>
        </w:rPr>
      </w:pPr>
    </w:p>
    <w:p w:rsidR="00616FCF" w:rsidRPr="008D1D2E" w:rsidRDefault="003B104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Tester </w:t>
      </w:r>
      <w:r w:rsidR="00616FCF" w:rsidRPr="008D1D2E">
        <w:rPr>
          <w:rFonts w:ascii="Arial" w:hAnsi="Arial"/>
          <w:sz w:val="24"/>
          <w:lang w:val="fr-CA"/>
        </w:rPr>
        <w:t xml:space="preserve">4 </w:t>
      </w:r>
      <w:r>
        <w:rPr>
          <w:rFonts w:ascii="Arial" w:hAnsi="Arial"/>
          <w:sz w:val="24"/>
          <w:lang w:val="fr-CA"/>
        </w:rPr>
        <w:t xml:space="preserve">gouttes du plasma traité et du plasma de dilution </w:t>
      </w:r>
      <w:r w:rsidR="005310F3">
        <w:rPr>
          <w:rFonts w:ascii="Arial" w:hAnsi="Arial"/>
          <w:sz w:val="24"/>
          <w:lang w:val="fr-CA"/>
        </w:rPr>
        <w:t>témoin</w:t>
      </w:r>
      <w:r w:rsidR="005310F3" w:rsidRPr="008D1D2E">
        <w:rPr>
          <w:rFonts w:ascii="Arial" w:hAnsi="Arial"/>
          <w:sz w:val="24"/>
          <w:lang w:val="fr-CA"/>
        </w:rPr>
        <w:t xml:space="preserve"> </w:t>
      </w:r>
      <w:r w:rsidR="00616FCF" w:rsidRPr="008D1D2E">
        <w:rPr>
          <w:rFonts w:ascii="Arial" w:hAnsi="Arial"/>
          <w:sz w:val="24"/>
          <w:lang w:val="fr-CA"/>
        </w:rPr>
        <w:t>(</w:t>
      </w:r>
      <w:r>
        <w:rPr>
          <w:rFonts w:ascii="Arial" w:hAnsi="Arial"/>
          <w:sz w:val="24"/>
          <w:lang w:val="fr-CA"/>
        </w:rPr>
        <w:t>e</w:t>
      </w:r>
      <w:r w:rsidR="00616FCF" w:rsidRPr="008D1D2E">
        <w:rPr>
          <w:rFonts w:ascii="Arial" w:hAnsi="Arial"/>
          <w:sz w:val="24"/>
          <w:lang w:val="fr-CA"/>
        </w:rPr>
        <w:t xml:space="preserve">n </w:t>
      </w:r>
      <w:r w:rsidRPr="008D1D2E">
        <w:rPr>
          <w:rFonts w:ascii="Arial" w:hAnsi="Arial"/>
          <w:sz w:val="24"/>
          <w:lang w:val="fr-CA"/>
        </w:rPr>
        <w:t>parall</w:t>
      </w:r>
      <w:r>
        <w:rPr>
          <w:rFonts w:ascii="Arial" w:hAnsi="Arial"/>
          <w:sz w:val="24"/>
          <w:lang w:val="fr-CA"/>
        </w:rPr>
        <w:t>èle</w:t>
      </w:r>
      <w:r w:rsidR="00616FCF" w:rsidRPr="008D1D2E">
        <w:rPr>
          <w:rFonts w:ascii="Arial" w:hAnsi="Arial"/>
          <w:sz w:val="24"/>
          <w:lang w:val="fr-CA"/>
        </w:rPr>
        <w:t xml:space="preserve">) </w:t>
      </w:r>
      <w:r>
        <w:rPr>
          <w:rFonts w:ascii="Arial" w:hAnsi="Arial"/>
          <w:sz w:val="24"/>
          <w:lang w:val="fr-CA"/>
        </w:rPr>
        <w:t xml:space="preserve">avec </w:t>
      </w:r>
      <w:r w:rsidR="00616FCF" w:rsidRPr="008D1D2E">
        <w:rPr>
          <w:rFonts w:ascii="Arial" w:hAnsi="Arial"/>
          <w:sz w:val="24"/>
          <w:lang w:val="fr-CA"/>
        </w:rPr>
        <w:t xml:space="preserve">1 </w:t>
      </w:r>
      <w:r>
        <w:rPr>
          <w:rFonts w:ascii="Arial" w:hAnsi="Arial"/>
          <w:sz w:val="24"/>
          <w:lang w:val="fr-CA"/>
        </w:rPr>
        <w:t>goutte des hématies appropriées</w:t>
      </w:r>
      <w:r w:rsidR="00616FCF" w:rsidRPr="008D1D2E">
        <w:rPr>
          <w:rFonts w:ascii="Arial" w:hAnsi="Arial"/>
          <w:sz w:val="24"/>
          <w:lang w:val="fr-CA"/>
        </w:rPr>
        <w:t>.</w:t>
      </w:r>
    </w:p>
    <w:p w:rsidR="00616FCF" w:rsidRPr="008D1D2E" w:rsidRDefault="003B104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</w:t>
      </w:r>
      <w:r w:rsidR="00616FCF" w:rsidRPr="008D1D2E">
        <w:rPr>
          <w:rFonts w:ascii="Arial" w:hAnsi="Arial"/>
          <w:sz w:val="24"/>
          <w:lang w:val="fr-CA"/>
        </w:rPr>
        <w:t>possible</w:t>
      </w:r>
      <w:r>
        <w:rPr>
          <w:rFonts w:ascii="Arial" w:hAnsi="Arial"/>
          <w:sz w:val="24"/>
          <w:lang w:val="fr-CA"/>
        </w:rPr>
        <w:t xml:space="preserve">, </w:t>
      </w:r>
      <w:r w:rsidR="00616FCF" w:rsidRPr="008D1D2E">
        <w:rPr>
          <w:rFonts w:ascii="Arial" w:hAnsi="Arial"/>
          <w:sz w:val="24"/>
          <w:lang w:val="fr-CA"/>
        </w:rPr>
        <w:t>test</w:t>
      </w:r>
      <w:r>
        <w:rPr>
          <w:rFonts w:ascii="Arial" w:hAnsi="Arial"/>
          <w:sz w:val="24"/>
          <w:lang w:val="fr-CA"/>
        </w:rPr>
        <w:t>er</w:t>
      </w:r>
      <w:r w:rsidR="00616FCF" w:rsidRPr="008D1D2E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 xml:space="preserve">les hématies négatives pour l’antigène avec le mélange </w:t>
      </w:r>
      <w:r w:rsidR="00616FCF" w:rsidRPr="008D1D2E">
        <w:rPr>
          <w:rFonts w:ascii="Arial" w:hAnsi="Arial"/>
          <w:sz w:val="24"/>
          <w:lang w:val="fr-CA"/>
        </w:rPr>
        <w:t>DTT</w:t>
      </w:r>
      <w:r>
        <w:rPr>
          <w:rFonts w:ascii="Arial" w:hAnsi="Arial"/>
          <w:sz w:val="24"/>
          <w:lang w:val="fr-CA"/>
        </w:rPr>
        <w:t>-</w:t>
      </w:r>
      <w:r w:rsidR="00616FCF" w:rsidRPr="008D1D2E">
        <w:rPr>
          <w:rFonts w:ascii="Arial" w:hAnsi="Arial"/>
          <w:sz w:val="24"/>
          <w:lang w:val="fr-CA"/>
        </w:rPr>
        <w:t>plasma</w:t>
      </w:r>
      <w:r>
        <w:rPr>
          <w:rFonts w:ascii="Arial" w:hAnsi="Arial"/>
          <w:sz w:val="24"/>
          <w:lang w:val="fr-CA"/>
        </w:rPr>
        <w:t xml:space="preserve">, si un TIA </w:t>
      </w:r>
      <w:r w:rsidR="005310F3">
        <w:rPr>
          <w:rFonts w:ascii="Arial" w:hAnsi="Arial"/>
          <w:sz w:val="24"/>
          <w:lang w:val="fr-CA"/>
        </w:rPr>
        <w:t>doit être effectué</w:t>
      </w:r>
      <w:r w:rsidR="00616FCF" w:rsidRPr="008D1D2E">
        <w:rPr>
          <w:rFonts w:ascii="Arial" w:hAnsi="Arial"/>
          <w:sz w:val="24"/>
          <w:lang w:val="fr-CA"/>
        </w:rPr>
        <w:t>.</w:t>
      </w:r>
    </w:p>
    <w:p w:rsidR="00616FCF" w:rsidRPr="008D1D2E" w:rsidRDefault="00616FCF">
      <w:pPr>
        <w:rPr>
          <w:rFonts w:ascii="Arial" w:hAnsi="Arial"/>
          <w:sz w:val="24"/>
          <w:lang w:val="fr-CA"/>
        </w:rPr>
      </w:pPr>
    </w:p>
    <w:p w:rsidR="00616FCF" w:rsidRPr="008D1D2E" w:rsidRDefault="00616FCF" w:rsidP="005D054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D1D2E">
        <w:rPr>
          <w:rFonts w:ascii="Arial" w:hAnsi="Arial"/>
          <w:sz w:val="24"/>
          <w:lang w:val="fr-CA"/>
        </w:rPr>
        <w:t>Incub</w:t>
      </w:r>
      <w:r w:rsidR="003B104D">
        <w:rPr>
          <w:rFonts w:ascii="Arial" w:hAnsi="Arial"/>
          <w:sz w:val="24"/>
          <w:lang w:val="fr-CA"/>
        </w:rPr>
        <w:t>er l</w:t>
      </w:r>
      <w:r w:rsidRPr="008D1D2E">
        <w:rPr>
          <w:rFonts w:ascii="Arial" w:hAnsi="Arial"/>
          <w:sz w:val="24"/>
          <w:lang w:val="fr-CA"/>
        </w:rPr>
        <w:t>e</w:t>
      </w:r>
      <w:r w:rsidR="003B104D">
        <w:rPr>
          <w:rFonts w:ascii="Arial" w:hAnsi="Arial"/>
          <w:sz w:val="24"/>
          <w:lang w:val="fr-CA"/>
        </w:rPr>
        <w:t>s</w:t>
      </w:r>
      <w:r w:rsidRPr="008D1D2E">
        <w:rPr>
          <w:rFonts w:ascii="Arial" w:hAnsi="Arial"/>
          <w:sz w:val="24"/>
          <w:lang w:val="fr-CA"/>
        </w:rPr>
        <w:t xml:space="preserve"> tubes </w:t>
      </w:r>
      <w:r w:rsidR="003B104D">
        <w:rPr>
          <w:rFonts w:ascii="Arial" w:hAnsi="Arial"/>
          <w:sz w:val="24"/>
          <w:lang w:val="fr-CA"/>
        </w:rPr>
        <w:t xml:space="preserve">pendant </w:t>
      </w:r>
      <w:r w:rsidRPr="008D1D2E">
        <w:rPr>
          <w:rFonts w:ascii="Arial" w:hAnsi="Arial"/>
          <w:sz w:val="24"/>
          <w:lang w:val="fr-CA"/>
        </w:rPr>
        <w:t>30</w:t>
      </w:r>
      <w:r w:rsidR="003B104D">
        <w:rPr>
          <w:rFonts w:ascii="Arial" w:hAnsi="Arial"/>
          <w:sz w:val="24"/>
          <w:lang w:val="fr-CA"/>
        </w:rPr>
        <w:t xml:space="preserve"> à </w:t>
      </w:r>
      <w:r w:rsidRPr="008D1D2E">
        <w:rPr>
          <w:rFonts w:ascii="Arial" w:hAnsi="Arial"/>
          <w:sz w:val="24"/>
          <w:lang w:val="fr-CA"/>
        </w:rPr>
        <w:t xml:space="preserve">60 minutes </w:t>
      </w:r>
      <w:r w:rsidR="003B104D">
        <w:rPr>
          <w:rFonts w:ascii="Arial" w:hAnsi="Arial"/>
          <w:sz w:val="24"/>
          <w:lang w:val="fr-CA"/>
        </w:rPr>
        <w:t>à la température qui convient pour la réactivité</w:t>
      </w:r>
      <w:r w:rsidRPr="008D1D2E">
        <w:rPr>
          <w:rFonts w:ascii="Arial" w:hAnsi="Arial"/>
          <w:sz w:val="24"/>
          <w:lang w:val="fr-CA"/>
        </w:rPr>
        <w:t xml:space="preserve">, </w:t>
      </w:r>
      <w:r w:rsidR="003B104D">
        <w:rPr>
          <w:rFonts w:ascii="Arial" w:hAnsi="Arial"/>
          <w:sz w:val="24"/>
          <w:lang w:val="fr-CA"/>
        </w:rPr>
        <w:t xml:space="preserve">p. ex. température ambiante ou </w:t>
      </w:r>
      <w:r w:rsidRPr="008D1D2E">
        <w:rPr>
          <w:rFonts w:ascii="Arial" w:hAnsi="Arial"/>
          <w:sz w:val="24"/>
          <w:lang w:val="fr-CA"/>
        </w:rPr>
        <w:t>37</w:t>
      </w:r>
      <w:r w:rsidR="003B104D" w:rsidRPr="003B104D">
        <w:rPr>
          <w:rFonts w:ascii="Arial" w:hAnsi="Arial"/>
          <w:sz w:val="24"/>
          <w:vertAlign w:val="superscript"/>
          <w:lang w:val="fr-CA"/>
        </w:rPr>
        <w:t>o</w:t>
      </w:r>
      <w:r w:rsidRPr="008D1D2E">
        <w:rPr>
          <w:rFonts w:ascii="Arial" w:hAnsi="Arial"/>
          <w:sz w:val="24"/>
          <w:lang w:val="fr-CA"/>
        </w:rPr>
        <w:t>C, centrifuge</w:t>
      </w:r>
      <w:r w:rsidR="003B104D">
        <w:rPr>
          <w:rFonts w:ascii="Arial" w:hAnsi="Arial"/>
          <w:sz w:val="24"/>
          <w:lang w:val="fr-CA"/>
        </w:rPr>
        <w:t>r et faire une lecture à la recherche d’</w:t>
      </w:r>
      <w:r w:rsidRPr="008D1D2E">
        <w:rPr>
          <w:rFonts w:ascii="Arial" w:hAnsi="Arial"/>
          <w:sz w:val="24"/>
          <w:lang w:val="fr-CA"/>
        </w:rPr>
        <w:t xml:space="preserve">agglutination. </w:t>
      </w:r>
      <w:r w:rsidR="005D054A" w:rsidRPr="008D1D2E">
        <w:rPr>
          <w:rFonts w:ascii="Arial" w:hAnsi="Arial"/>
          <w:sz w:val="24"/>
          <w:lang w:val="fr-CA"/>
        </w:rPr>
        <w:t>Inscrire les résultats.</w:t>
      </w:r>
    </w:p>
    <w:p w:rsidR="00616FCF" w:rsidRPr="008D1D2E" w:rsidRDefault="00616FCF">
      <w:pPr>
        <w:rPr>
          <w:rFonts w:ascii="Arial" w:hAnsi="Arial"/>
          <w:sz w:val="24"/>
          <w:lang w:val="fr-CA"/>
        </w:rPr>
      </w:pPr>
    </w:p>
    <w:p w:rsidR="00616FCF" w:rsidRPr="008D1D2E" w:rsidRDefault="003B104D">
      <w:pPr>
        <w:pStyle w:val="BodyText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Si l’anticorps réagit à </w:t>
      </w:r>
      <w:r w:rsidR="00616FCF" w:rsidRPr="008D1D2E">
        <w:rPr>
          <w:lang w:val="fr-CA"/>
        </w:rPr>
        <w:t>37</w:t>
      </w:r>
      <w:r w:rsidRPr="003B104D">
        <w:rPr>
          <w:vertAlign w:val="superscript"/>
          <w:lang w:val="fr-CA"/>
        </w:rPr>
        <w:t>o</w:t>
      </w:r>
      <w:r w:rsidR="00616FCF" w:rsidRPr="008D1D2E">
        <w:rPr>
          <w:lang w:val="fr-CA"/>
        </w:rPr>
        <w:t xml:space="preserve">C </w:t>
      </w:r>
      <w:r>
        <w:rPr>
          <w:lang w:val="fr-CA"/>
        </w:rPr>
        <w:t>et</w:t>
      </w:r>
      <w:r w:rsidR="00616FCF" w:rsidRPr="008D1D2E">
        <w:rPr>
          <w:lang w:val="fr-CA"/>
        </w:rPr>
        <w:t>/o</w:t>
      </w:r>
      <w:r>
        <w:rPr>
          <w:lang w:val="fr-CA"/>
        </w:rPr>
        <w:t>u à l’</w:t>
      </w:r>
      <w:proofErr w:type="spellStart"/>
      <w:r>
        <w:rPr>
          <w:lang w:val="fr-CA"/>
        </w:rPr>
        <w:t>antiglobuline</w:t>
      </w:r>
      <w:proofErr w:type="spellEnd"/>
      <w:r w:rsidR="00616FCF" w:rsidRPr="008D1D2E">
        <w:rPr>
          <w:lang w:val="fr-CA"/>
        </w:rPr>
        <w:t xml:space="preserve">, </w:t>
      </w:r>
      <w:r>
        <w:rPr>
          <w:lang w:val="fr-CA"/>
        </w:rPr>
        <w:t>laver les hématies 4 fois pour le test à l’</w:t>
      </w:r>
      <w:proofErr w:type="spellStart"/>
      <w:r w:rsidR="00616FCF" w:rsidRPr="008D1D2E">
        <w:rPr>
          <w:lang w:val="fr-CA"/>
        </w:rPr>
        <w:t>antiglobulin</w:t>
      </w:r>
      <w:r>
        <w:rPr>
          <w:lang w:val="fr-CA"/>
        </w:rPr>
        <w:t>e</w:t>
      </w:r>
      <w:proofErr w:type="spellEnd"/>
      <w:r w:rsidR="00616FCF" w:rsidRPr="008D1D2E">
        <w:rPr>
          <w:lang w:val="fr-CA"/>
        </w:rPr>
        <w:t xml:space="preserve">. </w:t>
      </w:r>
      <w:r>
        <w:rPr>
          <w:lang w:val="fr-CA"/>
        </w:rPr>
        <w:t>Examiner à la recherche d’</w:t>
      </w:r>
      <w:r w:rsidR="00616FCF" w:rsidRPr="008D1D2E">
        <w:rPr>
          <w:lang w:val="fr-CA"/>
        </w:rPr>
        <w:t xml:space="preserve">agglutination </w:t>
      </w:r>
      <w:r>
        <w:rPr>
          <w:lang w:val="fr-CA"/>
        </w:rPr>
        <w:t>avant d’ajouter l’</w:t>
      </w:r>
      <w:proofErr w:type="spellStart"/>
      <w:r w:rsidR="00616FCF" w:rsidRPr="008D1D2E">
        <w:rPr>
          <w:lang w:val="fr-CA"/>
        </w:rPr>
        <w:t>anti-IgG</w:t>
      </w:r>
      <w:proofErr w:type="spellEnd"/>
      <w:r w:rsidR="00616FCF" w:rsidRPr="008D1D2E">
        <w:rPr>
          <w:lang w:val="fr-CA"/>
        </w:rPr>
        <w:t xml:space="preserve"> </w:t>
      </w:r>
      <w:r>
        <w:rPr>
          <w:lang w:val="fr-CA"/>
        </w:rPr>
        <w:t xml:space="preserve">si une </w:t>
      </w:r>
      <w:r w:rsidR="00616FCF" w:rsidRPr="008D1D2E">
        <w:rPr>
          <w:lang w:val="fr-CA"/>
        </w:rPr>
        <w:t xml:space="preserve">agglutination </w:t>
      </w:r>
      <w:r>
        <w:rPr>
          <w:lang w:val="fr-CA"/>
        </w:rPr>
        <w:t xml:space="preserve">a été observée au cours d’une étape précédente. </w:t>
      </w:r>
      <w:r>
        <w:rPr>
          <w:lang w:val="fr-CA"/>
        </w:rPr>
        <w:br/>
      </w:r>
    </w:p>
    <w:p w:rsidR="00616FCF" w:rsidRPr="008D1D2E" w:rsidRDefault="003B104D" w:rsidP="005D054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l’</w:t>
      </w:r>
      <w:proofErr w:type="spellStart"/>
      <w:r w:rsidR="00616FCF" w:rsidRPr="008D1D2E">
        <w:rPr>
          <w:rFonts w:ascii="Arial" w:hAnsi="Arial"/>
          <w:sz w:val="24"/>
          <w:lang w:val="fr-CA"/>
        </w:rPr>
        <w:t>anti-IgG</w:t>
      </w:r>
      <w:proofErr w:type="spellEnd"/>
      <w:r w:rsidR="00616FCF" w:rsidRPr="008D1D2E">
        <w:rPr>
          <w:rFonts w:ascii="Arial" w:hAnsi="Arial"/>
          <w:sz w:val="24"/>
          <w:lang w:val="fr-CA"/>
        </w:rPr>
        <w:t>, centrifuge</w:t>
      </w:r>
      <w:r>
        <w:rPr>
          <w:rFonts w:ascii="Arial" w:hAnsi="Arial"/>
          <w:sz w:val="24"/>
          <w:lang w:val="fr-CA"/>
        </w:rPr>
        <w:t>r</w:t>
      </w:r>
      <w:r w:rsidR="00616FCF" w:rsidRPr="008D1D2E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et faire une lecture</w:t>
      </w:r>
      <w:r w:rsidR="00616FCF" w:rsidRPr="008D1D2E">
        <w:rPr>
          <w:rFonts w:ascii="Arial" w:hAnsi="Arial"/>
          <w:sz w:val="24"/>
          <w:lang w:val="fr-CA"/>
        </w:rPr>
        <w:t xml:space="preserve">. </w:t>
      </w:r>
      <w:r w:rsidR="005D054A" w:rsidRPr="008D1D2E">
        <w:rPr>
          <w:rFonts w:ascii="Arial" w:hAnsi="Arial"/>
          <w:sz w:val="24"/>
          <w:lang w:val="fr-CA"/>
        </w:rPr>
        <w:t>Inscrire les résultats.</w:t>
      </w:r>
    </w:p>
    <w:p w:rsidR="00616FCF" w:rsidRPr="008D1D2E" w:rsidRDefault="00616FCF">
      <w:pPr>
        <w:rPr>
          <w:rFonts w:ascii="Arial" w:hAnsi="Arial"/>
          <w:sz w:val="24"/>
          <w:lang w:val="fr-CA"/>
        </w:rPr>
      </w:pPr>
    </w:p>
    <w:p w:rsidR="00616FCF" w:rsidRPr="008D1D2E" w:rsidRDefault="005D054A" w:rsidP="005D054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D1D2E">
        <w:rPr>
          <w:rFonts w:ascii="Arial" w:hAnsi="Arial"/>
          <w:sz w:val="24"/>
          <w:lang w:val="fr-CA"/>
        </w:rPr>
        <w:t>Confirmer toutes les réactions négatives par l’addition de cellules témoins d’IgG.</w:t>
      </w:r>
      <w:r w:rsidR="00616FCF" w:rsidRPr="008D1D2E">
        <w:rPr>
          <w:rFonts w:ascii="Arial" w:hAnsi="Arial"/>
          <w:sz w:val="24"/>
          <w:lang w:val="fr-CA"/>
        </w:rPr>
        <w:t xml:space="preserve"> </w:t>
      </w:r>
      <w:r w:rsidRPr="008D1D2E">
        <w:rPr>
          <w:rFonts w:ascii="Arial" w:hAnsi="Arial"/>
          <w:sz w:val="24"/>
          <w:lang w:val="fr-CA"/>
        </w:rPr>
        <w:t>Si une réaction négative est obtenue avec les cellules témoins, répéter le test sur ce tube avant d’inscrire les résultats.</w:t>
      </w:r>
      <w:r w:rsidR="00616FCF" w:rsidRPr="008D1D2E">
        <w:rPr>
          <w:rFonts w:ascii="Arial" w:hAnsi="Arial"/>
          <w:sz w:val="24"/>
          <w:lang w:val="fr-CA"/>
        </w:rPr>
        <w:t xml:space="preserve"> </w:t>
      </w:r>
    </w:p>
    <w:p w:rsidR="00616FCF" w:rsidRPr="008D1D2E" w:rsidRDefault="00616FCF">
      <w:pPr>
        <w:rPr>
          <w:rFonts w:ascii="Arial" w:hAnsi="Arial"/>
          <w:b/>
          <w:sz w:val="24"/>
          <w:lang w:val="fr-CA"/>
        </w:rPr>
      </w:pPr>
    </w:p>
    <w:p w:rsidR="00616FCF" w:rsidRPr="003B104D" w:rsidRDefault="005D054A" w:rsidP="005D054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3B104D">
        <w:rPr>
          <w:rFonts w:ascii="Arial" w:hAnsi="Arial"/>
          <w:b/>
          <w:sz w:val="28"/>
          <w:lang w:val="fr-CA"/>
        </w:rPr>
        <w:t>Documentation</w:t>
      </w:r>
      <w:r w:rsidR="0014213A">
        <w:rPr>
          <w:rFonts w:ascii="Arial" w:hAnsi="Arial"/>
          <w:b/>
          <w:sz w:val="28"/>
          <w:lang w:val="fr-CA"/>
        </w:rPr>
        <w:t xml:space="preserve"> </w:t>
      </w:r>
    </w:p>
    <w:p w:rsidR="00616FCF" w:rsidRPr="003B104D" w:rsidRDefault="00616FCF">
      <w:pPr>
        <w:rPr>
          <w:rFonts w:ascii="Arial" w:hAnsi="Arial"/>
          <w:b/>
          <w:sz w:val="24"/>
          <w:lang w:val="fr-CA"/>
        </w:rPr>
      </w:pPr>
    </w:p>
    <w:p w:rsidR="00616FCF" w:rsidRPr="003B104D" w:rsidRDefault="003B104D" w:rsidP="005D054A">
      <w:pPr>
        <w:pStyle w:val="Heading1"/>
        <w:numPr>
          <w:ilvl w:val="0"/>
          <w:numId w:val="0"/>
        </w:numPr>
        <w:ind w:left="720"/>
        <w:rPr>
          <w:rFonts w:ascii="Arial" w:hAnsi="Arial"/>
          <w:b w:val="0"/>
          <w:sz w:val="24"/>
          <w:lang w:val="fr-CA"/>
        </w:rPr>
      </w:pPr>
      <w:r w:rsidRPr="00C847AE">
        <w:rPr>
          <w:rFonts w:ascii="Arial" w:hAnsi="Arial"/>
          <w:b w:val="0"/>
          <w:sz w:val="24"/>
          <w:lang w:val="fr-CA"/>
        </w:rPr>
        <w:t>Interprétation</w:t>
      </w:r>
      <w:r w:rsidR="00915D14">
        <w:rPr>
          <w:rFonts w:ascii="Arial" w:hAnsi="Arial"/>
          <w:b w:val="0"/>
          <w:sz w:val="24"/>
          <w:lang w:val="fr-CA"/>
        </w:rPr>
        <w:t> </w:t>
      </w:r>
      <w:r w:rsidRPr="00C847AE">
        <w:rPr>
          <w:rFonts w:ascii="Arial" w:hAnsi="Arial"/>
          <w:b w:val="0"/>
          <w:sz w:val="24"/>
          <w:lang w:val="fr-CA"/>
        </w:rPr>
        <w:t>:</w:t>
      </w:r>
      <w:r w:rsidR="0014213A" w:rsidRPr="00C847AE">
        <w:rPr>
          <w:rFonts w:ascii="Arial" w:hAnsi="Arial"/>
          <w:b w:val="0"/>
          <w:sz w:val="24"/>
          <w:lang w:val="fr-CA"/>
        </w:rPr>
        <w:t xml:space="preserve"> </w:t>
      </w:r>
    </w:p>
    <w:p w:rsidR="00616FCF" w:rsidRPr="003B104D" w:rsidRDefault="003B104D">
      <w:pPr>
        <w:pStyle w:val="Heading1"/>
        <w:numPr>
          <w:ilvl w:val="1"/>
          <w:numId w:val="1"/>
        </w:numPr>
        <w:rPr>
          <w:rFonts w:ascii="Arial" w:hAnsi="Arial"/>
          <w:b w:val="0"/>
          <w:sz w:val="24"/>
          <w:lang w:val="fr-CA"/>
        </w:rPr>
      </w:pPr>
      <w:r w:rsidRPr="003B104D">
        <w:rPr>
          <w:rFonts w:ascii="Arial" w:hAnsi="Arial"/>
          <w:b w:val="0"/>
          <w:sz w:val="24"/>
          <w:lang w:val="fr-CA"/>
        </w:rPr>
        <w:t xml:space="preserve">Une réactivité </w:t>
      </w:r>
      <w:r>
        <w:rPr>
          <w:rFonts w:ascii="Arial" w:hAnsi="Arial"/>
          <w:b w:val="0"/>
          <w:sz w:val="24"/>
          <w:lang w:val="fr-CA"/>
        </w:rPr>
        <w:t>é</w:t>
      </w:r>
      <w:r w:rsidRPr="003B104D">
        <w:rPr>
          <w:rFonts w:ascii="Arial" w:hAnsi="Arial"/>
          <w:b w:val="0"/>
          <w:sz w:val="24"/>
          <w:lang w:val="fr-CA"/>
        </w:rPr>
        <w:t>quivalent</w:t>
      </w:r>
      <w:r>
        <w:rPr>
          <w:rFonts w:ascii="Arial" w:hAnsi="Arial"/>
          <w:b w:val="0"/>
          <w:sz w:val="24"/>
          <w:lang w:val="fr-CA"/>
        </w:rPr>
        <w:t>e</w:t>
      </w:r>
      <w:r w:rsidRPr="003B104D">
        <w:rPr>
          <w:rFonts w:ascii="Arial" w:hAnsi="Arial"/>
          <w:b w:val="0"/>
          <w:sz w:val="24"/>
          <w:lang w:val="fr-CA"/>
        </w:rPr>
        <w:t xml:space="preserve"> dans le plasma traité et le plasma </w:t>
      </w:r>
      <w:r w:rsidR="00785587">
        <w:rPr>
          <w:rFonts w:ascii="Arial" w:hAnsi="Arial"/>
          <w:b w:val="0"/>
          <w:sz w:val="24"/>
          <w:lang w:val="fr-CA"/>
        </w:rPr>
        <w:t>dilué</w:t>
      </w:r>
      <w:r w:rsidR="00785587" w:rsidRPr="003B104D">
        <w:rPr>
          <w:rFonts w:ascii="Arial" w:hAnsi="Arial"/>
          <w:b w:val="0"/>
          <w:sz w:val="24"/>
          <w:lang w:val="fr-CA"/>
        </w:rPr>
        <w:t xml:space="preserve"> </w:t>
      </w:r>
      <w:r w:rsidRPr="003B104D">
        <w:rPr>
          <w:rFonts w:ascii="Arial" w:hAnsi="Arial"/>
          <w:b w:val="0"/>
          <w:sz w:val="24"/>
          <w:lang w:val="fr-CA"/>
        </w:rPr>
        <w:t xml:space="preserve">témoin signifie la présence d’un anticorps </w:t>
      </w:r>
      <w:r w:rsidR="00616FCF" w:rsidRPr="003B104D">
        <w:rPr>
          <w:rFonts w:ascii="Arial" w:hAnsi="Arial"/>
          <w:b w:val="0"/>
          <w:sz w:val="24"/>
          <w:lang w:val="fr-CA"/>
        </w:rPr>
        <w:t>IgG</w:t>
      </w:r>
      <w:r>
        <w:rPr>
          <w:rFonts w:ascii="Arial" w:hAnsi="Arial"/>
          <w:b w:val="0"/>
          <w:sz w:val="24"/>
          <w:lang w:val="fr-CA"/>
        </w:rPr>
        <w:t xml:space="preserve">. Cependant, un mélange d’anticorps </w:t>
      </w:r>
      <w:r w:rsidR="00616FCF" w:rsidRPr="003B104D">
        <w:rPr>
          <w:rFonts w:ascii="Arial" w:hAnsi="Arial"/>
          <w:b w:val="0"/>
          <w:sz w:val="24"/>
          <w:lang w:val="fr-CA"/>
        </w:rPr>
        <w:t xml:space="preserve">IgM </w:t>
      </w:r>
      <w:r>
        <w:rPr>
          <w:rFonts w:ascii="Arial" w:hAnsi="Arial"/>
          <w:b w:val="0"/>
          <w:sz w:val="24"/>
          <w:lang w:val="fr-CA"/>
        </w:rPr>
        <w:t xml:space="preserve">et </w:t>
      </w:r>
      <w:r w:rsidR="00616FCF" w:rsidRPr="003B104D">
        <w:rPr>
          <w:rFonts w:ascii="Arial" w:hAnsi="Arial"/>
          <w:b w:val="0"/>
          <w:sz w:val="24"/>
          <w:lang w:val="fr-CA"/>
        </w:rPr>
        <w:t xml:space="preserve">IgG </w:t>
      </w:r>
      <w:r>
        <w:rPr>
          <w:rFonts w:ascii="Arial" w:hAnsi="Arial"/>
          <w:b w:val="0"/>
          <w:sz w:val="24"/>
          <w:lang w:val="fr-CA"/>
        </w:rPr>
        <w:t xml:space="preserve">pourrait ne pas être évident par épreuve </w:t>
      </w:r>
      <w:r w:rsidR="004D20F5">
        <w:rPr>
          <w:rFonts w:ascii="Arial" w:hAnsi="Arial"/>
          <w:b w:val="0"/>
          <w:sz w:val="24"/>
          <w:lang w:val="fr-CA"/>
        </w:rPr>
        <w:t>directe ;</w:t>
      </w:r>
      <w:r>
        <w:rPr>
          <w:rFonts w:ascii="Arial" w:hAnsi="Arial"/>
          <w:b w:val="0"/>
          <w:sz w:val="24"/>
          <w:lang w:val="fr-CA"/>
        </w:rPr>
        <w:t xml:space="preserve"> </w:t>
      </w:r>
      <w:r w:rsidR="0014213A">
        <w:rPr>
          <w:rFonts w:ascii="Arial" w:hAnsi="Arial"/>
          <w:b w:val="0"/>
          <w:sz w:val="24"/>
          <w:lang w:val="fr-CA"/>
        </w:rPr>
        <w:t>un titrage sera peut-être requis pour dépister une baisse d’activité d’un anticorps</w:t>
      </w:r>
      <w:r w:rsidR="00616FCF" w:rsidRPr="003B104D">
        <w:rPr>
          <w:rFonts w:ascii="Arial" w:hAnsi="Arial"/>
          <w:b w:val="0"/>
          <w:sz w:val="24"/>
          <w:lang w:val="fr-CA"/>
        </w:rPr>
        <w:t>.</w:t>
      </w:r>
    </w:p>
    <w:p w:rsidR="00616FCF" w:rsidRPr="003B104D" w:rsidRDefault="0014213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Une réactivité moindre dans le plasma traité que dans le plasma </w:t>
      </w:r>
      <w:r w:rsidR="00785587">
        <w:rPr>
          <w:rFonts w:ascii="Arial" w:hAnsi="Arial"/>
          <w:sz w:val="24"/>
          <w:lang w:val="fr-CA"/>
        </w:rPr>
        <w:t xml:space="preserve">dilué </w:t>
      </w:r>
      <w:r>
        <w:rPr>
          <w:rFonts w:ascii="Arial" w:hAnsi="Arial"/>
          <w:sz w:val="24"/>
          <w:lang w:val="fr-CA"/>
        </w:rPr>
        <w:t>témoin peut indiquer une simple inactivation partielle de l’</w:t>
      </w:r>
      <w:r w:rsidR="00616FCF" w:rsidRPr="003B104D">
        <w:rPr>
          <w:rFonts w:ascii="Arial" w:hAnsi="Arial"/>
          <w:sz w:val="24"/>
          <w:lang w:val="fr-CA"/>
        </w:rPr>
        <w:t xml:space="preserve">IgM </w:t>
      </w:r>
      <w:r>
        <w:rPr>
          <w:rFonts w:ascii="Arial" w:hAnsi="Arial"/>
          <w:sz w:val="24"/>
          <w:lang w:val="fr-CA"/>
        </w:rPr>
        <w:t>plutôt que la présence d’une composante IgG</w:t>
      </w:r>
      <w:r w:rsidR="00616FCF" w:rsidRPr="003B104D">
        <w:rPr>
          <w:rFonts w:ascii="Arial" w:hAnsi="Arial"/>
          <w:sz w:val="24"/>
          <w:lang w:val="fr-CA"/>
        </w:rPr>
        <w:t>.</w:t>
      </w:r>
    </w:p>
    <w:p w:rsidR="00616FCF" w:rsidRPr="003B104D" w:rsidRDefault="00616FCF">
      <w:pPr>
        <w:ind w:left="720"/>
        <w:rPr>
          <w:rFonts w:ascii="Arial" w:hAnsi="Arial"/>
          <w:sz w:val="24"/>
          <w:lang w:val="fr-CA"/>
        </w:rPr>
      </w:pPr>
    </w:p>
    <w:p w:rsidR="00616FCF" w:rsidRPr="003B104D" w:rsidRDefault="00616FCF">
      <w:pPr>
        <w:pStyle w:val="BodyTextIndent"/>
        <w:rPr>
          <w:rFonts w:ascii="Arial" w:hAnsi="Arial"/>
          <w:lang w:val="fr-CA"/>
        </w:rPr>
      </w:pPr>
      <w:r w:rsidRPr="003B104D">
        <w:rPr>
          <w:rFonts w:ascii="Arial" w:hAnsi="Arial"/>
          <w:lang w:val="fr-CA"/>
        </w:rPr>
        <w:t>Ex</w:t>
      </w:r>
      <w:r w:rsidR="0014213A">
        <w:rPr>
          <w:rFonts w:ascii="Arial" w:hAnsi="Arial"/>
          <w:lang w:val="fr-CA"/>
        </w:rPr>
        <w:t>e</w:t>
      </w:r>
      <w:r w:rsidRPr="003B104D">
        <w:rPr>
          <w:rFonts w:ascii="Arial" w:hAnsi="Arial"/>
          <w:lang w:val="fr-CA"/>
        </w:rPr>
        <w:t xml:space="preserve">mples </w:t>
      </w:r>
      <w:r w:rsidR="0014213A">
        <w:rPr>
          <w:rFonts w:ascii="Arial" w:hAnsi="Arial"/>
          <w:lang w:val="fr-CA"/>
        </w:rPr>
        <w:t xml:space="preserve">et </w:t>
      </w:r>
      <w:r w:rsidRPr="003B104D">
        <w:rPr>
          <w:rFonts w:ascii="Arial" w:hAnsi="Arial"/>
          <w:lang w:val="fr-CA"/>
        </w:rPr>
        <w:t>interpr</w:t>
      </w:r>
      <w:r w:rsidR="0014213A">
        <w:rPr>
          <w:rFonts w:ascii="Arial" w:hAnsi="Arial"/>
          <w:lang w:val="fr-CA"/>
        </w:rPr>
        <w:t>é</w:t>
      </w:r>
      <w:r w:rsidRPr="003B104D">
        <w:rPr>
          <w:rFonts w:ascii="Arial" w:hAnsi="Arial"/>
          <w:lang w:val="fr-CA"/>
        </w:rPr>
        <w:t xml:space="preserve">tations </w:t>
      </w:r>
      <w:r w:rsidR="0014213A">
        <w:rPr>
          <w:rFonts w:ascii="Arial" w:hAnsi="Arial"/>
          <w:lang w:val="fr-CA"/>
        </w:rPr>
        <w:t xml:space="preserve">avec le plasma dilué : </w:t>
      </w:r>
    </w:p>
    <w:p w:rsidR="00616FCF" w:rsidRPr="004D20F5" w:rsidRDefault="00616FCF">
      <w:pPr>
        <w:pStyle w:val="BodyTextIndent"/>
        <w:rPr>
          <w:rFonts w:ascii="Arial" w:hAnsi="Arial"/>
          <w:lang w:val="fr-CA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2"/>
        <w:gridCol w:w="1258"/>
        <w:gridCol w:w="1349"/>
        <w:gridCol w:w="1441"/>
        <w:gridCol w:w="1055"/>
        <w:gridCol w:w="1836"/>
        <w:gridCol w:w="9"/>
      </w:tblGrid>
      <w:tr w:rsidR="00616FCF" w:rsidTr="004D20F5">
        <w:trPr>
          <w:gridAfter w:val="1"/>
          <w:wAfter w:w="9" w:type="dxa"/>
          <w:cantSplit/>
          <w:trHeight w:val="140"/>
          <w:jc w:val="center"/>
        </w:trPr>
        <w:tc>
          <w:tcPr>
            <w:tcW w:w="1892" w:type="dxa"/>
            <w:vMerge w:val="restart"/>
          </w:tcPr>
          <w:p w:rsidR="00616FCF" w:rsidRPr="004D20F5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5110" w:type="dxa"/>
            <w:gridSpan w:val="5"/>
          </w:tcPr>
          <w:p w:rsidR="00616FCF" w:rsidRPr="0014213A" w:rsidRDefault="0014213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Dilution du p</w:t>
            </w:r>
            <w:r w:rsidR="00616FCF" w:rsidRPr="0014213A">
              <w:rPr>
                <w:rFonts w:ascii="Arial" w:hAnsi="Arial"/>
                <w:sz w:val="22"/>
                <w:szCs w:val="22"/>
                <w:lang w:val="fr-CA"/>
              </w:rPr>
              <w:t xml:space="preserve">lasma </w:t>
            </w:r>
          </w:p>
        </w:tc>
        <w:tc>
          <w:tcPr>
            <w:tcW w:w="1838" w:type="dxa"/>
            <w:vAlign w:val="center"/>
          </w:tcPr>
          <w:p w:rsidR="00616FCF" w:rsidRPr="0014213A" w:rsidRDefault="0014213A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C847AE">
              <w:rPr>
                <w:rFonts w:ascii="Arial" w:hAnsi="Arial"/>
                <w:sz w:val="22"/>
                <w:szCs w:val="22"/>
                <w:lang w:val="fr-CA"/>
              </w:rPr>
              <w:t>Interprétation</w:t>
            </w:r>
          </w:p>
        </w:tc>
      </w:tr>
      <w:tr w:rsidR="00616FCF" w:rsidTr="004D20F5">
        <w:trPr>
          <w:gridAfter w:val="1"/>
          <w:wAfter w:w="9" w:type="dxa"/>
          <w:cantSplit/>
          <w:trHeight w:val="140"/>
          <w:jc w:val="center"/>
        </w:trPr>
        <w:tc>
          <w:tcPr>
            <w:tcW w:w="1892" w:type="dxa"/>
            <w:vMerge/>
            <w:tcBorders>
              <w:bottom w:val="nil"/>
            </w:tcBorders>
          </w:tcPr>
          <w:p w:rsidR="00616FCF" w:rsidRPr="0014213A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</w:tcPr>
          <w:p w:rsidR="00616FCF" w:rsidRPr="0014213A" w:rsidRDefault="00832F92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/>
                <w:sz w:val="22"/>
                <w:szCs w:val="22"/>
                <w:lang w:val="fr-CA"/>
              </w:rPr>
              <w:t>½</w:t>
            </w:r>
            <w:proofErr w:type="gramEnd"/>
          </w:p>
        </w:tc>
        <w:tc>
          <w:tcPr>
            <w:tcW w:w="1350" w:type="dxa"/>
            <w:tcBorders>
              <w:bottom w:val="nil"/>
            </w:tcBorders>
          </w:tcPr>
          <w:p w:rsidR="00616FCF" w:rsidRPr="0014213A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1/4</w:t>
            </w:r>
          </w:p>
        </w:tc>
        <w:tc>
          <w:tcPr>
            <w:tcW w:w="1437" w:type="dxa"/>
            <w:tcBorders>
              <w:bottom w:val="nil"/>
            </w:tcBorders>
          </w:tcPr>
          <w:p w:rsidR="00616FCF" w:rsidRPr="0014213A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1/8</w:t>
            </w:r>
          </w:p>
        </w:tc>
        <w:tc>
          <w:tcPr>
            <w:tcW w:w="1052" w:type="dxa"/>
            <w:tcBorders>
              <w:bottom w:val="nil"/>
            </w:tcBorders>
          </w:tcPr>
          <w:p w:rsidR="00616FCF" w:rsidRPr="0014213A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1/16</w:t>
            </w:r>
          </w:p>
        </w:tc>
        <w:tc>
          <w:tcPr>
            <w:tcW w:w="1838" w:type="dxa"/>
            <w:tcBorders>
              <w:bottom w:val="nil"/>
            </w:tcBorders>
          </w:tcPr>
          <w:p w:rsidR="00616FCF" w:rsidRPr="0014213A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616FCF" w:rsidTr="004D20F5">
        <w:trPr>
          <w:gridAfter w:val="1"/>
          <w:wAfter w:w="9" w:type="dxa"/>
          <w:cantSplit/>
          <w:jc w:val="center"/>
        </w:trPr>
        <w:tc>
          <w:tcPr>
            <w:tcW w:w="1892" w:type="dxa"/>
            <w:tcBorders>
              <w:top w:val="single" w:sz="12" w:space="0" w:color="auto"/>
            </w:tcBorders>
          </w:tcPr>
          <w:p w:rsidR="00616FCF" w:rsidRPr="0014213A" w:rsidRDefault="00616F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Plasma + DTT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</w:tcPr>
          <w:p w:rsidR="00616FCF" w:rsidRPr="0014213A" w:rsidRDefault="0014213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sz w:val="22"/>
                <w:szCs w:val="22"/>
                <w:lang w:val="fr-CA"/>
              </w:rPr>
              <w:t>niveau</w:t>
            </w:r>
            <w:proofErr w:type="gramEnd"/>
            <w:r w:rsidR="00616FCF" w:rsidRPr="0014213A">
              <w:rPr>
                <w:rFonts w:ascii="Arial" w:hAnsi="Arial"/>
                <w:sz w:val="22"/>
                <w:szCs w:val="22"/>
                <w:lang w:val="fr-CA"/>
              </w:rPr>
              <w:t xml:space="preserve"> 3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16FCF" w:rsidRPr="0014213A" w:rsidRDefault="0014213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sz w:val="22"/>
                <w:szCs w:val="22"/>
                <w:lang w:val="fr-CA"/>
              </w:rPr>
              <w:t>niveau</w:t>
            </w:r>
            <w:proofErr w:type="gramEnd"/>
            <w:r w:rsidRPr="0014213A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616FCF" w:rsidRPr="0014213A">
              <w:rPr>
                <w:rFonts w:ascii="Arial" w:hAnsi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616FCF" w:rsidRPr="0014213A" w:rsidRDefault="005D054A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niveau</w:t>
            </w:r>
            <w:proofErr w:type="gramEnd"/>
            <w:r w:rsidR="000C163C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 </w:t>
            </w:r>
            <w:r w:rsidRPr="0014213A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1 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:rsidR="00616FCF" w:rsidRPr="0014213A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616FCF" w:rsidRPr="0014213A" w:rsidRDefault="00616FC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IgG</w:t>
            </w:r>
          </w:p>
        </w:tc>
      </w:tr>
      <w:tr w:rsidR="00451E9F" w:rsidTr="004D20F5">
        <w:trPr>
          <w:cantSplit/>
          <w:jc w:val="center"/>
        </w:trPr>
        <w:tc>
          <w:tcPr>
            <w:tcW w:w="1904" w:type="dxa"/>
            <w:gridSpan w:val="2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Plasma + ST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P</w:t>
            </w:r>
          </w:p>
        </w:tc>
        <w:tc>
          <w:tcPr>
            <w:tcW w:w="1259" w:type="dxa"/>
          </w:tcPr>
          <w:p w:rsidR="00451E9F" w:rsidRPr="0014213A" w:rsidRDefault="00451E9F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niveau</w:t>
            </w:r>
            <w:proofErr w:type="gramEnd"/>
            <w:r w:rsidRPr="0014213A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 3</w:t>
            </w:r>
          </w:p>
        </w:tc>
        <w:tc>
          <w:tcPr>
            <w:tcW w:w="1350" w:type="dxa"/>
          </w:tcPr>
          <w:p w:rsidR="00451E9F" w:rsidRPr="0014213A" w:rsidRDefault="00451E9F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niveau</w:t>
            </w:r>
            <w:proofErr w:type="gramEnd"/>
            <w:r w:rsidRPr="0014213A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 2</w:t>
            </w:r>
          </w:p>
        </w:tc>
        <w:tc>
          <w:tcPr>
            <w:tcW w:w="1442" w:type="dxa"/>
          </w:tcPr>
          <w:p w:rsidR="00451E9F" w:rsidRPr="0014213A" w:rsidRDefault="00451E9F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sz w:val="22"/>
                <w:szCs w:val="22"/>
                <w:lang w:val="fr-CA"/>
              </w:rPr>
              <w:t>niveau</w:t>
            </w:r>
            <w:proofErr w:type="gramEnd"/>
            <w:r w:rsidR="000C163C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Pr="0014213A">
              <w:rPr>
                <w:rFonts w:ascii="Arial" w:hAnsi="Arial"/>
                <w:sz w:val="22"/>
                <w:szCs w:val="22"/>
                <w:lang w:val="fr-CA"/>
              </w:rPr>
              <w:t xml:space="preserve">1 </w:t>
            </w:r>
          </w:p>
        </w:tc>
        <w:tc>
          <w:tcPr>
            <w:tcW w:w="1056" w:type="dxa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838" w:type="dxa"/>
            <w:gridSpan w:val="2"/>
            <w:vAlign w:val="center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IgG</w:t>
            </w:r>
          </w:p>
        </w:tc>
      </w:tr>
      <w:tr w:rsidR="00451E9F" w:rsidTr="004D20F5">
        <w:trPr>
          <w:gridAfter w:val="1"/>
          <w:wAfter w:w="9" w:type="dxa"/>
          <w:cantSplit/>
          <w:jc w:val="center"/>
        </w:trPr>
        <w:tc>
          <w:tcPr>
            <w:tcW w:w="1892" w:type="dxa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Plasma + DTT</w:t>
            </w:r>
          </w:p>
        </w:tc>
        <w:tc>
          <w:tcPr>
            <w:tcW w:w="1271" w:type="dxa"/>
            <w:gridSpan w:val="2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350" w:type="dxa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437" w:type="dxa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052" w:type="dxa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838" w:type="dxa"/>
            <w:vAlign w:val="center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IgM</w:t>
            </w:r>
          </w:p>
        </w:tc>
      </w:tr>
      <w:tr w:rsidR="00451E9F" w:rsidTr="004D20F5">
        <w:trPr>
          <w:cantSplit/>
          <w:jc w:val="center"/>
        </w:trPr>
        <w:tc>
          <w:tcPr>
            <w:tcW w:w="1904" w:type="dxa"/>
            <w:gridSpan w:val="2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Plasma + ST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P</w:t>
            </w:r>
          </w:p>
        </w:tc>
        <w:tc>
          <w:tcPr>
            <w:tcW w:w="1259" w:type="dxa"/>
          </w:tcPr>
          <w:p w:rsidR="00451E9F" w:rsidRPr="0014213A" w:rsidRDefault="00451E9F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sz w:val="22"/>
                <w:szCs w:val="22"/>
                <w:lang w:val="fr-CA"/>
              </w:rPr>
              <w:t>niveau</w:t>
            </w:r>
            <w:proofErr w:type="gramEnd"/>
            <w:r w:rsidRPr="0014213A">
              <w:rPr>
                <w:rFonts w:ascii="Arial" w:hAnsi="Arial"/>
                <w:sz w:val="22"/>
                <w:szCs w:val="22"/>
                <w:lang w:val="fr-CA"/>
              </w:rPr>
              <w:t xml:space="preserve"> 3</w:t>
            </w:r>
          </w:p>
        </w:tc>
        <w:tc>
          <w:tcPr>
            <w:tcW w:w="1350" w:type="dxa"/>
          </w:tcPr>
          <w:p w:rsidR="00451E9F" w:rsidRPr="0014213A" w:rsidRDefault="00451E9F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sz w:val="22"/>
                <w:szCs w:val="22"/>
                <w:lang w:val="fr-CA"/>
              </w:rPr>
              <w:t>niveau</w:t>
            </w:r>
            <w:proofErr w:type="gramEnd"/>
            <w:r w:rsidRPr="0014213A">
              <w:rPr>
                <w:rFonts w:ascii="Arial" w:hAnsi="Arial"/>
                <w:sz w:val="22"/>
                <w:szCs w:val="22"/>
                <w:lang w:val="fr-CA"/>
              </w:rPr>
              <w:t xml:space="preserve"> 2</w:t>
            </w:r>
          </w:p>
        </w:tc>
        <w:tc>
          <w:tcPr>
            <w:tcW w:w="1442" w:type="dxa"/>
          </w:tcPr>
          <w:p w:rsidR="00451E9F" w:rsidRPr="0014213A" w:rsidRDefault="00451E9F" w:rsidP="005D054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14213A">
              <w:rPr>
                <w:rFonts w:ascii="Arial" w:hAnsi="Arial"/>
                <w:sz w:val="22"/>
                <w:szCs w:val="22"/>
                <w:lang w:val="fr-CA"/>
              </w:rPr>
              <w:t>niveau</w:t>
            </w:r>
            <w:proofErr w:type="gramEnd"/>
            <w:r w:rsidR="000C163C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Pr="0014213A">
              <w:rPr>
                <w:rFonts w:ascii="Arial" w:hAnsi="Arial"/>
                <w:sz w:val="22"/>
                <w:szCs w:val="22"/>
                <w:lang w:val="fr-CA"/>
              </w:rPr>
              <w:t xml:space="preserve">1 </w:t>
            </w:r>
          </w:p>
        </w:tc>
        <w:tc>
          <w:tcPr>
            <w:tcW w:w="1056" w:type="dxa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838" w:type="dxa"/>
            <w:gridSpan w:val="2"/>
            <w:vAlign w:val="center"/>
          </w:tcPr>
          <w:p w:rsidR="00451E9F" w:rsidRPr="0014213A" w:rsidRDefault="00451E9F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IgM</w:t>
            </w:r>
          </w:p>
        </w:tc>
      </w:tr>
      <w:tr w:rsidR="00C56EFC" w:rsidRPr="004D20F5" w:rsidTr="004D20F5">
        <w:trPr>
          <w:gridAfter w:val="1"/>
          <w:wAfter w:w="9" w:type="dxa"/>
          <w:cantSplit/>
          <w:jc w:val="center"/>
        </w:trPr>
        <w:tc>
          <w:tcPr>
            <w:tcW w:w="1892" w:type="dxa"/>
          </w:tcPr>
          <w:p w:rsidR="00C56EFC" w:rsidRPr="0014213A" w:rsidRDefault="00C56EFC" w:rsidP="00A2419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14213A">
              <w:rPr>
                <w:rFonts w:ascii="Arial" w:hAnsi="Arial"/>
                <w:sz w:val="22"/>
                <w:szCs w:val="22"/>
                <w:lang w:val="fr-CA"/>
              </w:rPr>
              <w:t>Plasma + DTT</w:t>
            </w:r>
          </w:p>
        </w:tc>
        <w:tc>
          <w:tcPr>
            <w:tcW w:w="1271" w:type="dxa"/>
            <w:gridSpan w:val="2"/>
          </w:tcPr>
          <w:p w:rsidR="00C56EFC" w:rsidRPr="0014213A" w:rsidRDefault="00C56EFC" w:rsidP="00A2419A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14213A">
              <w:rPr>
                <w:rFonts w:ascii="Arial" w:hAnsi="Arial"/>
                <w:sz w:val="22"/>
                <w:szCs w:val="22"/>
              </w:rPr>
              <w:t>niveau</w:t>
            </w:r>
            <w:proofErr w:type="spellEnd"/>
            <w:r w:rsidR="000C163C">
              <w:rPr>
                <w:rFonts w:ascii="Arial" w:hAnsi="Arial"/>
                <w:sz w:val="22"/>
                <w:szCs w:val="22"/>
              </w:rPr>
              <w:t> </w:t>
            </w:r>
            <w:r w:rsidRPr="0014213A"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</w:tcPr>
          <w:p w:rsidR="00C56EFC" w:rsidRPr="0014213A" w:rsidRDefault="00C56EFC" w:rsidP="00A241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4213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C56EFC" w:rsidRPr="0014213A" w:rsidRDefault="00C56EFC" w:rsidP="00A241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4213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C56EFC" w:rsidRPr="0014213A" w:rsidRDefault="00C56EFC" w:rsidP="00A241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4213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838" w:type="dxa"/>
            <w:vMerge w:val="restart"/>
            <w:vAlign w:val="center"/>
          </w:tcPr>
          <w:p w:rsidR="00C56EFC" w:rsidRPr="004D20F5" w:rsidRDefault="00C56EFC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4D20F5">
              <w:rPr>
                <w:rFonts w:ascii="Arial" w:hAnsi="Arial"/>
                <w:sz w:val="22"/>
                <w:szCs w:val="22"/>
                <w:lang w:val="fr-CA"/>
              </w:rPr>
              <w:t xml:space="preserve">IgG + IgM </w:t>
            </w:r>
          </w:p>
          <w:p w:rsidR="00C56EFC" w:rsidRPr="004D20F5" w:rsidRDefault="00C56EFC" w:rsidP="00A2419A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4D20F5">
              <w:rPr>
                <w:rFonts w:ascii="Arial" w:hAnsi="Arial"/>
                <w:sz w:val="22"/>
                <w:szCs w:val="22"/>
                <w:lang w:val="fr-CA"/>
              </w:rPr>
              <w:t>ou</w:t>
            </w:r>
            <w:proofErr w:type="gramEnd"/>
            <w:r w:rsidRPr="004D20F5">
              <w:rPr>
                <w:rFonts w:ascii="Arial" w:hAnsi="Arial"/>
                <w:sz w:val="22"/>
                <w:szCs w:val="22"/>
                <w:lang w:val="fr-CA"/>
              </w:rPr>
              <w:t xml:space="preserve"> inactivation partielle de l’IgM</w:t>
            </w:r>
          </w:p>
        </w:tc>
      </w:tr>
      <w:tr w:rsidR="00C56EFC" w:rsidTr="004D20F5">
        <w:trPr>
          <w:gridAfter w:val="1"/>
          <w:wAfter w:w="9" w:type="dxa"/>
          <w:cantSplit/>
          <w:jc w:val="center"/>
        </w:trPr>
        <w:tc>
          <w:tcPr>
            <w:tcW w:w="1892" w:type="dxa"/>
          </w:tcPr>
          <w:p w:rsidR="00C56EFC" w:rsidRPr="0014213A" w:rsidRDefault="00C56EFC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Plasma + STP</w:t>
            </w:r>
          </w:p>
        </w:tc>
        <w:tc>
          <w:tcPr>
            <w:tcW w:w="1271" w:type="dxa"/>
            <w:gridSpan w:val="2"/>
          </w:tcPr>
          <w:p w:rsidR="00C56EFC" w:rsidRPr="0014213A" w:rsidRDefault="00C56EFC" w:rsidP="00C56E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niveau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</w:t>
            </w:r>
          </w:p>
        </w:tc>
        <w:tc>
          <w:tcPr>
            <w:tcW w:w="1350" w:type="dxa"/>
          </w:tcPr>
          <w:p w:rsidR="00C56EFC" w:rsidRPr="0014213A" w:rsidRDefault="00C56E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niveau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  <w:tc>
          <w:tcPr>
            <w:tcW w:w="1437" w:type="dxa"/>
          </w:tcPr>
          <w:p w:rsidR="00C56EFC" w:rsidRPr="0014213A" w:rsidRDefault="00C56E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niveau</w:t>
            </w:r>
            <w:proofErr w:type="spellEnd"/>
            <w:r w:rsidR="000C163C"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C56EFC" w:rsidRPr="0014213A" w:rsidRDefault="00C56E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838" w:type="dxa"/>
            <w:vMerge/>
            <w:vAlign w:val="center"/>
          </w:tcPr>
          <w:p w:rsidR="00C56EFC" w:rsidRPr="0014213A" w:rsidRDefault="00C56EF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96F94" w:rsidRDefault="00796F94" w:rsidP="00796F94">
      <w:pPr>
        <w:tabs>
          <w:tab w:val="left" w:pos="1440"/>
        </w:tabs>
        <w:ind w:left="1440" w:hanging="720"/>
        <w:rPr>
          <w:rFonts w:ascii="Arial" w:hAnsi="Arial"/>
          <w:sz w:val="24"/>
          <w:lang w:val="fr-CA"/>
        </w:rPr>
      </w:pPr>
    </w:p>
    <w:p w:rsidR="00616FCF" w:rsidRPr="0014213A" w:rsidRDefault="00796F94" w:rsidP="00796F94">
      <w:pPr>
        <w:tabs>
          <w:tab w:val="left" w:pos="1440"/>
        </w:tabs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7.3</w:t>
      </w:r>
      <w:r>
        <w:rPr>
          <w:rFonts w:ascii="Arial" w:hAnsi="Arial"/>
          <w:sz w:val="24"/>
          <w:lang w:val="fr-CA"/>
        </w:rPr>
        <w:tab/>
      </w:r>
      <w:r w:rsidR="0014213A" w:rsidRPr="0014213A">
        <w:rPr>
          <w:rFonts w:ascii="Arial" w:hAnsi="Arial"/>
          <w:sz w:val="24"/>
          <w:lang w:val="fr-CA"/>
        </w:rPr>
        <w:t xml:space="preserve">Une absence de réaction dans le plasma traité et une </w:t>
      </w:r>
      <w:r w:rsidR="00C847AE" w:rsidRPr="0014213A">
        <w:rPr>
          <w:rFonts w:ascii="Arial" w:hAnsi="Arial"/>
          <w:sz w:val="24"/>
          <w:lang w:val="fr-CA"/>
        </w:rPr>
        <w:t>réaction</w:t>
      </w:r>
      <w:r w:rsidR="0014213A" w:rsidRPr="0014213A">
        <w:rPr>
          <w:rFonts w:ascii="Arial" w:hAnsi="Arial"/>
          <w:sz w:val="24"/>
          <w:lang w:val="fr-CA"/>
        </w:rPr>
        <w:t xml:space="preserve"> dans le plasma </w:t>
      </w:r>
      <w:r w:rsidR="00785587" w:rsidRPr="0014213A">
        <w:rPr>
          <w:rFonts w:ascii="Arial" w:hAnsi="Arial"/>
          <w:sz w:val="24"/>
          <w:lang w:val="fr-CA"/>
        </w:rPr>
        <w:t xml:space="preserve">dilué </w:t>
      </w:r>
      <w:r w:rsidR="0014213A" w:rsidRPr="0014213A">
        <w:rPr>
          <w:rFonts w:ascii="Arial" w:hAnsi="Arial"/>
          <w:sz w:val="24"/>
          <w:lang w:val="fr-CA"/>
        </w:rPr>
        <w:t xml:space="preserve">témoin indiquent la </w:t>
      </w:r>
      <w:r w:rsidR="00C847AE" w:rsidRPr="0014213A">
        <w:rPr>
          <w:rFonts w:ascii="Arial" w:hAnsi="Arial"/>
          <w:sz w:val="24"/>
          <w:lang w:val="fr-CA"/>
        </w:rPr>
        <w:t>présence</w:t>
      </w:r>
      <w:r w:rsidR="0014213A" w:rsidRPr="0014213A">
        <w:rPr>
          <w:rFonts w:ascii="Arial" w:hAnsi="Arial"/>
          <w:sz w:val="24"/>
          <w:lang w:val="fr-CA"/>
        </w:rPr>
        <w:t xml:space="preserve"> d’un anticorps </w:t>
      </w:r>
      <w:r w:rsidR="00616FCF" w:rsidRPr="0014213A">
        <w:rPr>
          <w:rFonts w:ascii="Arial" w:hAnsi="Arial"/>
          <w:sz w:val="24"/>
          <w:lang w:val="fr-CA"/>
        </w:rPr>
        <w:t>IgM.</w:t>
      </w:r>
    </w:p>
    <w:p w:rsidR="00616FCF" w:rsidRPr="0014213A" w:rsidRDefault="00616FCF">
      <w:pPr>
        <w:ind w:left="720"/>
        <w:rPr>
          <w:rFonts w:ascii="Arial" w:hAnsi="Arial"/>
          <w:sz w:val="24"/>
          <w:lang w:val="fr-CA"/>
        </w:rPr>
      </w:pPr>
    </w:p>
    <w:p w:rsidR="00616FCF" w:rsidRPr="0014213A" w:rsidRDefault="00796F94" w:rsidP="00796F94">
      <w:pPr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7.4</w:t>
      </w:r>
      <w:r>
        <w:rPr>
          <w:rFonts w:ascii="Arial" w:hAnsi="Arial"/>
          <w:sz w:val="24"/>
          <w:lang w:val="fr-CA"/>
        </w:rPr>
        <w:tab/>
      </w:r>
      <w:r w:rsidR="00C847AE">
        <w:rPr>
          <w:rFonts w:ascii="Arial" w:hAnsi="Arial"/>
          <w:sz w:val="24"/>
          <w:lang w:val="fr-CA"/>
        </w:rPr>
        <w:t xml:space="preserve">L’absence de réaction dans le plasma traité et le plasma </w:t>
      </w:r>
      <w:r w:rsidR="00785587">
        <w:rPr>
          <w:rFonts w:ascii="Arial" w:hAnsi="Arial"/>
          <w:sz w:val="24"/>
          <w:lang w:val="fr-CA"/>
        </w:rPr>
        <w:t xml:space="preserve">dilué </w:t>
      </w:r>
      <w:r w:rsidR="00C847AE">
        <w:rPr>
          <w:rFonts w:ascii="Arial" w:hAnsi="Arial"/>
          <w:sz w:val="24"/>
          <w:lang w:val="fr-CA"/>
        </w:rPr>
        <w:t xml:space="preserve">témoin est un indice de la dilution de </w:t>
      </w:r>
      <w:r w:rsidR="004D20F5">
        <w:rPr>
          <w:rFonts w:ascii="Arial" w:hAnsi="Arial"/>
          <w:sz w:val="24"/>
          <w:lang w:val="fr-CA"/>
        </w:rPr>
        <w:t>l’anticorps ;</w:t>
      </w:r>
      <w:r w:rsidR="00C847AE">
        <w:rPr>
          <w:rFonts w:ascii="Arial" w:hAnsi="Arial"/>
          <w:sz w:val="24"/>
          <w:lang w:val="fr-CA"/>
        </w:rPr>
        <w:t xml:space="preserve"> aucune conclusion ne peut en être tirée</w:t>
      </w:r>
      <w:r w:rsidR="00616FCF" w:rsidRPr="0014213A">
        <w:rPr>
          <w:rFonts w:ascii="Arial" w:hAnsi="Arial"/>
          <w:sz w:val="24"/>
          <w:lang w:val="fr-CA"/>
        </w:rPr>
        <w:t>.</w:t>
      </w:r>
    </w:p>
    <w:p w:rsidR="00616FCF" w:rsidRPr="0014213A" w:rsidRDefault="00616FCF" w:rsidP="00796F94">
      <w:pPr>
        <w:ind w:left="1440" w:hanging="720"/>
        <w:rPr>
          <w:rFonts w:ascii="Arial" w:hAnsi="Arial"/>
          <w:sz w:val="24"/>
          <w:lang w:val="fr-CA"/>
        </w:rPr>
      </w:pPr>
    </w:p>
    <w:p w:rsidR="00616FCF" w:rsidRPr="0014213A" w:rsidRDefault="00796F94" w:rsidP="00796F94">
      <w:pPr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7.5.</w:t>
      </w:r>
      <w:r>
        <w:rPr>
          <w:rFonts w:ascii="Arial" w:hAnsi="Arial"/>
          <w:sz w:val="24"/>
          <w:lang w:val="fr-CA"/>
        </w:rPr>
        <w:tab/>
      </w:r>
      <w:r w:rsidR="00C847AE">
        <w:rPr>
          <w:rFonts w:ascii="Arial" w:hAnsi="Arial"/>
          <w:sz w:val="24"/>
          <w:lang w:val="fr-CA"/>
        </w:rPr>
        <w:t xml:space="preserve">Pour que le test soit valide, l’anticorps IgM témoin ne doit afficher aucune réaction alors que l’anticorps témoin </w:t>
      </w:r>
      <w:r w:rsidR="00616FCF" w:rsidRPr="0014213A">
        <w:rPr>
          <w:rFonts w:ascii="Arial" w:hAnsi="Arial"/>
          <w:sz w:val="24"/>
          <w:lang w:val="fr-CA"/>
        </w:rPr>
        <w:t xml:space="preserve">IgG </w:t>
      </w:r>
      <w:r w:rsidR="00C847AE">
        <w:rPr>
          <w:rFonts w:ascii="Arial" w:hAnsi="Arial"/>
          <w:sz w:val="24"/>
          <w:lang w:val="fr-CA"/>
        </w:rPr>
        <w:t>doit réagir.</w:t>
      </w:r>
    </w:p>
    <w:p w:rsidR="00616FCF" w:rsidRPr="004D20F5" w:rsidRDefault="00616FCF">
      <w:pPr>
        <w:ind w:left="720"/>
        <w:rPr>
          <w:rFonts w:ascii="Arial" w:hAnsi="Arial"/>
          <w:sz w:val="24"/>
          <w:lang w:val="fr-CA"/>
        </w:rPr>
      </w:pPr>
    </w:p>
    <w:p w:rsidR="00616FCF" w:rsidRPr="008D6A90" w:rsidRDefault="008D6A90" w:rsidP="005D054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847AE">
        <w:rPr>
          <w:rFonts w:ascii="Arial" w:hAnsi="Arial"/>
          <w:b/>
          <w:sz w:val="28"/>
          <w:lang w:val="fr-CA"/>
        </w:rPr>
        <w:t>R</w:t>
      </w:r>
      <w:r w:rsidR="005D054A" w:rsidRPr="00C847AE">
        <w:rPr>
          <w:rFonts w:ascii="Arial" w:hAnsi="Arial"/>
          <w:b/>
          <w:sz w:val="28"/>
          <w:lang w:val="fr-CA"/>
        </w:rPr>
        <w:t>emarques</w:t>
      </w:r>
    </w:p>
    <w:p w:rsidR="00616FCF" w:rsidRPr="008D6A90" w:rsidRDefault="00616FCF">
      <w:pPr>
        <w:rPr>
          <w:rFonts w:ascii="Arial" w:hAnsi="Arial"/>
          <w:b/>
          <w:sz w:val="28"/>
          <w:lang w:val="fr-CA"/>
        </w:rPr>
      </w:pPr>
    </w:p>
    <w:p w:rsidR="00616FCF" w:rsidRPr="004D20F5" w:rsidRDefault="008D6A9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D6A90">
        <w:rPr>
          <w:rFonts w:ascii="Arial" w:hAnsi="Arial"/>
          <w:sz w:val="24"/>
          <w:lang w:val="fr-CA"/>
        </w:rPr>
        <w:t xml:space="preserve">Le traitement par DTT peut provoquer une gélification des échantillons de plasma si la concentration dépasse </w:t>
      </w:r>
      <w:r w:rsidR="00616FCF" w:rsidRPr="008D6A90">
        <w:rPr>
          <w:rFonts w:ascii="Arial" w:hAnsi="Arial"/>
          <w:sz w:val="24"/>
          <w:lang w:val="fr-CA"/>
        </w:rPr>
        <w:t>0</w:t>
      </w:r>
      <w:r w:rsidRPr="008D6A90">
        <w:rPr>
          <w:rFonts w:ascii="Arial" w:hAnsi="Arial"/>
          <w:sz w:val="24"/>
          <w:lang w:val="fr-CA"/>
        </w:rPr>
        <w:t>,</w:t>
      </w:r>
      <w:r w:rsidR="00616FCF" w:rsidRPr="008D6A90">
        <w:rPr>
          <w:rFonts w:ascii="Arial" w:hAnsi="Arial"/>
          <w:sz w:val="24"/>
          <w:lang w:val="fr-CA"/>
        </w:rPr>
        <w:t>01 M o</w:t>
      </w:r>
      <w:r w:rsidRPr="008D6A90">
        <w:rPr>
          <w:rFonts w:ascii="Arial" w:hAnsi="Arial"/>
          <w:sz w:val="24"/>
          <w:lang w:val="fr-CA"/>
        </w:rPr>
        <w:t>u que l’incubation est prolongée</w:t>
      </w:r>
      <w:r w:rsidR="00616FCF" w:rsidRPr="008D6A90">
        <w:rPr>
          <w:rFonts w:ascii="Arial" w:hAnsi="Arial"/>
          <w:sz w:val="24"/>
          <w:lang w:val="fr-CA"/>
        </w:rPr>
        <w:t xml:space="preserve">. </w:t>
      </w:r>
      <w:r w:rsidRPr="008D6A90">
        <w:rPr>
          <w:rFonts w:ascii="Arial" w:hAnsi="Arial"/>
          <w:sz w:val="24"/>
          <w:lang w:val="fr-CA"/>
        </w:rPr>
        <w:t>L’activité des anticorps ne peut pas être évaluée dans un échantillon gélifié</w:t>
      </w:r>
      <w:r w:rsidR="00616FCF" w:rsidRPr="008D6A90">
        <w:rPr>
          <w:rFonts w:ascii="Arial" w:hAnsi="Arial"/>
          <w:sz w:val="24"/>
          <w:lang w:val="fr-CA"/>
        </w:rPr>
        <w:t xml:space="preserve">. </w:t>
      </w:r>
      <w:r>
        <w:rPr>
          <w:rFonts w:ascii="Arial" w:hAnsi="Arial"/>
          <w:sz w:val="24"/>
          <w:lang w:val="fr-CA"/>
        </w:rPr>
        <w:t xml:space="preserve">Si une gélification se produit, essayer de répéter le traitement avec du DTT à </w:t>
      </w:r>
      <w:r w:rsidR="00616FCF" w:rsidRPr="008D6A90">
        <w:rPr>
          <w:rFonts w:ascii="Arial" w:hAnsi="Arial"/>
          <w:sz w:val="24"/>
          <w:lang w:val="fr-CA"/>
        </w:rPr>
        <w:t>0</w:t>
      </w:r>
      <w:r>
        <w:rPr>
          <w:rFonts w:ascii="Arial" w:hAnsi="Arial"/>
          <w:sz w:val="24"/>
          <w:lang w:val="fr-CA"/>
        </w:rPr>
        <w:t>,</w:t>
      </w:r>
      <w:r w:rsidR="00616FCF" w:rsidRPr="008D6A90">
        <w:rPr>
          <w:rFonts w:ascii="Arial" w:hAnsi="Arial"/>
          <w:sz w:val="24"/>
          <w:lang w:val="fr-CA"/>
        </w:rPr>
        <w:t>005 M</w:t>
      </w:r>
      <w:r>
        <w:rPr>
          <w:rFonts w:ascii="Arial" w:hAnsi="Arial"/>
          <w:sz w:val="24"/>
          <w:lang w:val="fr-CA"/>
        </w:rPr>
        <w:t xml:space="preserve"> </w:t>
      </w:r>
      <w:r w:rsidR="00616FCF" w:rsidRPr="008D6A90">
        <w:rPr>
          <w:rFonts w:ascii="Arial" w:hAnsi="Arial"/>
          <w:sz w:val="24"/>
          <w:lang w:val="fr-CA"/>
        </w:rPr>
        <w:t>(dilu</w:t>
      </w:r>
      <w:r>
        <w:rPr>
          <w:rFonts w:ascii="Arial" w:hAnsi="Arial"/>
          <w:sz w:val="24"/>
          <w:lang w:val="fr-CA"/>
        </w:rPr>
        <w:t xml:space="preserve">er 1 volume de DDT à </w:t>
      </w:r>
      <w:r w:rsidR="00616FCF" w:rsidRPr="008D6A90">
        <w:rPr>
          <w:rFonts w:ascii="Arial" w:hAnsi="Arial"/>
          <w:sz w:val="24"/>
          <w:lang w:val="fr-CA"/>
        </w:rPr>
        <w:t>0</w:t>
      </w:r>
      <w:r>
        <w:rPr>
          <w:rFonts w:ascii="Arial" w:hAnsi="Arial"/>
          <w:sz w:val="24"/>
          <w:lang w:val="fr-CA"/>
        </w:rPr>
        <w:t>,</w:t>
      </w:r>
      <w:r w:rsidR="00616FCF" w:rsidRPr="008D6A90">
        <w:rPr>
          <w:rFonts w:ascii="Arial" w:hAnsi="Arial"/>
          <w:sz w:val="24"/>
          <w:lang w:val="fr-CA"/>
        </w:rPr>
        <w:t>01</w:t>
      </w:r>
      <w:r w:rsidR="000C163C">
        <w:rPr>
          <w:rFonts w:ascii="Arial" w:hAnsi="Arial"/>
          <w:sz w:val="24"/>
          <w:lang w:val="fr-CA"/>
        </w:rPr>
        <w:t> </w:t>
      </w:r>
      <w:r w:rsidR="00616FCF" w:rsidRPr="008D6A90">
        <w:rPr>
          <w:rFonts w:ascii="Arial" w:hAnsi="Arial"/>
          <w:sz w:val="24"/>
          <w:lang w:val="fr-CA"/>
        </w:rPr>
        <w:t xml:space="preserve">M </w:t>
      </w:r>
      <w:r>
        <w:rPr>
          <w:rFonts w:ascii="Arial" w:hAnsi="Arial"/>
          <w:sz w:val="24"/>
          <w:lang w:val="fr-CA"/>
        </w:rPr>
        <w:t>dans 2 volumes d</w:t>
      </w:r>
      <w:r w:rsidR="00547087">
        <w:rPr>
          <w:rFonts w:ascii="Arial" w:hAnsi="Arial"/>
          <w:sz w:val="24"/>
          <w:lang w:val="fr-CA"/>
        </w:rPr>
        <w:t>e STP</w:t>
      </w:r>
      <w:r w:rsidR="004D20F5">
        <w:rPr>
          <w:rFonts w:ascii="Arial" w:hAnsi="Arial"/>
          <w:sz w:val="24"/>
          <w:lang w:val="fr-CA"/>
        </w:rPr>
        <w:t>) ;</w:t>
      </w:r>
      <w:r w:rsidR="00547087">
        <w:rPr>
          <w:rFonts w:ascii="Arial" w:hAnsi="Arial"/>
          <w:sz w:val="24"/>
          <w:lang w:val="fr-CA"/>
        </w:rPr>
        <w:t xml:space="preserve"> </w:t>
      </w:r>
      <w:r w:rsidR="00785587">
        <w:rPr>
          <w:rFonts w:ascii="Arial" w:hAnsi="Arial"/>
          <w:sz w:val="24"/>
          <w:lang w:val="fr-CA"/>
        </w:rPr>
        <w:t>i</w:t>
      </w:r>
      <w:r w:rsidRPr="008D6A90">
        <w:rPr>
          <w:rFonts w:ascii="Arial" w:hAnsi="Arial"/>
          <w:sz w:val="24"/>
          <w:lang w:val="fr-CA"/>
        </w:rPr>
        <w:t xml:space="preserve">l importe de démontrer que l’anticorps IgM témoin est </w:t>
      </w:r>
      <w:r w:rsidR="00547087" w:rsidRPr="008D6A90">
        <w:rPr>
          <w:rFonts w:ascii="Arial" w:hAnsi="Arial"/>
          <w:sz w:val="24"/>
          <w:lang w:val="fr-CA"/>
        </w:rPr>
        <w:t>dénaturé</w:t>
      </w:r>
      <w:r w:rsidRPr="008D6A90">
        <w:rPr>
          <w:rFonts w:ascii="Arial" w:hAnsi="Arial"/>
          <w:sz w:val="24"/>
          <w:lang w:val="fr-CA"/>
        </w:rPr>
        <w:t xml:space="preserve"> à cette concentration de </w:t>
      </w:r>
      <w:r w:rsidR="00616FCF" w:rsidRPr="008D6A90">
        <w:rPr>
          <w:rFonts w:ascii="Arial" w:hAnsi="Arial"/>
          <w:sz w:val="24"/>
          <w:lang w:val="fr-CA"/>
        </w:rPr>
        <w:t>DTT.</w:t>
      </w:r>
      <w:r w:rsidR="0014213A" w:rsidRPr="004D20F5">
        <w:rPr>
          <w:rFonts w:ascii="Arial" w:hAnsi="Arial"/>
          <w:sz w:val="24"/>
          <w:lang w:val="fr-CA"/>
        </w:rPr>
        <w:t xml:space="preserve"> </w:t>
      </w:r>
    </w:p>
    <w:p w:rsidR="00616FCF" w:rsidRPr="008D6A90" w:rsidRDefault="00616FCF">
      <w:pPr>
        <w:rPr>
          <w:rFonts w:ascii="Arial" w:hAnsi="Arial"/>
          <w:sz w:val="24"/>
          <w:lang w:val="fr-CA"/>
        </w:rPr>
      </w:pPr>
    </w:p>
    <w:p w:rsidR="00616FCF" w:rsidRPr="008D6A90" w:rsidRDefault="00382E2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D6A90">
        <w:rPr>
          <w:rFonts w:ascii="Arial" w:hAnsi="Arial"/>
          <w:sz w:val="24"/>
          <w:lang w:val="fr-CA"/>
        </w:rPr>
        <w:t>Tester</w:t>
      </w:r>
      <w:r w:rsidR="00616FCF" w:rsidRPr="008D6A90">
        <w:rPr>
          <w:rFonts w:ascii="Arial" w:hAnsi="Arial"/>
          <w:sz w:val="24"/>
          <w:lang w:val="fr-CA"/>
        </w:rPr>
        <w:t xml:space="preserve"> 4 </w:t>
      </w:r>
      <w:r w:rsidRPr="008D6A90">
        <w:rPr>
          <w:rFonts w:ascii="Arial" w:hAnsi="Arial"/>
          <w:sz w:val="24"/>
          <w:lang w:val="fr-CA"/>
        </w:rPr>
        <w:t>gouttes de plasma traité et de plasma dilué témoin pour compenser l’effet de dilution</w:t>
      </w:r>
      <w:r w:rsidR="00616FCF" w:rsidRPr="008D6A90">
        <w:rPr>
          <w:rFonts w:ascii="Arial" w:hAnsi="Arial"/>
          <w:sz w:val="24"/>
          <w:lang w:val="fr-CA"/>
        </w:rPr>
        <w:t>.</w:t>
      </w:r>
    </w:p>
    <w:p w:rsidR="00616FCF" w:rsidRPr="008D6A90" w:rsidRDefault="00616FCF">
      <w:pPr>
        <w:rPr>
          <w:rFonts w:ascii="Arial" w:hAnsi="Arial"/>
          <w:sz w:val="24"/>
          <w:lang w:val="fr-CA"/>
        </w:rPr>
      </w:pPr>
    </w:p>
    <w:p w:rsidR="00616FCF" w:rsidRPr="008D6A90" w:rsidRDefault="008D6A9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D6A90">
        <w:rPr>
          <w:rFonts w:ascii="Arial" w:hAnsi="Arial"/>
          <w:sz w:val="24"/>
          <w:lang w:val="fr-CA"/>
        </w:rPr>
        <w:t xml:space="preserve">Le </w:t>
      </w:r>
      <w:r w:rsidR="00616FCF" w:rsidRPr="008D6A90">
        <w:rPr>
          <w:rFonts w:ascii="Arial" w:hAnsi="Arial"/>
          <w:sz w:val="24"/>
          <w:lang w:val="fr-CA"/>
        </w:rPr>
        <w:t>DTT</w:t>
      </w:r>
      <w:r w:rsidR="00547087">
        <w:rPr>
          <w:rFonts w:ascii="Arial" w:hAnsi="Arial"/>
          <w:sz w:val="24"/>
          <w:lang w:val="fr-CA"/>
        </w:rPr>
        <w:t xml:space="preserve"> dans une STP</w:t>
      </w:r>
      <w:r w:rsidR="0014213A">
        <w:rPr>
          <w:rFonts w:ascii="Arial" w:hAnsi="Arial"/>
          <w:sz w:val="24"/>
          <w:lang w:val="fr-CA"/>
        </w:rPr>
        <w:t xml:space="preserve"> </w:t>
      </w:r>
      <w:r w:rsidR="00382E28" w:rsidRPr="008D6A90">
        <w:rPr>
          <w:rFonts w:ascii="Arial" w:hAnsi="Arial"/>
          <w:sz w:val="24"/>
          <w:lang w:val="fr-CA"/>
        </w:rPr>
        <w:t>perd sa capacité de r</w:t>
      </w:r>
      <w:r w:rsidRPr="008D6A90">
        <w:rPr>
          <w:rFonts w:ascii="Arial" w:hAnsi="Arial"/>
          <w:sz w:val="24"/>
          <w:lang w:val="fr-CA"/>
        </w:rPr>
        <w:t>é</w:t>
      </w:r>
      <w:r w:rsidR="00382E28" w:rsidRPr="008D6A90">
        <w:rPr>
          <w:rFonts w:ascii="Arial" w:hAnsi="Arial"/>
          <w:sz w:val="24"/>
          <w:lang w:val="fr-CA"/>
        </w:rPr>
        <w:t xml:space="preserve">duction lorsqu’il est entreposé à </w:t>
      </w:r>
      <w:r w:rsidR="00616FCF" w:rsidRPr="008D6A90">
        <w:rPr>
          <w:rFonts w:ascii="Arial" w:hAnsi="Arial"/>
          <w:sz w:val="24"/>
          <w:lang w:val="fr-CA"/>
        </w:rPr>
        <w:t>4</w:t>
      </w:r>
      <w:r w:rsidRPr="008D6A90">
        <w:rPr>
          <w:rFonts w:ascii="Arial" w:hAnsi="Arial"/>
          <w:sz w:val="24"/>
          <w:vertAlign w:val="superscript"/>
          <w:lang w:val="fr-CA"/>
        </w:rPr>
        <w:t>o</w:t>
      </w:r>
      <w:r w:rsidR="00616FCF" w:rsidRPr="008D6A90">
        <w:rPr>
          <w:rFonts w:ascii="Arial" w:hAnsi="Arial"/>
          <w:sz w:val="24"/>
          <w:lang w:val="fr-CA"/>
        </w:rPr>
        <w:t xml:space="preserve">C, </w:t>
      </w:r>
      <w:r>
        <w:rPr>
          <w:rFonts w:ascii="Arial" w:hAnsi="Arial"/>
          <w:sz w:val="24"/>
          <w:lang w:val="fr-CA"/>
        </w:rPr>
        <w:t>mais il es</w:t>
      </w:r>
      <w:r w:rsidR="00785587">
        <w:rPr>
          <w:rFonts w:ascii="Arial" w:hAnsi="Arial"/>
          <w:sz w:val="24"/>
          <w:lang w:val="fr-CA"/>
        </w:rPr>
        <w:t>t</w:t>
      </w:r>
      <w:r>
        <w:rPr>
          <w:rFonts w:ascii="Arial" w:hAnsi="Arial"/>
          <w:sz w:val="24"/>
          <w:lang w:val="fr-CA"/>
        </w:rPr>
        <w:t xml:space="preserve"> </w:t>
      </w:r>
      <w:r w:rsidR="00616FCF" w:rsidRPr="008D6A90">
        <w:rPr>
          <w:rFonts w:ascii="Arial" w:hAnsi="Arial"/>
          <w:sz w:val="24"/>
          <w:lang w:val="fr-CA"/>
        </w:rPr>
        <w:t xml:space="preserve">stable </w:t>
      </w:r>
      <w:r>
        <w:rPr>
          <w:rFonts w:ascii="Arial" w:hAnsi="Arial"/>
          <w:sz w:val="24"/>
          <w:lang w:val="fr-CA"/>
        </w:rPr>
        <w:t>à -</w:t>
      </w:r>
      <w:r w:rsidR="00616FCF" w:rsidRPr="008D6A90">
        <w:rPr>
          <w:rFonts w:ascii="Arial" w:hAnsi="Arial"/>
          <w:sz w:val="24"/>
          <w:lang w:val="fr-CA"/>
        </w:rPr>
        <w:t>20</w:t>
      </w:r>
      <w:r w:rsidRPr="008D6A90">
        <w:rPr>
          <w:rFonts w:ascii="Arial" w:hAnsi="Arial"/>
          <w:sz w:val="24"/>
          <w:vertAlign w:val="superscript"/>
          <w:lang w:val="fr-CA"/>
        </w:rPr>
        <w:t>o</w:t>
      </w:r>
      <w:r w:rsidRPr="008D6A90">
        <w:rPr>
          <w:rFonts w:ascii="Arial" w:hAnsi="Arial"/>
          <w:sz w:val="24"/>
          <w:lang w:val="fr-CA"/>
        </w:rPr>
        <w:t>C</w:t>
      </w:r>
      <w:r>
        <w:rPr>
          <w:rFonts w:ascii="Arial" w:hAnsi="Arial"/>
          <w:sz w:val="24"/>
          <w:lang w:val="fr-CA"/>
        </w:rPr>
        <w:t xml:space="preserve"> pendant au moins 6 mois</w:t>
      </w:r>
      <w:r w:rsidR="00616FCF" w:rsidRPr="008D6A90">
        <w:rPr>
          <w:rFonts w:ascii="Arial" w:hAnsi="Arial"/>
          <w:sz w:val="24"/>
          <w:lang w:val="fr-CA"/>
        </w:rPr>
        <w:t xml:space="preserve">. </w:t>
      </w:r>
      <w:r>
        <w:rPr>
          <w:rFonts w:ascii="Arial" w:hAnsi="Arial"/>
          <w:sz w:val="24"/>
          <w:lang w:val="fr-CA"/>
        </w:rPr>
        <w:t>La stabilité du produit est meilleure quand il est entreposé dans du verre plutôt que du plastique</w:t>
      </w:r>
      <w:r w:rsidR="00616FCF" w:rsidRPr="008D6A90">
        <w:rPr>
          <w:rFonts w:ascii="Arial" w:hAnsi="Arial"/>
          <w:sz w:val="24"/>
          <w:vertAlign w:val="superscript"/>
          <w:lang w:val="fr-CA"/>
        </w:rPr>
        <w:t>9.</w:t>
      </w:r>
      <w:r w:rsidR="000C163C">
        <w:rPr>
          <w:rFonts w:ascii="Arial" w:hAnsi="Arial"/>
          <w:sz w:val="24"/>
          <w:vertAlign w:val="superscript"/>
          <w:lang w:val="fr-CA"/>
        </w:rPr>
        <w:t>2</w:t>
      </w:r>
      <w:r w:rsidRPr="008D6A90">
        <w:rPr>
          <w:rFonts w:ascii="Arial" w:hAnsi="Arial"/>
          <w:sz w:val="24"/>
          <w:lang w:val="fr-CA"/>
        </w:rPr>
        <w:t>.</w:t>
      </w:r>
    </w:p>
    <w:p w:rsidR="00616FCF" w:rsidRPr="004D20F5" w:rsidRDefault="00616FCF">
      <w:pPr>
        <w:rPr>
          <w:rFonts w:ascii="Arial" w:hAnsi="Arial"/>
          <w:sz w:val="24"/>
          <w:lang w:val="fr-CA"/>
        </w:rPr>
      </w:pPr>
    </w:p>
    <w:p w:rsidR="00616FCF" w:rsidRPr="00382E28" w:rsidRDefault="00382E28" w:rsidP="00382E2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382E28">
        <w:rPr>
          <w:rFonts w:ascii="Arial" w:hAnsi="Arial"/>
          <w:sz w:val="24"/>
          <w:lang w:val="fr-CA"/>
        </w:rPr>
        <w:t xml:space="preserve">Les réactifs </w:t>
      </w:r>
      <w:r w:rsidR="004D20F5" w:rsidRPr="00382E28">
        <w:rPr>
          <w:rFonts w:ascii="Arial" w:hAnsi="Arial"/>
          <w:sz w:val="24"/>
          <w:lang w:val="fr-CA"/>
        </w:rPr>
        <w:t>thiols</w:t>
      </w:r>
      <w:r w:rsidR="00616FCF" w:rsidRPr="00382E28">
        <w:rPr>
          <w:rFonts w:ascii="Arial" w:hAnsi="Arial"/>
          <w:sz w:val="24"/>
          <w:lang w:val="fr-CA"/>
        </w:rPr>
        <w:t xml:space="preserve"> </w:t>
      </w:r>
      <w:r w:rsidRPr="00382E28">
        <w:rPr>
          <w:rFonts w:ascii="Arial" w:hAnsi="Arial"/>
          <w:sz w:val="24"/>
          <w:lang w:val="fr-CA"/>
        </w:rPr>
        <w:t xml:space="preserve">réduisent l’activité de liaison </w:t>
      </w:r>
      <w:r w:rsidR="00FC769D">
        <w:rPr>
          <w:rFonts w:ascii="Arial" w:hAnsi="Arial"/>
          <w:sz w:val="24"/>
          <w:lang w:val="fr-CA"/>
        </w:rPr>
        <w:t>au</w:t>
      </w:r>
      <w:r w:rsidR="00FC769D" w:rsidRPr="00382E28">
        <w:rPr>
          <w:rFonts w:ascii="Arial" w:hAnsi="Arial"/>
          <w:sz w:val="24"/>
          <w:lang w:val="fr-CA"/>
        </w:rPr>
        <w:t xml:space="preserve"> </w:t>
      </w:r>
      <w:r w:rsidRPr="00382E28">
        <w:rPr>
          <w:rFonts w:ascii="Arial" w:hAnsi="Arial"/>
          <w:sz w:val="24"/>
          <w:lang w:val="fr-CA"/>
        </w:rPr>
        <w:t>complément des anticorps</w:t>
      </w:r>
      <w:r w:rsidR="00616FCF" w:rsidRPr="00382E28">
        <w:rPr>
          <w:rFonts w:ascii="Arial" w:hAnsi="Arial"/>
          <w:sz w:val="24"/>
          <w:lang w:val="fr-CA"/>
        </w:rPr>
        <w:t xml:space="preserve">. </w:t>
      </w:r>
      <w:r w:rsidRPr="00382E28">
        <w:rPr>
          <w:rFonts w:ascii="Arial" w:hAnsi="Arial"/>
          <w:sz w:val="24"/>
          <w:lang w:val="fr-CA"/>
        </w:rPr>
        <w:t>S’il importe de démontrer que le complément e</w:t>
      </w:r>
      <w:r w:rsidR="00FC769D">
        <w:rPr>
          <w:rFonts w:ascii="Arial" w:hAnsi="Arial"/>
          <w:sz w:val="24"/>
          <w:lang w:val="fr-CA"/>
        </w:rPr>
        <w:t>s</w:t>
      </w:r>
      <w:r w:rsidRPr="00382E28">
        <w:rPr>
          <w:rFonts w:ascii="Arial" w:hAnsi="Arial"/>
          <w:sz w:val="24"/>
          <w:lang w:val="fr-CA"/>
        </w:rPr>
        <w:t xml:space="preserve">t lié, incuber le plasma traité par </w:t>
      </w:r>
      <w:r w:rsidR="00616FCF" w:rsidRPr="00382E28">
        <w:rPr>
          <w:rFonts w:ascii="Arial" w:hAnsi="Arial"/>
          <w:sz w:val="24"/>
          <w:lang w:val="fr-CA"/>
        </w:rPr>
        <w:t>DTT</w:t>
      </w:r>
      <w:r w:rsidRPr="00382E28">
        <w:rPr>
          <w:rFonts w:ascii="Arial" w:hAnsi="Arial"/>
          <w:sz w:val="24"/>
          <w:lang w:val="fr-CA"/>
        </w:rPr>
        <w:t xml:space="preserve"> avec les hématies appropriées, lave</w:t>
      </w:r>
      <w:r w:rsidR="008D6A90">
        <w:rPr>
          <w:rFonts w:ascii="Arial" w:hAnsi="Arial"/>
          <w:sz w:val="24"/>
          <w:lang w:val="fr-CA"/>
        </w:rPr>
        <w:t>r</w:t>
      </w:r>
      <w:r w:rsidRPr="00382E28">
        <w:rPr>
          <w:rFonts w:ascii="Arial" w:hAnsi="Arial"/>
          <w:sz w:val="24"/>
          <w:lang w:val="fr-CA"/>
        </w:rPr>
        <w:t xml:space="preserve"> les hématies et les incuber </w:t>
      </w:r>
      <w:r>
        <w:rPr>
          <w:rFonts w:ascii="Arial" w:hAnsi="Arial"/>
          <w:sz w:val="24"/>
          <w:lang w:val="fr-CA"/>
        </w:rPr>
        <w:t xml:space="preserve">de nouveau </w:t>
      </w:r>
      <w:r w:rsidRPr="00382E28">
        <w:rPr>
          <w:rFonts w:ascii="Arial" w:hAnsi="Arial"/>
          <w:sz w:val="24"/>
          <w:lang w:val="fr-CA"/>
        </w:rPr>
        <w:t>avec du plasma frais normal comme source de complément, puis procéder à l’épreuve d’</w:t>
      </w:r>
      <w:proofErr w:type="spellStart"/>
      <w:r w:rsidR="00616FCF" w:rsidRPr="00382E28">
        <w:rPr>
          <w:rFonts w:ascii="Arial" w:hAnsi="Arial"/>
          <w:sz w:val="24"/>
          <w:lang w:val="fr-CA"/>
        </w:rPr>
        <w:t>antiglobulin</w:t>
      </w:r>
      <w:r w:rsidRPr="00382E28">
        <w:rPr>
          <w:rFonts w:ascii="Arial" w:hAnsi="Arial"/>
          <w:sz w:val="24"/>
          <w:lang w:val="fr-CA"/>
        </w:rPr>
        <w:t>e</w:t>
      </w:r>
      <w:proofErr w:type="spellEnd"/>
      <w:r w:rsidRPr="00382E28">
        <w:rPr>
          <w:rFonts w:ascii="Arial" w:hAnsi="Arial"/>
          <w:sz w:val="24"/>
          <w:lang w:val="fr-CA"/>
        </w:rPr>
        <w:t xml:space="preserve"> avec de l’</w:t>
      </w:r>
      <w:r w:rsidR="00616FCF" w:rsidRPr="00382E28">
        <w:rPr>
          <w:rFonts w:ascii="Arial" w:hAnsi="Arial"/>
          <w:sz w:val="24"/>
          <w:lang w:val="fr-CA"/>
        </w:rPr>
        <w:t>anti-C3 o</w:t>
      </w:r>
      <w:r w:rsidRPr="00382E28">
        <w:rPr>
          <w:rFonts w:ascii="Arial" w:hAnsi="Arial"/>
          <w:sz w:val="24"/>
          <w:lang w:val="fr-CA"/>
        </w:rPr>
        <w:t>u de l’</w:t>
      </w:r>
      <w:proofErr w:type="spellStart"/>
      <w:r w:rsidRPr="00382E28">
        <w:rPr>
          <w:rFonts w:ascii="Arial" w:hAnsi="Arial"/>
          <w:sz w:val="24"/>
          <w:lang w:val="fr-CA"/>
        </w:rPr>
        <w:t>antiglobuline</w:t>
      </w:r>
      <w:proofErr w:type="spellEnd"/>
      <w:r w:rsidRPr="00382E28">
        <w:rPr>
          <w:rFonts w:ascii="Arial" w:hAnsi="Arial"/>
          <w:sz w:val="24"/>
          <w:lang w:val="fr-CA"/>
        </w:rPr>
        <w:t xml:space="preserve"> humaine.</w:t>
      </w:r>
      <w:r w:rsidR="00616FCF" w:rsidRPr="00382E28">
        <w:rPr>
          <w:rFonts w:ascii="Arial" w:hAnsi="Arial"/>
          <w:sz w:val="24"/>
          <w:lang w:val="fr-CA"/>
        </w:rPr>
        <w:t xml:space="preserve"> </w:t>
      </w:r>
      <w:r w:rsidR="008D6A90">
        <w:rPr>
          <w:rFonts w:ascii="Arial" w:hAnsi="Arial"/>
          <w:sz w:val="24"/>
          <w:lang w:val="fr-CA"/>
        </w:rPr>
        <w:t xml:space="preserve">On pourrait aussi faire une dialyse pendant la nuit du plasma traité et du plasma de dilution </w:t>
      </w:r>
      <w:r w:rsidR="00FC769D">
        <w:rPr>
          <w:rFonts w:ascii="Arial" w:hAnsi="Arial"/>
          <w:sz w:val="24"/>
          <w:lang w:val="fr-CA"/>
        </w:rPr>
        <w:t xml:space="preserve">témoin </w:t>
      </w:r>
      <w:r w:rsidR="008D6A90">
        <w:rPr>
          <w:rFonts w:ascii="Arial" w:hAnsi="Arial"/>
          <w:sz w:val="24"/>
          <w:lang w:val="fr-CA"/>
        </w:rPr>
        <w:t xml:space="preserve">et les tester avec et sans addition de plasma frais normal comme source de complément. </w:t>
      </w:r>
    </w:p>
    <w:p w:rsidR="00616FCF" w:rsidRDefault="00616FC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:rsidR="004D20F5" w:rsidRDefault="004D20F5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:rsidR="004D20F5" w:rsidRDefault="004D20F5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:rsidR="004D20F5" w:rsidRPr="004D20F5" w:rsidRDefault="004D20F5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:rsidR="00616FCF" w:rsidRPr="005D054A" w:rsidRDefault="00616FCF">
      <w:pPr>
        <w:numPr>
          <w:ilvl w:val="0"/>
          <w:numId w:val="1"/>
        </w:numPr>
        <w:rPr>
          <w:rFonts w:ascii="Arial" w:hAnsi="Arial"/>
          <w:b/>
          <w:sz w:val="28"/>
        </w:rPr>
      </w:pPr>
      <w:proofErr w:type="spellStart"/>
      <w:r w:rsidRPr="005D054A">
        <w:rPr>
          <w:rFonts w:ascii="Arial" w:hAnsi="Arial"/>
          <w:b/>
          <w:sz w:val="28"/>
        </w:rPr>
        <w:t>R</w:t>
      </w:r>
      <w:r w:rsidR="005D054A" w:rsidRPr="005D054A">
        <w:rPr>
          <w:rFonts w:ascii="Arial" w:hAnsi="Arial"/>
          <w:b/>
          <w:sz w:val="28"/>
        </w:rPr>
        <w:t>é</w:t>
      </w:r>
      <w:r w:rsidRPr="005D054A">
        <w:rPr>
          <w:rFonts w:ascii="Arial" w:hAnsi="Arial"/>
          <w:b/>
          <w:sz w:val="28"/>
        </w:rPr>
        <w:t>f</w:t>
      </w:r>
      <w:r w:rsidR="005D054A" w:rsidRPr="005D054A">
        <w:rPr>
          <w:rFonts w:ascii="Arial" w:hAnsi="Arial"/>
          <w:b/>
          <w:sz w:val="28"/>
        </w:rPr>
        <w:t>é</w:t>
      </w:r>
      <w:r w:rsidRPr="005D054A">
        <w:rPr>
          <w:rFonts w:ascii="Arial" w:hAnsi="Arial"/>
          <w:b/>
          <w:sz w:val="28"/>
        </w:rPr>
        <w:t>rences</w:t>
      </w:r>
      <w:proofErr w:type="spellEnd"/>
    </w:p>
    <w:p w:rsidR="00C56EFC" w:rsidRDefault="00C56EFC" w:rsidP="00C56EF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:rsidR="00C56EFC" w:rsidRPr="00A6439A" w:rsidRDefault="00C56EFC" w:rsidP="00C56EFC">
      <w:pPr>
        <w:numPr>
          <w:ilvl w:val="1"/>
          <w:numId w:val="1"/>
        </w:numPr>
        <w:suppressAutoHyphens/>
        <w:ind w:hanging="731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</w:rPr>
        <w:t xml:space="preserve">Roback, JD. </w:t>
      </w:r>
      <w:proofErr w:type="spellStart"/>
      <w:r w:rsidR="00CE17C5"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>d</w:t>
      </w:r>
      <w:proofErr w:type="spellEnd"/>
      <w:r>
        <w:rPr>
          <w:rFonts w:ascii="Arial" w:hAnsi="Arial"/>
          <w:sz w:val="24"/>
        </w:rPr>
        <w:t xml:space="preserve">. </w:t>
      </w:r>
      <w:r w:rsidRPr="00CE17C5">
        <w:rPr>
          <w:rFonts w:ascii="Arial" w:hAnsi="Arial"/>
          <w:i/>
          <w:sz w:val="24"/>
        </w:rPr>
        <w:t>AABB Technical Manual</w:t>
      </w:r>
      <w:r>
        <w:rPr>
          <w:rFonts w:ascii="Arial" w:hAnsi="Arial"/>
          <w:sz w:val="24"/>
        </w:rPr>
        <w:t>, 17</w:t>
      </w:r>
      <w:r w:rsidR="00CE17C5" w:rsidRPr="00CE17C5">
        <w:rPr>
          <w:rFonts w:ascii="Arial" w:hAnsi="Arial"/>
          <w:sz w:val="24"/>
          <w:vertAlign w:val="superscript"/>
        </w:rPr>
        <w:t>e</w:t>
      </w:r>
      <w:r w:rsidR="00CE17C5">
        <w:rPr>
          <w:rFonts w:ascii="Arial" w:hAnsi="Arial"/>
          <w:sz w:val="24"/>
        </w:rPr>
        <w:t xml:space="preserve"> </w:t>
      </w:r>
      <w:proofErr w:type="spellStart"/>
      <w:r w:rsidR="00CE17C5"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>d</w:t>
      </w:r>
      <w:proofErr w:type="spellEnd"/>
      <w:r>
        <w:rPr>
          <w:rFonts w:ascii="Arial" w:hAnsi="Arial"/>
          <w:sz w:val="24"/>
        </w:rPr>
        <w:t xml:space="preserve">. </w:t>
      </w:r>
      <w:r w:rsidR="00CE17C5">
        <w:rPr>
          <w:rFonts w:ascii="Arial" w:hAnsi="Arial"/>
          <w:sz w:val="24"/>
        </w:rPr>
        <w:t xml:space="preserve">(2011). </w:t>
      </w:r>
      <w:r>
        <w:rPr>
          <w:rFonts w:ascii="Arial" w:hAnsi="Arial"/>
          <w:sz w:val="24"/>
        </w:rPr>
        <w:t xml:space="preserve">Bethesda, MD: American Association of Blood </w:t>
      </w:r>
      <w:proofErr w:type="gramStart"/>
      <w:r>
        <w:rPr>
          <w:rFonts w:ascii="Arial" w:hAnsi="Arial"/>
          <w:sz w:val="24"/>
        </w:rPr>
        <w:t>Banks</w:t>
      </w:r>
      <w:r w:rsidR="00915D14">
        <w:rPr>
          <w:rFonts w:ascii="Arial" w:hAnsi="Arial"/>
          <w:sz w:val="24"/>
        </w:rPr>
        <w:t> </w:t>
      </w:r>
      <w:r w:rsidR="00CE17C5">
        <w:rPr>
          <w:rFonts w:ascii="Arial" w:hAnsi="Arial"/>
          <w:sz w:val="24"/>
        </w:rPr>
        <w:t>:</w:t>
      </w:r>
      <w:proofErr w:type="gramEnd"/>
      <w:r>
        <w:rPr>
          <w:rFonts w:ascii="Arial" w:hAnsi="Arial"/>
          <w:sz w:val="24"/>
        </w:rPr>
        <w:t xml:space="preserve"> p</w:t>
      </w:r>
      <w:r w:rsidR="00CE17C5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.</w:t>
      </w:r>
      <w:r w:rsidR="000C163C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912-913</w:t>
      </w:r>
    </w:p>
    <w:p w:rsidR="00C56EFC" w:rsidRPr="00320B98" w:rsidRDefault="00C56EFC" w:rsidP="00C56EFC">
      <w:pPr>
        <w:suppressAutoHyphens/>
        <w:ind w:left="720"/>
        <w:rPr>
          <w:rFonts w:ascii="Arial" w:hAnsi="Arial"/>
          <w:sz w:val="24"/>
          <w:lang w:val="en-GB"/>
        </w:rPr>
      </w:pPr>
    </w:p>
    <w:p w:rsidR="00C56EFC" w:rsidRDefault="00C56EFC" w:rsidP="00C56EF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Pirofsky</w:t>
      </w:r>
      <w:proofErr w:type="spellEnd"/>
      <w:r>
        <w:rPr>
          <w:rFonts w:ascii="Arial" w:hAnsi="Arial"/>
          <w:sz w:val="24"/>
        </w:rPr>
        <w:t xml:space="preserve"> B, Rosner ER. </w:t>
      </w:r>
      <w:r w:rsidRPr="00CE17C5">
        <w:rPr>
          <w:rFonts w:ascii="Arial" w:hAnsi="Arial"/>
          <w:i/>
          <w:sz w:val="24"/>
        </w:rPr>
        <w:t>A new method to differentiate IgM and IgG erythrocyte antibodies</w:t>
      </w:r>
      <w:r w:rsidRPr="008634D0">
        <w:rPr>
          <w:rFonts w:ascii="Arial" w:hAnsi="Arial"/>
          <w:sz w:val="24"/>
        </w:rPr>
        <w:t xml:space="preserve">. Vox Sang </w:t>
      </w:r>
      <w:r w:rsidR="00CE17C5">
        <w:rPr>
          <w:rFonts w:ascii="Arial" w:hAnsi="Arial"/>
          <w:sz w:val="24"/>
        </w:rPr>
        <w:t>(</w:t>
      </w:r>
      <w:r w:rsidRPr="008634D0">
        <w:rPr>
          <w:rFonts w:ascii="Arial" w:hAnsi="Arial"/>
          <w:sz w:val="24"/>
        </w:rPr>
        <w:t>1974</w:t>
      </w:r>
      <w:r w:rsidR="00CE17C5">
        <w:rPr>
          <w:rFonts w:ascii="Arial" w:hAnsi="Arial"/>
          <w:sz w:val="24"/>
        </w:rPr>
        <w:t>)</w:t>
      </w:r>
      <w:r w:rsidRPr="008634D0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 w:rsidRPr="008634D0">
        <w:rPr>
          <w:rFonts w:ascii="Arial" w:hAnsi="Arial"/>
          <w:sz w:val="24"/>
        </w:rPr>
        <w:t>27:480-</w:t>
      </w:r>
      <w:r w:rsidR="00CE17C5">
        <w:rPr>
          <w:rFonts w:ascii="Arial" w:hAnsi="Arial"/>
          <w:sz w:val="24"/>
        </w:rPr>
        <w:t>48</w:t>
      </w:r>
      <w:r w:rsidRPr="008634D0">
        <w:rPr>
          <w:rFonts w:ascii="Arial" w:hAnsi="Arial"/>
          <w:sz w:val="24"/>
        </w:rPr>
        <w:t>8.</w:t>
      </w:r>
    </w:p>
    <w:p w:rsidR="00616FCF" w:rsidRDefault="00616FCF">
      <w:pPr>
        <w:rPr>
          <w:rFonts w:ascii="Arial" w:hAnsi="Arial"/>
          <w:sz w:val="24"/>
        </w:rPr>
      </w:pPr>
    </w:p>
    <w:p w:rsidR="0077020F" w:rsidRPr="00AA3396" w:rsidRDefault="0077020F" w:rsidP="0077020F">
      <w:pPr>
        <w:pStyle w:val="ListParagraph"/>
        <w:numPr>
          <w:ilvl w:val="0"/>
          <w:numId w:val="23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77020F" w:rsidRPr="00AA3396" w:rsidRDefault="0077020F" w:rsidP="0077020F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5754"/>
      </w:tblGrid>
      <w:tr w:rsidR="0077020F" w:rsidRPr="00AA3396" w:rsidTr="00A2419A">
        <w:trPr>
          <w:cantSplit/>
        </w:trPr>
        <w:tc>
          <w:tcPr>
            <w:tcW w:w="2943" w:type="dxa"/>
            <w:shd w:val="clear" w:color="auto" w:fill="F2F2F2"/>
          </w:tcPr>
          <w:p w:rsidR="0077020F" w:rsidRPr="004050E8" w:rsidRDefault="0077020F" w:rsidP="00A241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77020F" w:rsidRPr="004050E8" w:rsidRDefault="0077020F" w:rsidP="00A241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77020F" w:rsidRPr="00AA3396" w:rsidTr="00A2419A">
        <w:trPr>
          <w:cantSplit/>
          <w:trHeight w:val="1373"/>
        </w:trPr>
        <w:tc>
          <w:tcPr>
            <w:tcW w:w="2943" w:type="dxa"/>
          </w:tcPr>
          <w:p w:rsidR="0077020F" w:rsidRPr="00AA3396" w:rsidRDefault="0077020F" w:rsidP="00A2419A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913" w:type="dxa"/>
          </w:tcPr>
          <w:p w:rsidR="0077020F" w:rsidRDefault="0077020F" w:rsidP="0077020F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0773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C56EFC" w:rsidRDefault="00C56EFC" w:rsidP="0077020F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des sections</w:t>
            </w:r>
            <w:r w:rsidR="000C163C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1.0 et 2.0</w:t>
            </w:r>
          </w:p>
          <w:p w:rsidR="00981F2B" w:rsidRPr="00981F2B" w:rsidRDefault="0077020F" w:rsidP="00981F2B">
            <w:pPr>
              <w:pStyle w:val="Heading9"/>
              <w:numPr>
                <w:ilvl w:val="0"/>
                <w:numId w:val="24"/>
              </w:num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 xml:space="preserve">À </w:t>
            </w:r>
            <w:r w:rsidRPr="003352EC">
              <w:rPr>
                <w:rFonts w:cs="Arial"/>
                <w:sz w:val="22"/>
                <w:szCs w:val="22"/>
                <w:lang w:val="fr-CA"/>
              </w:rPr>
              <w:t>la section</w:t>
            </w:r>
            <w:r>
              <w:rPr>
                <w:rFonts w:cs="Arial"/>
                <w:sz w:val="22"/>
                <w:szCs w:val="22"/>
                <w:lang w:val="fr-CA"/>
              </w:rPr>
              <w:t> </w:t>
            </w:r>
            <w:r w:rsidRPr="003352EC">
              <w:rPr>
                <w:rFonts w:cs="Arial"/>
                <w:sz w:val="22"/>
                <w:szCs w:val="22"/>
                <w:lang w:val="fr-CA"/>
              </w:rPr>
              <w:t xml:space="preserve">4, </w:t>
            </w:r>
            <w:r w:rsidR="00981F2B">
              <w:rPr>
                <w:rFonts w:cs="Arial"/>
                <w:sz w:val="22"/>
                <w:szCs w:val="22"/>
                <w:lang w:val="fr-CA"/>
              </w:rPr>
              <w:t>précision « </w:t>
            </w:r>
            <w:r w:rsidR="00981F2B" w:rsidRPr="00981F2B">
              <w:rPr>
                <w:sz w:val="22"/>
                <w:lang w:val="fr-CA"/>
              </w:rPr>
              <w:t>sensibilisées à l’IgG et à l’</w:t>
            </w:r>
            <w:proofErr w:type="spellStart"/>
            <w:r w:rsidR="00981F2B" w:rsidRPr="00981F2B">
              <w:rPr>
                <w:sz w:val="22"/>
                <w:lang w:val="fr-CA"/>
              </w:rPr>
              <w:t>anti-IgG</w:t>
            </w:r>
            <w:proofErr w:type="spellEnd"/>
            <w:r w:rsidR="00981F2B">
              <w:rPr>
                <w:sz w:val="22"/>
                <w:lang w:val="fr-CA"/>
              </w:rPr>
              <w:t> »</w:t>
            </w:r>
          </w:p>
          <w:p w:rsidR="00981F2B" w:rsidRPr="00981F2B" w:rsidRDefault="0077020F" w:rsidP="0077020F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rFonts w:cs="Arial"/>
                <w:sz w:val="22"/>
                <w:szCs w:val="22"/>
                <w:lang w:val="fr-CA"/>
              </w:rPr>
            </w:pPr>
            <w:r w:rsidRPr="00981F2B">
              <w:rPr>
                <w:rFonts w:cs="Arial"/>
                <w:sz w:val="22"/>
                <w:szCs w:val="22"/>
                <w:lang w:val="fr-CA"/>
              </w:rPr>
              <w:t xml:space="preserve">Ajout </w:t>
            </w:r>
            <w:r w:rsidR="00981F2B" w:rsidRPr="00981F2B">
              <w:rPr>
                <w:rFonts w:cs="Arial"/>
                <w:sz w:val="22"/>
                <w:szCs w:val="22"/>
                <w:lang w:val="fr-CA"/>
              </w:rPr>
              <w:t>au paragraphe</w:t>
            </w:r>
            <w:r w:rsidRPr="00981F2B">
              <w:rPr>
                <w:rFonts w:cs="Arial"/>
                <w:sz w:val="22"/>
                <w:szCs w:val="22"/>
                <w:lang w:val="fr-CA"/>
              </w:rPr>
              <w:t> 6.2 de « </w:t>
            </w:r>
            <w:r w:rsidR="00981F2B" w:rsidRPr="00981F2B">
              <w:rPr>
                <w:sz w:val="22"/>
                <w:lang w:val="fr-CA"/>
              </w:rPr>
              <w:t>(p. ex. 2 gouttes de plasma +</w:t>
            </w:r>
            <w:r w:rsidR="000C163C">
              <w:rPr>
                <w:sz w:val="22"/>
                <w:lang w:val="fr-CA"/>
              </w:rPr>
              <w:t> </w:t>
            </w:r>
            <w:r w:rsidR="00981F2B" w:rsidRPr="00981F2B">
              <w:rPr>
                <w:sz w:val="22"/>
                <w:lang w:val="fr-CA"/>
              </w:rPr>
              <w:t>2 gouttes de STP)</w:t>
            </w:r>
            <w:r w:rsidR="00981F2B">
              <w:rPr>
                <w:sz w:val="22"/>
                <w:lang w:val="fr-CA"/>
              </w:rPr>
              <w:t> »</w:t>
            </w:r>
            <w:r w:rsidR="00981F2B" w:rsidRPr="00981F2B">
              <w:rPr>
                <w:b/>
                <w:lang w:val="fr-CA"/>
              </w:rPr>
              <w:t>.</w:t>
            </w:r>
          </w:p>
          <w:p w:rsidR="0077020F" w:rsidRPr="00981F2B" w:rsidRDefault="00C56EFC" w:rsidP="0077020F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rFonts w:cs="Arial"/>
                <w:sz w:val="22"/>
                <w:szCs w:val="22"/>
                <w:lang w:val="fr-CA"/>
              </w:rPr>
            </w:pPr>
            <w:r w:rsidRPr="00981F2B">
              <w:rPr>
                <w:rFonts w:cs="Arial"/>
                <w:sz w:val="22"/>
                <w:szCs w:val="22"/>
                <w:lang w:val="fr-CA"/>
              </w:rPr>
              <w:t>Ajout de la dernière ligne</w:t>
            </w:r>
            <w:r w:rsidR="00981F2B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r w:rsidRPr="00981F2B">
              <w:rPr>
                <w:rFonts w:cs="Arial"/>
                <w:sz w:val="22"/>
                <w:szCs w:val="22"/>
                <w:lang w:val="fr-CA"/>
              </w:rPr>
              <w:t>au tableau en 7.2</w:t>
            </w:r>
            <w:r w:rsidR="0077020F" w:rsidRPr="00981F2B">
              <w:rPr>
                <w:rFonts w:cs="Arial"/>
                <w:sz w:val="22"/>
                <w:szCs w:val="22"/>
                <w:lang w:val="fr-CA"/>
              </w:rPr>
              <w:t>.</w:t>
            </w:r>
          </w:p>
          <w:p w:rsidR="0077020F" w:rsidRPr="00AA3396" w:rsidRDefault="0077020F" w:rsidP="0077020F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sz w:val="22"/>
                <w:szCs w:val="22"/>
                <w:lang w:val="fr-CA"/>
              </w:rPr>
            </w:pPr>
            <w:r w:rsidRPr="00F07732">
              <w:rPr>
                <w:rFonts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77020F" w:rsidRPr="00767813" w:rsidRDefault="0077020F" w:rsidP="0077020F">
      <w:pPr>
        <w:rPr>
          <w:noProof/>
          <w:lang w:val="fr-CA"/>
        </w:rPr>
      </w:pPr>
    </w:p>
    <w:p w:rsidR="0077020F" w:rsidRPr="00254036" w:rsidRDefault="0077020F" w:rsidP="0077020F">
      <w:pPr>
        <w:ind w:left="720"/>
        <w:rPr>
          <w:rFonts w:ascii="Arial" w:hAnsi="Arial"/>
          <w:sz w:val="24"/>
          <w:lang w:val="fr-CA"/>
        </w:rPr>
      </w:pPr>
    </w:p>
    <w:p w:rsidR="0077020F" w:rsidRPr="00254036" w:rsidRDefault="0077020F" w:rsidP="0077020F">
      <w:pPr>
        <w:rPr>
          <w:lang w:val="fr-CA"/>
        </w:rPr>
      </w:pPr>
    </w:p>
    <w:p w:rsidR="00616FCF" w:rsidRPr="004D20F5" w:rsidRDefault="00616FCF">
      <w:pPr>
        <w:rPr>
          <w:rFonts w:ascii="Arial" w:hAnsi="Arial"/>
          <w:sz w:val="24"/>
          <w:lang w:val="fr-CA"/>
        </w:rPr>
      </w:pPr>
    </w:p>
    <w:p w:rsidR="00616FCF" w:rsidRPr="004D20F5" w:rsidRDefault="00616FCF">
      <w:pPr>
        <w:rPr>
          <w:lang w:val="fr-CA"/>
        </w:rPr>
      </w:pPr>
    </w:p>
    <w:p w:rsidR="00616FCF" w:rsidRPr="004D20F5" w:rsidRDefault="00616FCF">
      <w:pPr>
        <w:rPr>
          <w:lang w:val="fr-CA"/>
        </w:rPr>
      </w:pPr>
    </w:p>
    <w:p w:rsidR="00616FCF" w:rsidRPr="004D20F5" w:rsidRDefault="00616FCF">
      <w:pPr>
        <w:rPr>
          <w:rFonts w:ascii="Arial" w:hAnsi="Arial"/>
          <w:lang w:val="fr-CA"/>
        </w:rPr>
      </w:pPr>
    </w:p>
    <w:sectPr w:rsidR="00616FCF" w:rsidRPr="004D20F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F1" w:rsidRDefault="00983EF1">
      <w:r>
        <w:separator/>
      </w:r>
    </w:p>
  </w:endnote>
  <w:endnote w:type="continuationSeparator" w:id="0">
    <w:p w:rsidR="00983EF1" w:rsidRDefault="0098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77020F">
      <w:trPr>
        <w:trHeight w:val="720"/>
      </w:trPr>
      <w:tc>
        <w:tcPr>
          <w:tcW w:w="1368" w:type="dxa"/>
        </w:tcPr>
        <w:p w:rsidR="0077020F" w:rsidRDefault="0077020F">
          <w:pPr>
            <w:pStyle w:val="Footer"/>
            <w:jc w:val="center"/>
            <w:rPr>
              <w:sz w:val="8"/>
            </w:rPr>
          </w:pPr>
        </w:p>
        <w:p w:rsidR="0077020F" w:rsidRDefault="00857F78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77020F" w:rsidRDefault="0077020F" w:rsidP="00A2419A">
          <w:pPr>
            <w:pStyle w:val="Footer"/>
            <w:tabs>
              <w:tab w:val="clear" w:pos="4320"/>
              <w:tab w:val="center" w:pos="2585"/>
            </w:tabs>
            <w:jc w:val="center"/>
            <w:rPr>
              <w:rFonts w:ascii="Arial" w:hAnsi="Arial"/>
              <w:sz w:val="18"/>
            </w:rPr>
          </w:pPr>
        </w:p>
        <w:p w:rsidR="0077020F" w:rsidRDefault="0077020F" w:rsidP="00A2419A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>gional ontarien de coordination du sang</w:t>
          </w:r>
        </w:p>
        <w:p w:rsidR="0077020F" w:rsidRPr="004D20F5" w:rsidRDefault="0077020F" w:rsidP="00A2419A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77020F" w:rsidRPr="004D20F5" w:rsidRDefault="0077020F" w:rsidP="00A2419A">
          <w:pPr>
            <w:pStyle w:val="Footer"/>
            <w:tabs>
              <w:tab w:val="clear" w:pos="4320"/>
              <w:tab w:val="center" w:pos="1451"/>
            </w:tabs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77020F" w:rsidRPr="004D20F5" w:rsidRDefault="0077020F" w:rsidP="00A2419A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  <w:lang w:val="fr-CA"/>
            </w:rPr>
          </w:pPr>
        </w:p>
        <w:p w:rsidR="0077020F" w:rsidRDefault="0077020F" w:rsidP="0077020F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</w:rPr>
          </w:pPr>
          <w:r w:rsidRPr="004D20F5">
            <w:rPr>
              <w:rFonts w:ascii="Arial" w:hAnsi="Arial"/>
              <w:sz w:val="18"/>
              <w:lang w:val="fr-CA"/>
            </w:rPr>
            <w:t xml:space="preserve">       </w:t>
          </w:r>
          <w:r>
            <w:rPr>
              <w:rFonts w:ascii="Arial" w:hAnsi="Arial"/>
              <w:sz w:val="18"/>
            </w:rPr>
            <w:t>PS.029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D20F5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D20F5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96F94" w:rsidRDefault="00796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77020F">
      <w:trPr>
        <w:trHeight w:val="720"/>
      </w:trPr>
      <w:tc>
        <w:tcPr>
          <w:tcW w:w="1368" w:type="dxa"/>
        </w:tcPr>
        <w:p w:rsidR="0077020F" w:rsidRDefault="0077020F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77020F" w:rsidRDefault="00857F78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77020F" w:rsidRDefault="0077020F" w:rsidP="00A2419A">
          <w:pPr>
            <w:pStyle w:val="Footer"/>
            <w:tabs>
              <w:tab w:val="clear" w:pos="4320"/>
              <w:tab w:val="center" w:pos="2585"/>
            </w:tabs>
            <w:jc w:val="center"/>
            <w:rPr>
              <w:rFonts w:ascii="Arial" w:hAnsi="Arial"/>
              <w:sz w:val="18"/>
            </w:rPr>
          </w:pPr>
        </w:p>
        <w:p w:rsidR="0077020F" w:rsidRDefault="0077020F" w:rsidP="00A2419A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>gional ontarien de coordination du sang</w:t>
          </w:r>
        </w:p>
        <w:p w:rsidR="0077020F" w:rsidRPr="004D20F5" w:rsidRDefault="0077020F" w:rsidP="00A2419A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77020F" w:rsidRPr="004D20F5" w:rsidRDefault="0077020F" w:rsidP="00A2419A">
          <w:pPr>
            <w:pStyle w:val="Footer"/>
            <w:tabs>
              <w:tab w:val="clear" w:pos="4320"/>
              <w:tab w:val="center" w:pos="1451"/>
            </w:tabs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77020F" w:rsidRPr="004D20F5" w:rsidRDefault="0077020F" w:rsidP="00A2419A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  <w:lang w:val="fr-CA"/>
            </w:rPr>
          </w:pPr>
        </w:p>
        <w:p w:rsidR="0077020F" w:rsidRDefault="0077020F" w:rsidP="0077020F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</w:rPr>
          </w:pPr>
          <w:r w:rsidRPr="004D20F5">
            <w:rPr>
              <w:rFonts w:ascii="Arial" w:hAnsi="Arial"/>
              <w:sz w:val="18"/>
              <w:lang w:val="fr-CA"/>
            </w:rPr>
            <w:t xml:space="preserve">        </w:t>
          </w:r>
          <w:r>
            <w:rPr>
              <w:rFonts w:ascii="Arial" w:hAnsi="Arial"/>
              <w:sz w:val="18"/>
            </w:rPr>
            <w:t>PS.029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D20F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D20F5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96F94" w:rsidRDefault="00796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F1" w:rsidRDefault="00983EF1">
      <w:r>
        <w:separator/>
      </w:r>
    </w:p>
  </w:footnote>
  <w:footnote w:type="continuationSeparator" w:id="0">
    <w:p w:rsidR="00983EF1" w:rsidRDefault="0098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94" w:rsidRPr="00C847AE" w:rsidRDefault="00796F94" w:rsidP="004C30B6">
    <w:pPr>
      <w:pStyle w:val="Header"/>
      <w:jc w:val="center"/>
      <w:rPr>
        <w:lang w:val="fr-CA"/>
      </w:rPr>
    </w:pPr>
    <w:r w:rsidRPr="00C847AE">
      <w:rPr>
        <w:rFonts w:ascii="Arial" w:hAnsi="Arial"/>
        <w:sz w:val="28"/>
        <w:lang w:val="fr-CA"/>
      </w:rPr>
      <w:t xml:space="preserve">Traitement du plasma par </w:t>
    </w:r>
    <w:proofErr w:type="spellStart"/>
    <w:r w:rsidRPr="00C847AE">
      <w:rPr>
        <w:rFonts w:ascii="Arial" w:hAnsi="Arial"/>
        <w:sz w:val="28"/>
        <w:lang w:val="fr-CA"/>
      </w:rPr>
      <w:t>dithiothréitol</w:t>
    </w:r>
    <w:proofErr w:type="spellEnd"/>
    <w:r w:rsidRPr="00C847AE">
      <w:rPr>
        <w:rFonts w:ascii="Arial" w:hAnsi="Arial"/>
        <w:sz w:val="28"/>
        <w:lang w:val="fr-CA"/>
      </w:rPr>
      <w:t xml:space="preserve"> (DTT)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94" w:rsidRDefault="00857F78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0F5" w:rsidRPr="004C30B6" w:rsidRDefault="004D20F5">
    <w:pPr>
      <w:pStyle w:val="Header"/>
      <w:rPr>
        <w:rFonts w:ascii="Arial" w:hAnsi="Arial" w:cs="Arial"/>
        <w:b/>
        <w:bCs/>
        <w:sz w:val="22"/>
        <w:lang w:val="fr-CA"/>
      </w:rPr>
    </w:pPr>
  </w:p>
  <w:p w:rsidR="0077020F" w:rsidRPr="000C64D0" w:rsidRDefault="0077020F" w:rsidP="0077020F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77020F" w:rsidRPr="000C64D0" w:rsidRDefault="0077020F" w:rsidP="0077020F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796F94" w:rsidRPr="004C30B6" w:rsidRDefault="00796F94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796F94" w:rsidRPr="004C30B6" w:rsidRDefault="00796F94" w:rsidP="005D054A">
    <w:pPr>
      <w:pStyle w:val="Title"/>
      <w:rPr>
        <w:rFonts w:ascii="Arial" w:hAnsi="Arial"/>
        <w:sz w:val="28"/>
        <w:lang w:val="fr-CA"/>
      </w:rPr>
    </w:pPr>
    <w:r w:rsidRPr="004C30B6">
      <w:rPr>
        <w:rFonts w:ascii="Arial" w:hAnsi="Arial"/>
        <w:sz w:val="28"/>
        <w:lang w:val="fr-CA"/>
      </w:rPr>
      <w:t xml:space="preserve">Traitement du plasma par </w:t>
    </w:r>
    <w:proofErr w:type="spellStart"/>
    <w:r w:rsidRPr="004C30B6">
      <w:rPr>
        <w:rFonts w:ascii="Arial" w:hAnsi="Arial"/>
        <w:sz w:val="28"/>
        <w:lang w:val="fr-CA"/>
      </w:rPr>
      <w:t>dithiothréitol</w:t>
    </w:r>
    <w:proofErr w:type="spellEnd"/>
    <w:r w:rsidRPr="004C30B6">
      <w:rPr>
        <w:rFonts w:ascii="Arial" w:hAnsi="Arial"/>
        <w:sz w:val="28"/>
        <w:lang w:val="fr-CA"/>
      </w:rPr>
      <w:t xml:space="preserve"> (DTT) </w:t>
    </w:r>
  </w:p>
  <w:p w:rsidR="00796F94" w:rsidRPr="004C30B6" w:rsidRDefault="00796F94">
    <w:pPr>
      <w:pStyle w:val="Title"/>
      <w:rPr>
        <w:rFonts w:ascii="Arial" w:hAnsi="Arial"/>
        <w:sz w:val="28"/>
        <w:lang w:val="fr-CA"/>
      </w:rPr>
    </w:pPr>
  </w:p>
  <w:p w:rsidR="00796F94" w:rsidRPr="004C30B6" w:rsidRDefault="00857F78">
    <w:pPr>
      <w:pStyle w:val="Header"/>
      <w:jc w:val="center"/>
      <w:rPr>
        <w:rFonts w:ascii="Arial" w:hAnsi="Arial" w:cs="Arial"/>
        <w:b/>
        <w:bCs/>
        <w:lang w:val="fr-CA"/>
      </w:rPr>
    </w:pPr>
    <w:r w:rsidRPr="004C30B6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ADCE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9092" w:type="dxa"/>
      <w:tblLook w:val="0000" w:firstRow="0" w:lastRow="0" w:firstColumn="0" w:lastColumn="0" w:noHBand="0" w:noVBand="0"/>
    </w:tblPr>
    <w:tblGrid>
      <w:gridCol w:w="4428"/>
      <w:gridCol w:w="236"/>
      <w:gridCol w:w="4428"/>
    </w:tblGrid>
    <w:tr w:rsidR="0077020F" w:rsidRPr="004C30B6" w:rsidTr="0077020F">
      <w:tc>
        <w:tcPr>
          <w:tcW w:w="4428" w:type="dxa"/>
        </w:tcPr>
        <w:p w:rsidR="0077020F" w:rsidRPr="00394A8A" w:rsidRDefault="0077020F" w:rsidP="00A2419A">
          <w:pPr>
            <w:pStyle w:val="Header"/>
            <w:rPr>
              <w:rFonts w:ascii="Arial" w:hAnsi="Arial" w:cs="Arial"/>
              <w:lang w:val="fr-CA"/>
            </w:rPr>
          </w:pPr>
          <w:r w:rsidRPr="00394A8A">
            <w:rPr>
              <w:rFonts w:ascii="Arial" w:hAnsi="Arial" w:cs="Arial"/>
              <w:lang w:val="fr-CA"/>
            </w:rPr>
            <w:t>Approbation</w:t>
          </w:r>
          <w:r w:rsidR="00915D14">
            <w:rPr>
              <w:rFonts w:ascii="Arial" w:hAnsi="Arial" w:cs="Arial"/>
              <w:lang w:val="fr-CA"/>
            </w:rPr>
            <w:t> </w:t>
          </w:r>
          <w:r w:rsidRPr="00394A8A">
            <w:rPr>
              <w:rFonts w:ascii="Arial" w:hAnsi="Arial" w:cs="Arial"/>
              <w:lang w:val="fr-CA"/>
            </w:rPr>
            <w:t>:</w:t>
          </w:r>
        </w:p>
      </w:tc>
      <w:tc>
        <w:tcPr>
          <w:tcW w:w="236" w:type="dxa"/>
        </w:tcPr>
        <w:p w:rsidR="0077020F" w:rsidRPr="004C30B6" w:rsidRDefault="0077020F" w:rsidP="005D054A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77020F" w:rsidRPr="004C30B6" w:rsidRDefault="0077020F" w:rsidP="005D054A">
          <w:pPr>
            <w:pStyle w:val="Header"/>
            <w:rPr>
              <w:rFonts w:ascii="Arial" w:hAnsi="Arial" w:cs="Arial"/>
              <w:lang w:val="fr-CA"/>
            </w:rPr>
          </w:pPr>
          <w:r w:rsidRPr="004C30B6">
            <w:rPr>
              <w:rFonts w:ascii="Arial" w:hAnsi="Arial" w:cs="Arial"/>
              <w:color w:val="000000"/>
              <w:lang w:val="fr-CA"/>
            </w:rPr>
            <w:t>Document n</w:t>
          </w:r>
          <w:r w:rsidRPr="004C30B6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="00915D14">
            <w:rPr>
              <w:rFonts w:ascii="Arial" w:hAnsi="Arial" w:cs="Arial"/>
              <w:color w:val="000000"/>
              <w:lang w:val="fr-CA"/>
            </w:rPr>
            <w:t> </w:t>
          </w:r>
          <w:r w:rsidRPr="004C30B6">
            <w:rPr>
              <w:rFonts w:ascii="Arial" w:hAnsi="Arial" w:cs="Arial"/>
              <w:color w:val="000000"/>
              <w:lang w:val="fr-CA"/>
            </w:rPr>
            <w:t>: PS.029</w:t>
          </w:r>
        </w:p>
      </w:tc>
    </w:tr>
    <w:tr w:rsidR="0077020F" w:rsidRPr="004C30B6" w:rsidTr="0077020F">
      <w:tc>
        <w:tcPr>
          <w:tcW w:w="4428" w:type="dxa"/>
        </w:tcPr>
        <w:p w:rsidR="0077020F" w:rsidRPr="00394A8A" w:rsidRDefault="0077020F" w:rsidP="00A2419A">
          <w:pPr>
            <w:pStyle w:val="Header"/>
            <w:rPr>
              <w:rFonts w:ascii="Arial" w:hAnsi="Arial" w:cs="Arial"/>
              <w:lang w:val="fr-CA"/>
            </w:rPr>
          </w:pPr>
          <w:r w:rsidRPr="00394A8A">
            <w:rPr>
              <w:rFonts w:ascii="Arial" w:hAnsi="Arial" w:cs="Arial"/>
              <w:lang w:val="fr-CA"/>
            </w:rPr>
            <w:t>Date de publication</w:t>
          </w:r>
          <w:r w:rsidR="00915D14">
            <w:rPr>
              <w:rFonts w:ascii="Arial" w:hAnsi="Arial" w:cs="Arial"/>
              <w:lang w:val="fr-CA"/>
            </w:rPr>
            <w:t> </w:t>
          </w:r>
          <w:r w:rsidRPr="00394A8A">
            <w:rPr>
              <w:rFonts w:ascii="Arial" w:hAnsi="Arial" w:cs="Arial"/>
              <w:lang w:val="fr-CA"/>
            </w:rPr>
            <w:t>: 2006/08/01</w:t>
          </w:r>
        </w:p>
      </w:tc>
      <w:tc>
        <w:tcPr>
          <w:tcW w:w="236" w:type="dxa"/>
        </w:tcPr>
        <w:p w:rsidR="0077020F" w:rsidRPr="004C30B6" w:rsidRDefault="0077020F" w:rsidP="005D054A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77020F" w:rsidRPr="004C30B6" w:rsidRDefault="0077020F" w:rsidP="005D054A">
          <w:pPr>
            <w:pStyle w:val="Header"/>
            <w:rPr>
              <w:rFonts w:ascii="Arial" w:hAnsi="Arial" w:cs="Arial"/>
              <w:lang w:val="fr-CA"/>
            </w:rPr>
          </w:pPr>
          <w:r w:rsidRPr="00C847AE">
            <w:rPr>
              <w:rFonts w:ascii="Arial" w:hAnsi="Arial" w:cs="Arial"/>
              <w:lang w:val="fr-CA"/>
            </w:rPr>
            <w:t>Catégorie</w:t>
          </w:r>
          <w:r w:rsidR="00915D14">
            <w:rPr>
              <w:rFonts w:ascii="Arial" w:hAnsi="Arial" w:cs="Arial"/>
              <w:lang w:val="fr-CA"/>
            </w:rPr>
            <w:t> </w:t>
          </w:r>
          <w:r w:rsidRPr="00C847AE">
            <w:rPr>
              <w:rFonts w:ascii="Arial" w:hAnsi="Arial" w:cs="Arial"/>
              <w:lang w:val="fr-CA"/>
            </w:rPr>
            <w:t>: Procédures spéciales</w:t>
          </w:r>
        </w:p>
      </w:tc>
    </w:tr>
    <w:tr w:rsidR="0077020F" w:rsidRPr="004C30B6" w:rsidTr="0077020F">
      <w:tc>
        <w:tcPr>
          <w:tcW w:w="4428" w:type="dxa"/>
        </w:tcPr>
        <w:p w:rsidR="0077020F" w:rsidRPr="00394A8A" w:rsidRDefault="0077020F" w:rsidP="00A2419A">
          <w:pPr>
            <w:pStyle w:val="Header"/>
            <w:rPr>
              <w:rFonts w:ascii="Arial" w:hAnsi="Arial" w:cs="Arial"/>
              <w:lang w:val="fr-CA"/>
            </w:rPr>
          </w:pPr>
          <w:r w:rsidRPr="00394A8A">
            <w:rPr>
              <w:rFonts w:ascii="Arial" w:hAnsi="Arial" w:cs="Arial"/>
              <w:lang w:val="fr-CA"/>
            </w:rPr>
            <w:t>Date de révision</w:t>
          </w:r>
          <w:r w:rsidR="00915D14">
            <w:rPr>
              <w:rFonts w:ascii="Arial" w:hAnsi="Arial" w:cs="Arial"/>
              <w:lang w:val="fr-CA"/>
            </w:rPr>
            <w:t> </w:t>
          </w:r>
          <w:r w:rsidRPr="00394A8A">
            <w:rPr>
              <w:rFonts w:ascii="Arial" w:hAnsi="Arial" w:cs="Arial"/>
              <w:lang w:val="fr-CA"/>
            </w:rPr>
            <w:t>:</w:t>
          </w:r>
          <w:r w:rsidRPr="00767813">
            <w:rPr>
              <w:rFonts w:ascii="Arial" w:hAnsi="Arial" w:cs="Arial"/>
              <w:lang w:val="fr-CA"/>
            </w:rPr>
            <w:t xml:space="preserve"> 200</w:t>
          </w:r>
          <w:r>
            <w:rPr>
              <w:rFonts w:ascii="Arial" w:hAnsi="Arial" w:cs="Arial"/>
              <w:lang w:val="fr-CA"/>
            </w:rPr>
            <w:t>9</w:t>
          </w:r>
          <w:r w:rsidRPr="00767813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9</w:t>
          </w:r>
          <w:r w:rsidRPr="00767813">
            <w:rPr>
              <w:rFonts w:ascii="Arial" w:hAnsi="Arial" w:cs="Arial"/>
              <w:lang w:val="fr-CA"/>
            </w:rPr>
            <w:t>/01</w:t>
          </w:r>
          <w:r w:rsidR="004D20F5">
            <w:rPr>
              <w:rFonts w:ascii="Arial" w:hAnsi="Arial" w:cs="Arial"/>
              <w:lang w:val="fr-CA"/>
            </w:rPr>
            <w:t xml:space="preserve"> </w:t>
          </w:r>
          <w:r>
            <w:rPr>
              <w:rFonts w:ascii="Arial" w:hAnsi="Arial" w:cs="Arial"/>
              <w:lang w:val="fr-CA"/>
            </w:rPr>
            <w:t>;</w:t>
          </w:r>
          <w:r w:rsidRPr="00767813">
            <w:rPr>
              <w:rFonts w:ascii="Arial" w:hAnsi="Arial" w:cs="Arial"/>
              <w:lang w:val="fr-CA"/>
            </w:rPr>
            <w:t xml:space="preserve"> 20</w:t>
          </w:r>
          <w:r>
            <w:rPr>
              <w:rFonts w:ascii="Arial" w:hAnsi="Arial" w:cs="Arial"/>
              <w:lang w:val="fr-CA"/>
            </w:rPr>
            <w:t>14</w:t>
          </w:r>
          <w:r w:rsidRPr="00767813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9</w:t>
          </w:r>
          <w:r w:rsidRPr="00767813">
            <w:rPr>
              <w:rFonts w:ascii="Arial" w:hAnsi="Arial" w:cs="Arial"/>
              <w:lang w:val="fr-CA"/>
            </w:rPr>
            <w:t>/01</w:t>
          </w:r>
        </w:p>
      </w:tc>
      <w:tc>
        <w:tcPr>
          <w:tcW w:w="236" w:type="dxa"/>
        </w:tcPr>
        <w:p w:rsidR="0077020F" w:rsidRPr="004C30B6" w:rsidRDefault="0077020F" w:rsidP="005D054A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77020F" w:rsidRPr="004C30B6" w:rsidRDefault="0077020F" w:rsidP="005D054A">
          <w:pPr>
            <w:pStyle w:val="Header"/>
            <w:rPr>
              <w:rFonts w:ascii="Arial" w:hAnsi="Arial" w:cs="Arial"/>
              <w:lang w:val="fr-CA"/>
            </w:rPr>
          </w:pPr>
          <w:r w:rsidRPr="004C30B6">
            <w:rPr>
              <w:rFonts w:ascii="Arial" w:hAnsi="Arial" w:cs="Arial"/>
              <w:color w:val="000000"/>
              <w:lang w:val="fr-CA"/>
            </w:rPr>
            <w:t>Pages</w:t>
          </w:r>
          <w:r w:rsidR="00915D14">
            <w:rPr>
              <w:rFonts w:ascii="Arial" w:hAnsi="Arial" w:cs="Arial"/>
              <w:color w:val="000000"/>
              <w:lang w:val="fr-CA"/>
            </w:rPr>
            <w:t> </w:t>
          </w:r>
          <w:r w:rsidRPr="004C30B6">
            <w:rPr>
              <w:rFonts w:ascii="Arial" w:hAnsi="Arial" w:cs="Arial"/>
              <w:color w:val="000000"/>
              <w:lang w:val="fr-CA"/>
            </w:rPr>
            <w:t xml:space="preserve">: </w:t>
          </w:r>
          <w:r w:rsidRPr="004C30B6">
            <w:rPr>
              <w:rFonts w:ascii="Arial" w:hAnsi="Arial" w:cs="Arial"/>
              <w:lang w:val="fr-CA"/>
            </w:rPr>
            <w:fldChar w:fldCharType="begin"/>
          </w:r>
          <w:r w:rsidRPr="004C30B6">
            <w:rPr>
              <w:rFonts w:ascii="Arial" w:hAnsi="Arial" w:cs="Arial"/>
              <w:lang w:val="fr-CA"/>
            </w:rPr>
            <w:instrText xml:space="preserve"> NUMPAGES </w:instrText>
          </w:r>
          <w:r w:rsidRPr="004C30B6">
            <w:rPr>
              <w:rFonts w:ascii="Arial" w:hAnsi="Arial" w:cs="Arial"/>
              <w:lang w:val="fr-CA"/>
            </w:rPr>
            <w:fldChar w:fldCharType="separate"/>
          </w:r>
          <w:r w:rsidR="004D20F5">
            <w:rPr>
              <w:rFonts w:ascii="Arial" w:hAnsi="Arial" w:cs="Arial"/>
              <w:noProof/>
              <w:lang w:val="fr-CA"/>
            </w:rPr>
            <w:t>5</w:t>
          </w:r>
          <w:r w:rsidRPr="004C30B6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796F94" w:rsidRDefault="00857F7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7D18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796F94">
      <w:rPr>
        <w:rFonts w:ascii="Arial" w:hAnsi="Arial" w:cs="Arial"/>
      </w:rPr>
      <w:tab/>
    </w:r>
  </w:p>
  <w:p w:rsidR="00796F94" w:rsidRDefault="00796F94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310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AB5F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A0777A"/>
    <w:multiLevelType w:val="hybridMultilevel"/>
    <w:tmpl w:val="C6BCB4E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192E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6CD7970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76E1D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604D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7CA73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5300BFB"/>
    <w:multiLevelType w:val="hybridMultilevel"/>
    <w:tmpl w:val="C76E7BB8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277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663C51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B60F3F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0B734A"/>
    <w:multiLevelType w:val="hybridMultilevel"/>
    <w:tmpl w:val="F8184634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431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23"/>
  </w:num>
  <w:num w:numId="13">
    <w:abstractNumId w:val="6"/>
  </w:num>
  <w:num w:numId="14">
    <w:abstractNumId w:val="11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15"/>
  </w:num>
  <w:num w:numId="21">
    <w:abstractNumId w:val="3"/>
  </w:num>
  <w:num w:numId="22">
    <w:abstractNumId w:val="2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4A"/>
    <w:rsid w:val="00087470"/>
    <w:rsid w:val="000C163C"/>
    <w:rsid w:val="0014213A"/>
    <w:rsid w:val="0017422B"/>
    <w:rsid w:val="001D7A44"/>
    <w:rsid w:val="00276E75"/>
    <w:rsid w:val="002875F1"/>
    <w:rsid w:val="0036477F"/>
    <w:rsid w:val="00382E28"/>
    <w:rsid w:val="003B104D"/>
    <w:rsid w:val="00426485"/>
    <w:rsid w:val="00440B72"/>
    <w:rsid w:val="00451E9F"/>
    <w:rsid w:val="0047105E"/>
    <w:rsid w:val="004C30B6"/>
    <w:rsid w:val="004D1700"/>
    <w:rsid w:val="004D20F5"/>
    <w:rsid w:val="004D5ED1"/>
    <w:rsid w:val="005310F3"/>
    <w:rsid w:val="00547087"/>
    <w:rsid w:val="005C267C"/>
    <w:rsid w:val="005D054A"/>
    <w:rsid w:val="005E4070"/>
    <w:rsid w:val="00616FCF"/>
    <w:rsid w:val="00617768"/>
    <w:rsid w:val="0077020F"/>
    <w:rsid w:val="00785587"/>
    <w:rsid w:val="00794A9C"/>
    <w:rsid w:val="00796F94"/>
    <w:rsid w:val="00797E9B"/>
    <w:rsid w:val="00824480"/>
    <w:rsid w:val="00832F92"/>
    <w:rsid w:val="00857F78"/>
    <w:rsid w:val="008B688C"/>
    <w:rsid w:val="008D1D2E"/>
    <w:rsid w:val="008D6A90"/>
    <w:rsid w:val="00915D14"/>
    <w:rsid w:val="00916652"/>
    <w:rsid w:val="00981F2B"/>
    <w:rsid w:val="00983EF1"/>
    <w:rsid w:val="00A2419A"/>
    <w:rsid w:val="00A9367D"/>
    <w:rsid w:val="00B777D4"/>
    <w:rsid w:val="00C56EFC"/>
    <w:rsid w:val="00C847AE"/>
    <w:rsid w:val="00CE17C5"/>
    <w:rsid w:val="00D724DB"/>
    <w:rsid w:val="00D77FFA"/>
    <w:rsid w:val="00D91D28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AA9A7-9821-4E2E-8FA7-98D622D1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288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77FF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5587"/>
    <w:rPr>
      <w:sz w:val="16"/>
      <w:szCs w:val="16"/>
    </w:rPr>
  </w:style>
  <w:style w:type="paragraph" w:styleId="CommentText">
    <w:name w:val="annotation text"/>
    <w:basedOn w:val="Normal"/>
    <w:semiHidden/>
    <w:rsid w:val="00785587"/>
  </w:style>
  <w:style w:type="paragraph" w:styleId="CommentSubject">
    <w:name w:val="annotation subject"/>
    <w:basedOn w:val="CommentText"/>
    <w:next w:val="CommentText"/>
    <w:semiHidden/>
    <w:rsid w:val="00785587"/>
    <w:rPr>
      <w:b/>
      <w:bCs/>
    </w:rPr>
  </w:style>
  <w:style w:type="paragraph" w:styleId="ListParagraph">
    <w:name w:val="List Paragraph"/>
    <w:basedOn w:val="Normal"/>
    <w:uiPriority w:val="34"/>
    <w:qFormat/>
    <w:rsid w:val="007702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Titre</vt:lpstr>
      </vt:variant>
      <vt:variant>
        <vt:i4>1</vt:i4>
      </vt:variant>
    </vt:vector>
  </HeadingPairs>
  <TitlesOfParts>
    <vt:vector size="6" baseType="lpstr">
      <vt:lpstr>SP.029 - Treatment of Plasma with Dithiothreitol(DTT)</vt:lpstr>
      <vt:lpstr>Pour chaque échantillon et chaque témoin, mélanger un volume égal de plasma et d</vt:lpstr>
      <vt:lpstr>Pour chaque échantillon et chaque témoin, mélanger dans un tube séparé un volume</vt:lpstr>
      <vt:lpstr>Interprétation : </vt:lpstr>
      <vt:lpstr>Une réactivité équivalente dans le plasma traité et le plasma dilué témoin signi</vt:lpstr>
      <vt:lpstr>SP.029 - Treatment of Plasma with Dithiothreitol(DTT)</vt:lpstr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SP.029 - Treatment of Plasma with Dithiothreitol(DTT)</dc:title>
  <dc:subject/>
  <dc:creator>Transfusion Ontario Program Office</dc:creator>
  <cp:keywords/>
  <cp:lastModifiedBy>Nesrallah, Heather</cp:lastModifiedBy>
  <cp:revision>2</cp:revision>
  <cp:lastPrinted>2010-08-04T15:52:00Z</cp:lastPrinted>
  <dcterms:created xsi:type="dcterms:W3CDTF">2020-08-11T15:45:00Z</dcterms:created>
  <dcterms:modified xsi:type="dcterms:W3CDTF">2020-08-11T15:45:00Z</dcterms:modified>
</cp:coreProperties>
</file>