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F3B" w:rsidRPr="005F2526" w:rsidRDefault="00B9188A" w:rsidP="00B9188A">
      <w:pPr>
        <w:numPr>
          <w:ilvl w:val="0"/>
          <w:numId w:val="1"/>
        </w:numPr>
        <w:spacing w:line="228" w:lineRule="auto"/>
        <w:rPr>
          <w:rFonts w:ascii="Arial" w:hAnsi="Arial"/>
          <w:b/>
          <w:sz w:val="28"/>
          <w:lang w:val="fr-CA"/>
        </w:rPr>
      </w:pPr>
      <w:bookmarkStart w:id="0" w:name="_GoBack"/>
      <w:bookmarkEnd w:id="0"/>
      <w:r w:rsidRPr="005F2526">
        <w:rPr>
          <w:rFonts w:ascii="Arial" w:hAnsi="Arial"/>
          <w:b/>
          <w:sz w:val="28"/>
          <w:lang w:val="fr-CA"/>
        </w:rPr>
        <w:t>Principe</w:t>
      </w:r>
    </w:p>
    <w:p w:rsidR="00A54F3B" w:rsidRPr="005F2526" w:rsidRDefault="00A54F3B">
      <w:pPr>
        <w:spacing w:line="228" w:lineRule="auto"/>
        <w:rPr>
          <w:rFonts w:ascii="Arial" w:hAnsi="Arial"/>
          <w:b/>
          <w:sz w:val="24"/>
          <w:lang w:val="fr-CA"/>
        </w:rPr>
      </w:pPr>
    </w:p>
    <w:p w:rsidR="003B3B87" w:rsidRDefault="003B3B87" w:rsidP="003B3B87">
      <w:pPr>
        <w:suppressAutoHyphens/>
        <w:ind w:left="720"/>
        <w:rPr>
          <w:rFonts w:ascii="Arial" w:hAnsi="Arial"/>
          <w:spacing w:val="-2"/>
          <w:sz w:val="24"/>
          <w:lang w:val="fr-CA"/>
        </w:rPr>
      </w:pPr>
      <w:r w:rsidRPr="00AC317E">
        <w:rPr>
          <w:rFonts w:ascii="Arial" w:hAnsi="Arial"/>
          <w:spacing w:val="-2"/>
          <w:sz w:val="24"/>
          <w:lang w:val="fr-CA"/>
        </w:rPr>
        <w:t>Les globules rouges autologues nouvellement formés ont une gravité spécifique plus faible que les globules rouges transfusés; on peut donc les séparer de la population de cellules transfusées par simple centrifugation. Les cellules autologues se concentreront dans la partie supérieure d</w:t>
      </w:r>
      <w:r>
        <w:rPr>
          <w:rFonts w:ascii="Arial" w:hAnsi="Arial"/>
          <w:spacing w:val="-2"/>
          <w:sz w:val="24"/>
          <w:lang w:val="fr-CA"/>
        </w:rPr>
        <w:t>’</w:t>
      </w:r>
      <w:r w:rsidRPr="00AC317E">
        <w:rPr>
          <w:rFonts w:ascii="Arial" w:hAnsi="Arial"/>
          <w:spacing w:val="-2"/>
          <w:sz w:val="24"/>
          <w:lang w:val="fr-CA"/>
        </w:rPr>
        <w:t xml:space="preserve">un </w:t>
      </w:r>
    </w:p>
    <w:p w:rsidR="003B3B87" w:rsidRPr="005F2526" w:rsidRDefault="003B3B87" w:rsidP="003B3B87">
      <w:pPr>
        <w:spacing w:line="228" w:lineRule="auto"/>
        <w:ind w:left="720"/>
        <w:rPr>
          <w:rFonts w:ascii="Arial" w:hAnsi="Arial"/>
          <w:sz w:val="24"/>
          <w:lang w:val="fr-CA"/>
        </w:rPr>
      </w:pPr>
      <w:proofErr w:type="gramStart"/>
      <w:r w:rsidRPr="00AC317E">
        <w:rPr>
          <w:rFonts w:ascii="Arial" w:hAnsi="Arial"/>
          <w:spacing w:val="-2"/>
          <w:sz w:val="24"/>
          <w:lang w:val="fr-CA"/>
        </w:rPr>
        <w:t>tube</w:t>
      </w:r>
      <w:proofErr w:type="gramEnd"/>
      <w:r w:rsidRPr="00AC317E">
        <w:rPr>
          <w:rFonts w:ascii="Arial" w:hAnsi="Arial"/>
          <w:spacing w:val="-2"/>
          <w:sz w:val="24"/>
          <w:lang w:val="fr-CA"/>
        </w:rPr>
        <w:t xml:space="preserve"> centrifugé.</w:t>
      </w:r>
      <w:r>
        <w:rPr>
          <w:rFonts w:ascii="Arial" w:hAnsi="Arial"/>
          <w:spacing w:val="-2"/>
          <w:sz w:val="24"/>
          <w:lang w:val="fr-CA"/>
        </w:rPr>
        <w:t xml:space="preserve"> </w:t>
      </w:r>
      <w:r w:rsidRPr="003B3B87">
        <w:rPr>
          <w:rFonts w:ascii="Arial" w:hAnsi="Arial"/>
          <w:spacing w:val="-2"/>
          <w:sz w:val="24"/>
          <w:lang w:val="fr-CA"/>
        </w:rPr>
        <w:t>La densité des globules rouges augmente avec l’âge de la cellule, ce qui permet la séparation des cellules jeunes et des cellules plus vieilles, en fonction de leur densité relative.</w:t>
      </w:r>
      <w:r>
        <w:rPr>
          <w:rFonts w:ascii="Arial" w:hAnsi="Arial"/>
          <w:spacing w:val="-2"/>
          <w:sz w:val="24"/>
          <w:lang w:val="fr-CA"/>
        </w:rPr>
        <w:t xml:space="preserve"> </w:t>
      </w:r>
      <w:r w:rsidRPr="005F2526">
        <w:rPr>
          <w:rFonts w:ascii="Arial" w:hAnsi="Arial"/>
          <w:spacing w:val="-2"/>
          <w:sz w:val="24"/>
          <w:lang w:val="fr-CA"/>
        </w:rPr>
        <w:t>Lors d’une centrifugation à haute vitesse, les cellules plus jeunes et moins denses restent dans la couche supérieure alors que les cellules plus vieilles et plus denses s’accumulent au fond de l’échantillon de globules rouges.</w:t>
      </w:r>
    </w:p>
    <w:p w:rsidR="003B3B87" w:rsidRPr="005F2526" w:rsidRDefault="003B3B87" w:rsidP="003B3B87">
      <w:pPr>
        <w:spacing w:line="228" w:lineRule="auto"/>
        <w:ind w:left="720"/>
        <w:rPr>
          <w:rFonts w:ascii="Arial" w:hAnsi="Arial"/>
          <w:sz w:val="24"/>
          <w:lang w:val="fr-CA"/>
        </w:rPr>
      </w:pPr>
    </w:p>
    <w:p w:rsidR="003B3B87" w:rsidRPr="005F2526" w:rsidRDefault="003B3B87" w:rsidP="003B3B87">
      <w:pPr>
        <w:spacing w:line="228" w:lineRule="auto"/>
        <w:ind w:left="720"/>
        <w:rPr>
          <w:rFonts w:ascii="Arial" w:hAnsi="Arial"/>
          <w:sz w:val="24"/>
          <w:lang w:val="fr-CA"/>
        </w:rPr>
      </w:pPr>
      <w:r w:rsidRPr="005F2526">
        <w:rPr>
          <w:rFonts w:ascii="Arial" w:hAnsi="Arial"/>
          <w:spacing w:val="-2"/>
          <w:sz w:val="24"/>
          <w:lang w:val="fr-CA"/>
        </w:rPr>
        <w:t xml:space="preserve">Dans un échantillon de globules rouges, les globules rouges les plus jeunes, la portion riche en réticulocytes (RR), sont habituellement des globules rouges </w:t>
      </w:r>
      <w:r w:rsidRPr="00055637">
        <w:rPr>
          <w:rFonts w:ascii="Arial" w:hAnsi="Arial"/>
          <w:spacing w:val="-2"/>
          <w:sz w:val="24"/>
          <w:lang w:val="fr-CA"/>
        </w:rPr>
        <w:t>autologues</w:t>
      </w:r>
      <w:r w:rsidRPr="005F2526">
        <w:rPr>
          <w:rFonts w:ascii="Arial" w:hAnsi="Arial"/>
          <w:spacing w:val="-2"/>
          <w:sz w:val="24"/>
          <w:lang w:val="fr-CA"/>
        </w:rPr>
        <w:t xml:space="preserve">. Les </w:t>
      </w:r>
      <w:r>
        <w:rPr>
          <w:rFonts w:ascii="Arial" w:hAnsi="Arial"/>
          <w:spacing w:val="-2"/>
          <w:sz w:val="24"/>
          <w:lang w:val="fr-CA"/>
        </w:rPr>
        <w:t xml:space="preserve">vieilles </w:t>
      </w:r>
      <w:r w:rsidRPr="005F2526">
        <w:rPr>
          <w:rFonts w:ascii="Arial" w:hAnsi="Arial"/>
          <w:spacing w:val="-2"/>
          <w:sz w:val="24"/>
          <w:lang w:val="fr-CA"/>
        </w:rPr>
        <w:t>cellules</w:t>
      </w:r>
      <w:r>
        <w:rPr>
          <w:rFonts w:ascii="Arial" w:hAnsi="Arial"/>
          <w:spacing w:val="-2"/>
          <w:sz w:val="24"/>
          <w:lang w:val="fr-CA"/>
        </w:rPr>
        <w:t xml:space="preserve">, </w:t>
      </w:r>
      <w:r w:rsidRPr="005F2526">
        <w:rPr>
          <w:rFonts w:ascii="Arial" w:hAnsi="Arial"/>
          <w:spacing w:val="-2"/>
          <w:sz w:val="24"/>
          <w:lang w:val="fr-CA"/>
        </w:rPr>
        <w:t xml:space="preserve">la portion pauvre en réticulocytes (PR) </w:t>
      </w:r>
      <w:r>
        <w:rPr>
          <w:rFonts w:ascii="Arial" w:hAnsi="Arial"/>
          <w:spacing w:val="-2"/>
          <w:sz w:val="24"/>
          <w:lang w:val="fr-CA"/>
        </w:rPr>
        <w:t xml:space="preserve">sont autologues, elles aussi, et combinées, </w:t>
      </w:r>
      <w:r w:rsidRPr="005F2526">
        <w:rPr>
          <w:rFonts w:ascii="Arial" w:hAnsi="Arial"/>
          <w:spacing w:val="-2"/>
          <w:sz w:val="24"/>
          <w:lang w:val="fr-CA"/>
        </w:rPr>
        <w:t xml:space="preserve">le cas </w:t>
      </w:r>
      <w:proofErr w:type="gramStart"/>
      <w:r w:rsidRPr="005F2526">
        <w:rPr>
          <w:rFonts w:ascii="Arial" w:hAnsi="Arial"/>
          <w:spacing w:val="-2"/>
          <w:sz w:val="24"/>
          <w:lang w:val="fr-CA"/>
        </w:rPr>
        <w:t>échéant</w:t>
      </w:r>
      <w:proofErr w:type="gramEnd"/>
      <w:r w:rsidRPr="005F2526">
        <w:rPr>
          <w:rFonts w:ascii="Arial" w:hAnsi="Arial"/>
          <w:spacing w:val="-2"/>
          <w:sz w:val="24"/>
          <w:lang w:val="fr-CA"/>
        </w:rPr>
        <w:t xml:space="preserve">, </w:t>
      </w:r>
      <w:r>
        <w:rPr>
          <w:rFonts w:ascii="Arial" w:hAnsi="Arial"/>
          <w:spacing w:val="-2"/>
          <w:sz w:val="24"/>
          <w:lang w:val="fr-CA"/>
        </w:rPr>
        <w:t xml:space="preserve">à des </w:t>
      </w:r>
      <w:r w:rsidRPr="005F2526">
        <w:rPr>
          <w:rFonts w:ascii="Arial" w:hAnsi="Arial"/>
          <w:spacing w:val="-2"/>
          <w:sz w:val="24"/>
          <w:lang w:val="fr-CA"/>
        </w:rPr>
        <w:t>globules rouges de donneur transfusés.</w:t>
      </w:r>
    </w:p>
    <w:p w:rsidR="003B3B87" w:rsidRDefault="003B3B87" w:rsidP="003B3B87">
      <w:pPr>
        <w:suppressAutoHyphens/>
        <w:ind w:left="720"/>
        <w:rPr>
          <w:rFonts w:ascii="Arial" w:hAnsi="Arial"/>
          <w:spacing w:val="-2"/>
          <w:sz w:val="24"/>
          <w:lang w:val="fr-CA"/>
        </w:rPr>
      </w:pPr>
    </w:p>
    <w:p w:rsidR="00A54F3B" w:rsidRPr="005F2526" w:rsidRDefault="00B9188A" w:rsidP="00B9188A">
      <w:pPr>
        <w:numPr>
          <w:ilvl w:val="0"/>
          <w:numId w:val="1"/>
        </w:numPr>
        <w:spacing w:line="228" w:lineRule="auto"/>
        <w:rPr>
          <w:rFonts w:ascii="Arial" w:hAnsi="Arial"/>
          <w:b/>
          <w:sz w:val="28"/>
          <w:lang w:val="fr-CA"/>
        </w:rPr>
      </w:pPr>
      <w:r w:rsidRPr="005F2526">
        <w:rPr>
          <w:rFonts w:ascii="Arial" w:hAnsi="Arial"/>
          <w:b/>
          <w:sz w:val="28"/>
          <w:lang w:val="fr-CA"/>
        </w:rPr>
        <w:t>Portée et politiques connexes</w:t>
      </w:r>
    </w:p>
    <w:p w:rsidR="00A54F3B" w:rsidRPr="005F2526" w:rsidRDefault="00A54F3B">
      <w:pPr>
        <w:spacing w:line="228" w:lineRule="auto"/>
        <w:ind w:left="720"/>
        <w:rPr>
          <w:rFonts w:ascii="Arial" w:hAnsi="Arial"/>
          <w:b/>
          <w:sz w:val="24"/>
          <w:lang w:val="fr-CA"/>
        </w:rPr>
      </w:pPr>
    </w:p>
    <w:p w:rsidR="003B3B87" w:rsidRPr="005F2526" w:rsidRDefault="003B3B87" w:rsidP="003B3B87">
      <w:pPr>
        <w:numPr>
          <w:ilvl w:val="1"/>
          <w:numId w:val="1"/>
        </w:numPr>
        <w:suppressAutoHyphens/>
        <w:spacing w:line="228" w:lineRule="auto"/>
        <w:ind w:right="360"/>
        <w:rPr>
          <w:rFonts w:ascii="Arial" w:hAnsi="Arial"/>
          <w:spacing w:val="-2"/>
          <w:sz w:val="24"/>
          <w:lang w:val="fr-CA"/>
        </w:rPr>
      </w:pPr>
      <w:r w:rsidRPr="005F2526">
        <w:rPr>
          <w:rFonts w:ascii="Arial" w:hAnsi="Arial"/>
          <w:spacing w:val="-2"/>
          <w:sz w:val="24"/>
          <w:lang w:val="fr-CA"/>
        </w:rPr>
        <w:t>Il faut tenter de séparer les globules rouges autologues dans les circonstances suivantes</w:t>
      </w:r>
      <w:r w:rsidR="00B20A5F">
        <w:rPr>
          <w:rFonts w:ascii="Arial" w:hAnsi="Arial"/>
          <w:spacing w:val="-2"/>
          <w:sz w:val="24"/>
          <w:lang w:val="fr-CA"/>
        </w:rPr>
        <w:t> </w:t>
      </w:r>
      <w:r w:rsidRPr="005F2526">
        <w:rPr>
          <w:rFonts w:ascii="Arial" w:hAnsi="Arial"/>
          <w:spacing w:val="-2"/>
          <w:sz w:val="24"/>
          <w:lang w:val="fr-CA"/>
        </w:rPr>
        <w:t>:</w:t>
      </w:r>
    </w:p>
    <w:p w:rsidR="003B3B87" w:rsidRPr="005F2526" w:rsidRDefault="003B3B87" w:rsidP="003B3B87">
      <w:pPr>
        <w:suppressAutoHyphens/>
        <w:spacing w:line="228" w:lineRule="auto"/>
        <w:ind w:left="1440" w:right="360"/>
        <w:rPr>
          <w:rFonts w:ascii="Arial" w:hAnsi="Arial"/>
          <w:spacing w:val="-2"/>
          <w:sz w:val="24"/>
          <w:lang w:val="fr-CA"/>
        </w:rPr>
      </w:pPr>
    </w:p>
    <w:p w:rsidR="003B3B87" w:rsidRPr="005F2526" w:rsidRDefault="003B3B87" w:rsidP="003B3B87">
      <w:pPr>
        <w:numPr>
          <w:ilvl w:val="0"/>
          <w:numId w:val="8"/>
        </w:numPr>
        <w:suppressAutoHyphens/>
        <w:spacing w:line="228" w:lineRule="auto"/>
        <w:ind w:left="1800"/>
        <w:rPr>
          <w:rFonts w:ascii="Arial" w:hAnsi="Arial"/>
          <w:spacing w:val="-2"/>
          <w:sz w:val="24"/>
          <w:lang w:val="fr-CA"/>
        </w:rPr>
      </w:pPr>
      <w:proofErr w:type="gramStart"/>
      <w:r w:rsidRPr="005F2526">
        <w:rPr>
          <w:rFonts w:ascii="Arial" w:hAnsi="Arial"/>
          <w:spacing w:val="-2"/>
          <w:sz w:val="24"/>
          <w:lang w:val="fr-CA"/>
        </w:rPr>
        <w:t>le</w:t>
      </w:r>
      <w:proofErr w:type="gramEnd"/>
      <w:r w:rsidRPr="005F2526">
        <w:rPr>
          <w:rFonts w:ascii="Arial" w:hAnsi="Arial"/>
          <w:spacing w:val="-2"/>
          <w:sz w:val="24"/>
          <w:lang w:val="fr-CA"/>
        </w:rPr>
        <w:t xml:space="preserve"> phénotypage des cellules autologues est nécessaire</w:t>
      </w:r>
    </w:p>
    <w:p w:rsidR="003B3B87" w:rsidRPr="005F2526" w:rsidRDefault="003B3B87" w:rsidP="003B3B87">
      <w:pPr>
        <w:suppressAutoHyphens/>
        <w:spacing w:line="228" w:lineRule="auto"/>
        <w:ind w:left="1440"/>
        <w:rPr>
          <w:rFonts w:ascii="Arial" w:hAnsi="Arial"/>
          <w:spacing w:val="-2"/>
          <w:sz w:val="24"/>
          <w:lang w:val="fr-CA"/>
        </w:rPr>
      </w:pPr>
    </w:p>
    <w:p w:rsidR="003B3B87" w:rsidRPr="005F2526" w:rsidRDefault="003B3B87" w:rsidP="003B3B87">
      <w:pPr>
        <w:numPr>
          <w:ilvl w:val="0"/>
          <w:numId w:val="8"/>
        </w:numPr>
        <w:suppressAutoHyphens/>
        <w:spacing w:line="228" w:lineRule="auto"/>
        <w:ind w:left="1800"/>
        <w:rPr>
          <w:rFonts w:ascii="Arial" w:hAnsi="Arial"/>
          <w:spacing w:val="-2"/>
          <w:sz w:val="24"/>
          <w:lang w:val="fr-CA"/>
        </w:rPr>
      </w:pPr>
      <w:proofErr w:type="gramStart"/>
      <w:r w:rsidRPr="005F2526">
        <w:rPr>
          <w:rFonts w:ascii="Arial" w:hAnsi="Arial"/>
          <w:spacing w:val="-2"/>
          <w:sz w:val="24"/>
          <w:lang w:val="fr-CA"/>
        </w:rPr>
        <w:t>il</w:t>
      </w:r>
      <w:proofErr w:type="gramEnd"/>
      <w:r w:rsidRPr="005F2526">
        <w:rPr>
          <w:rFonts w:ascii="Arial" w:hAnsi="Arial"/>
          <w:spacing w:val="-2"/>
          <w:sz w:val="24"/>
          <w:lang w:val="fr-CA"/>
        </w:rPr>
        <w:t xml:space="preserve"> faut déterminer si un TDA positif est causé par une réaction transfusionnelle hémolytique tardive ou par un processus auto-immun</w:t>
      </w:r>
    </w:p>
    <w:p w:rsidR="003B3B87" w:rsidRPr="005F2526" w:rsidRDefault="003B3B87" w:rsidP="003B3B87">
      <w:pPr>
        <w:suppressAutoHyphens/>
        <w:spacing w:line="228" w:lineRule="auto"/>
        <w:rPr>
          <w:rFonts w:ascii="Arial" w:hAnsi="Arial"/>
          <w:spacing w:val="-2"/>
          <w:sz w:val="24"/>
          <w:lang w:val="fr-CA"/>
        </w:rPr>
      </w:pPr>
    </w:p>
    <w:p w:rsidR="003B3B87" w:rsidRPr="005F2526" w:rsidRDefault="003B3B87" w:rsidP="003B3B87">
      <w:pPr>
        <w:numPr>
          <w:ilvl w:val="0"/>
          <w:numId w:val="8"/>
        </w:numPr>
        <w:suppressAutoHyphens/>
        <w:spacing w:line="228" w:lineRule="auto"/>
        <w:ind w:left="1800"/>
        <w:rPr>
          <w:rFonts w:ascii="Arial" w:hAnsi="Arial"/>
          <w:spacing w:val="-2"/>
          <w:sz w:val="24"/>
          <w:lang w:val="fr-CA"/>
        </w:rPr>
      </w:pPr>
      <w:proofErr w:type="gramStart"/>
      <w:r w:rsidRPr="005F2526">
        <w:rPr>
          <w:rFonts w:ascii="Arial" w:hAnsi="Arial"/>
          <w:spacing w:val="-2"/>
          <w:sz w:val="24"/>
          <w:lang w:val="fr-CA"/>
        </w:rPr>
        <w:lastRenderedPageBreak/>
        <w:t>lorsque</w:t>
      </w:r>
      <w:proofErr w:type="gramEnd"/>
      <w:r w:rsidRPr="005F2526">
        <w:rPr>
          <w:rFonts w:ascii="Arial" w:hAnsi="Arial"/>
          <w:spacing w:val="-2"/>
          <w:sz w:val="24"/>
          <w:lang w:val="fr-CA"/>
        </w:rPr>
        <w:t xml:space="preserve"> des cellules positives au TDA ne peuvent pas susciter un résultat négatif au moyen d’une procédure de routine et qu’un phénotypage par TIA est requis</w:t>
      </w:r>
    </w:p>
    <w:p w:rsidR="003B3B87" w:rsidRPr="005F2526" w:rsidRDefault="003B3B87" w:rsidP="003B3B87">
      <w:pPr>
        <w:numPr>
          <w:ilvl w:val="12"/>
          <w:numId w:val="0"/>
        </w:numPr>
        <w:suppressAutoHyphens/>
        <w:spacing w:line="228" w:lineRule="auto"/>
        <w:ind w:left="1080" w:hanging="360"/>
        <w:rPr>
          <w:rFonts w:ascii="Arial" w:hAnsi="Arial"/>
          <w:spacing w:val="-2"/>
          <w:sz w:val="24"/>
          <w:lang w:val="fr-CA"/>
        </w:rPr>
      </w:pPr>
    </w:p>
    <w:p w:rsidR="003B3B87" w:rsidRPr="005F2526" w:rsidRDefault="003B3B87" w:rsidP="003B3B87">
      <w:pPr>
        <w:numPr>
          <w:ilvl w:val="1"/>
          <w:numId w:val="1"/>
        </w:numPr>
        <w:suppressAutoHyphens/>
        <w:spacing w:line="228" w:lineRule="auto"/>
        <w:rPr>
          <w:rFonts w:ascii="Arial" w:hAnsi="Arial"/>
          <w:spacing w:val="-2"/>
          <w:sz w:val="24"/>
          <w:lang w:val="fr-CA"/>
        </w:rPr>
      </w:pPr>
      <w:r w:rsidRPr="005F2526">
        <w:rPr>
          <w:rFonts w:ascii="Arial" w:hAnsi="Arial"/>
          <w:spacing w:val="-2"/>
          <w:sz w:val="24"/>
          <w:lang w:val="fr-CA"/>
        </w:rPr>
        <w:t>La méthode choisie dépendra du volume de l</w:t>
      </w:r>
      <w:r w:rsidR="00B20A5F">
        <w:rPr>
          <w:rFonts w:ascii="Arial" w:hAnsi="Arial"/>
          <w:spacing w:val="-2"/>
          <w:sz w:val="24"/>
          <w:lang w:val="fr-CA"/>
        </w:rPr>
        <w:t>’</w:t>
      </w:r>
      <w:r w:rsidRPr="005F2526">
        <w:rPr>
          <w:rFonts w:ascii="Arial" w:hAnsi="Arial"/>
          <w:spacing w:val="-2"/>
          <w:sz w:val="24"/>
          <w:lang w:val="fr-CA"/>
        </w:rPr>
        <w:t xml:space="preserve">échantillon et </w:t>
      </w:r>
      <w:r>
        <w:rPr>
          <w:rFonts w:ascii="Arial" w:hAnsi="Arial"/>
          <w:spacing w:val="-2"/>
          <w:sz w:val="24"/>
          <w:lang w:val="fr-CA"/>
        </w:rPr>
        <w:t>le temps disponible</w:t>
      </w:r>
      <w:r w:rsidRPr="005F2526">
        <w:rPr>
          <w:rFonts w:ascii="Arial" w:hAnsi="Arial"/>
          <w:spacing w:val="-2"/>
          <w:sz w:val="24"/>
          <w:lang w:val="fr-CA"/>
        </w:rPr>
        <w:t>.</w:t>
      </w:r>
    </w:p>
    <w:p w:rsidR="00A54F3B" w:rsidRPr="005F2526" w:rsidRDefault="00A54F3B" w:rsidP="003B3B87">
      <w:pPr>
        <w:pStyle w:val="BodyTextIndent2"/>
        <w:spacing w:line="228" w:lineRule="auto"/>
        <w:ind w:left="1440"/>
        <w:rPr>
          <w:lang w:val="fr-CA"/>
        </w:rPr>
      </w:pPr>
    </w:p>
    <w:p w:rsidR="00A54F3B" w:rsidRPr="005F2526" w:rsidRDefault="00B9188A" w:rsidP="00B9188A">
      <w:pPr>
        <w:numPr>
          <w:ilvl w:val="0"/>
          <w:numId w:val="1"/>
        </w:numPr>
        <w:spacing w:line="228" w:lineRule="auto"/>
        <w:rPr>
          <w:rFonts w:ascii="Arial" w:hAnsi="Arial"/>
          <w:b/>
          <w:sz w:val="28"/>
          <w:lang w:val="fr-CA"/>
        </w:rPr>
      </w:pPr>
      <w:r w:rsidRPr="005F2526">
        <w:rPr>
          <w:rFonts w:ascii="Arial" w:hAnsi="Arial"/>
          <w:b/>
          <w:sz w:val="28"/>
          <w:lang w:val="fr-CA"/>
        </w:rPr>
        <w:t>Échantillon</w:t>
      </w:r>
    </w:p>
    <w:p w:rsidR="00A54F3B" w:rsidRPr="005F2526" w:rsidRDefault="00A54F3B">
      <w:pPr>
        <w:spacing w:line="228" w:lineRule="auto"/>
        <w:rPr>
          <w:rFonts w:ascii="Arial" w:hAnsi="Arial"/>
          <w:sz w:val="24"/>
          <w:lang w:val="fr-CA"/>
        </w:rPr>
      </w:pPr>
    </w:p>
    <w:p w:rsidR="00A54F3B" w:rsidRPr="005F2526" w:rsidRDefault="003B3B87" w:rsidP="00B9188A">
      <w:pPr>
        <w:spacing w:line="228" w:lineRule="auto"/>
        <w:ind w:left="720"/>
        <w:rPr>
          <w:rFonts w:ascii="Arial" w:hAnsi="Arial"/>
          <w:sz w:val="24"/>
          <w:lang w:val="fr-CA"/>
        </w:rPr>
      </w:pPr>
      <w:r>
        <w:rPr>
          <w:rFonts w:ascii="Arial" w:hAnsi="Arial"/>
          <w:sz w:val="24"/>
          <w:lang w:val="fr-CA"/>
        </w:rPr>
        <w:t>Sang total</w:t>
      </w:r>
      <w:r w:rsidR="00B9188A" w:rsidRPr="005F2526">
        <w:rPr>
          <w:rFonts w:ascii="Arial" w:hAnsi="Arial"/>
          <w:sz w:val="24"/>
          <w:lang w:val="fr-CA"/>
        </w:rPr>
        <w:t xml:space="preserve"> </w:t>
      </w:r>
      <w:proofErr w:type="spellStart"/>
      <w:r w:rsidR="00B9188A" w:rsidRPr="005F2526">
        <w:rPr>
          <w:rFonts w:ascii="Arial" w:hAnsi="Arial"/>
          <w:sz w:val="24"/>
          <w:lang w:val="fr-CA"/>
        </w:rPr>
        <w:t>anticoagulé</w:t>
      </w:r>
      <w:proofErr w:type="spellEnd"/>
      <w:r w:rsidR="00B9188A" w:rsidRPr="005F2526">
        <w:rPr>
          <w:rFonts w:ascii="Arial" w:hAnsi="Arial"/>
          <w:sz w:val="24"/>
          <w:lang w:val="fr-CA"/>
        </w:rPr>
        <w:t xml:space="preserve"> (tube EDTA) prélevé de préférence moins de </w:t>
      </w:r>
      <w:r w:rsidR="00B9188A" w:rsidRPr="00074619">
        <w:rPr>
          <w:rFonts w:ascii="Arial" w:hAnsi="Arial"/>
          <w:sz w:val="24"/>
          <w:lang w:val="fr-CA"/>
        </w:rPr>
        <w:t>24</w:t>
      </w:r>
      <w:r>
        <w:rPr>
          <w:rFonts w:ascii="Arial" w:hAnsi="Arial"/>
          <w:sz w:val="24"/>
          <w:lang w:val="fr-CA"/>
        </w:rPr>
        <w:t> </w:t>
      </w:r>
      <w:r w:rsidR="00B9188A" w:rsidRPr="005F2526">
        <w:rPr>
          <w:rFonts w:ascii="Arial" w:hAnsi="Arial"/>
          <w:sz w:val="24"/>
          <w:lang w:val="fr-CA"/>
        </w:rPr>
        <w:t>heures auparavant.</w:t>
      </w:r>
    </w:p>
    <w:p w:rsidR="00A54F3B" w:rsidRPr="005F2526" w:rsidRDefault="00A54F3B">
      <w:pPr>
        <w:spacing w:line="228" w:lineRule="auto"/>
        <w:rPr>
          <w:rFonts w:ascii="Arial" w:hAnsi="Arial"/>
          <w:sz w:val="24"/>
          <w:lang w:val="fr-CA"/>
        </w:rPr>
      </w:pPr>
    </w:p>
    <w:p w:rsidR="00A54F3B" w:rsidRPr="005F2526" w:rsidRDefault="00B9188A" w:rsidP="00B9188A">
      <w:pPr>
        <w:numPr>
          <w:ilvl w:val="0"/>
          <w:numId w:val="1"/>
        </w:numPr>
        <w:spacing w:line="228" w:lineRule="auto"/>
        <w:rPr>
          <w:rFonts w:ascii="Arial" w:hAnsi="Arial"/>
          <w:b/>
          <w:sz w:val="28"/>
          <w:lang w:val="fr-CA"/>
        </w:rPr>
      </w:pPr>
      <w:r w:rsidRPr="005F2526">
        <w:rPr>
          <w:rFonts w:ascii="Arial" w:hAnsi="Arial"/>
          <w:b/>
          <w:sz w:val="28"/>
          <w:lang w:val="fr-CA"/>
        </w:rPr>
        <w:t>Matériel</w:t>
      </w:r>
    </w:p>
    <w:p w:rsidR="00A54F3B" w:rsidRPr="005F2526" w:rsidRDefault="00A54F3B">
      <w:pPr>
        <w:spacing w:line="228" w:lineRule="auto"/>
        <w:rPr>
          <w:rFonts w:ascii="Arial" w:hAnsi="Arial"/>
          <w:sz w:val="24"/>
          <w:lang w:val="fr-CA"/>
        </w:rPr>
      </w:pPr>
    </w:p>
    <w:p w:rsidR="00A54F3B" w:rsidRPr="005F2526" w:rsidRDefault="00B2430B" w:rsidP="005F2526">
      <w:pPr>
        <w:spacing w:line="228" w:lineRule="auto"/>
        <w:ind w:left="2880" w:hanging="2160"/>
        <w:rPr>
          <w:rFonts w:ascii="Arial" w:hAnsi="Arial"/>
          <w:sz w:val="24"/>
          <w:lang w:val="fr-CA"/>
        </w:rPr>
      </w:pPr>
      <w:r w:rsidRPr="005F2526">
        <w:rPr>
          <w:rFonts w:ascii="Arial" w:hAnsi="Arial"/>
          <w:b/>
          <w:sz w:val="24"/>
          <w:lang w:val="fr-CA"/>
        </w:rPr>
        <w:t>Équipement</w:t>
      </w:r>
      <w:r w:rsidR="00B20A5F">
        <w:rPr>
          <w:rFonts w:ascii="Arial" w:hAnsi="Arial"/>
          <w:b/>
          <w:sz w:val="24"/>
          <w:lang w:val="fr-CA"/>
        </w:rPr>
        <w:t> </w:t>
      </w:r>
      <w:r w:rsidR="00A54F3B" w:rsidRPr="005F2526">
        <w:rPr>
          <w:rFonts w:ascii="Arial" w:hAnsi="Arial"/>
          <w:b/>
          <w:sz w:val="24"/>
          <w:lang w:val="fr-CA"/>
        </w:rPr>
        <w:t>:</w:t>
      </w:r>
      <w:r w:rsidR="00A54F3B" w:rsidRPr="005F2526">
        <w:rPr>
          <w:rFonts w:ascii="Arial" w:hAnsi="Arial"/>
          <w:sz w:val="24"/>
          <w:lang w:val="fr-CA"/>
        </w:rPr>
        <w:tab/>
      </w:r>
      <w:r w:rsidRPr="005F2526">
        <w:rPr>
          <w:rFonts w:ascii="Arial" w:hAnsi="Arial"/>
          <w:sz w:val="24"/>
          <w:lang w:val="fr-CA"/>
        </w:rPr>
        <w:t xml:space="preserve">centrifugeuse </w:t>
      </w:r>
      <w:r w:rsidR="00A54F3B" w:rsidRPr="005F2526">
        <w:rPr>
          <w:rFonts w:ascii="Arial" w:hAnsi="Arial"/>
          <w:sz w:val="24"/>
          <w:lang w:val="fr-CA"/>
        </w:rPr>
        <w:t xml:space="preserve">Fisher </w:t>
      </w:r>
      <w:r w:rsidR="005F2526" w:rsidRPr="005F2526">
        <w:rPr>
          <w:rFonts w:ascii="Arial" w:hAnsi="Arial"/>
          <w:sz w:val="24"/>
          <w:lang w:val="fr-CA"/>
        </w:rPr>
        <w:t>à haute vitesse</w:t>
      </w:r>
      <w:r w:rsidR="00A54F3B" w:rsidRPr="005F2526">
        <w:rPr>
          <w:rFonts w:ascii="Arial" w:hAnsi="Arial"/>
          <w:sz w:val="24"/>
          <w:lang w:val="fr-CA"/>
        </w:rPr>
        <w:t xml:space="preserve"> (</w:t>
      </w:r>
      <w:r w:rsidRPr="005F2526">
        <w:rPr>
          <w:rFonts w:ascii="Arial" w:hAnsi="Arial"/>
          <w:sz w:val="24"/>
          <w:lang w:val="fr-CA"/>
        </w:rPr>
        <w:t xml:space="preserve">capacité de </w:t>
      </w:r>
      <w:r w:rsidR="00A54F3B" w:rsidRPr="005F2526">
        <w:rPr>
          <w:rFonts w:ascii="Arial" w:hAnsi="Arial"/>
          <w:sz w:val="24"/>
          <w:lang w:val="fr-CA"/>
        </w:rPr>
        <w:t>7000 G</w:t>
      </w:r>
      <w:r w:rsidRPr="005F2526">
        <w:rPr>
          <w:rFonts w:ascii="Arial" w:hAnsi="Arial"/>
          <w:sz w:val="24"/>
          <w:lang w:val="fr-CA"/>
        </w:rPr>
        <w:t>)</w:t>
      </w:r>
    </w:p>
    <w:p w:rsidR="00A54F3B" w:rsidRPr="005F2526" w:rsidRDefault="00A54F3B">
      <w:pPr>
        <w:spacing w:line="228" w:lineRule="auto"/>
        <w:ind w:left="720"/>
        <w:rPr>
          <w:rFonts w:ascii="Arial" w:hAnsi="Arial"/>
          <w:sz w:val="24"/>
          <w:lang w:val="fr-CA"/>
        </w:rPr>
      </w:pPr>
      <w:r w:rsidRPr="005F2526">
        <w:rPr>
          <w:rFonts w:ascii="Arial" w:hAnsi="Arial"/>
          <w:sz w:val="24"/>
          <w:lang w:val="fr-CA"/>
        </w:rPr>
        <w:tab/>
      </w:r>
      <w:r w:rsidRPr="005F2526">
        <w:rPr>
          <w:rFonts w:ascii="Arial" w:hAnsi="Arial"/>
          <w:sz w:val="24"/>
          <w:lang w:val="fr-CA"/>
        </w:rPr>
        <w:tab/>
      </w:r>
      <w:r w:rsidRPr="005F2526">
        <w:rPr>
          <w:rFonts w:ascii="Arial" w:hAnsi="Arial"/>
          <w:sz w:val="24"/>
          <w:lang w:val="fr-CA"/>
        </w:rPr>
        <w:tab/>
      </w:r>
    </w:p>
    <w:p w:rsidR="00A54F3B" w:rsidRPr="005F2526" w:rsidRDefault="00B2430B" w:rsidP="00B2430B">
      <w:pPr>
        <w:spacing w:line="228" w:lineRule="auto"/>
        <w:ind w:left="2880" w:hanging="2160"/>
        <w:rPr>
          <w:rFonts w:ascii="Arial" w:hAnsi="Arial"/>
          <w:sz w:val="24"/>
          <w:lang w:val="fr-CA"/>
        </w:rPr>
      </w:pPr>
      <w:r w:rsidRPr="005F2526">
        <w:rPr>
          <w:rFonts w:ascii="Arial" w:hAnsi="Arial"/>
          <w:b/>
          <w:sz w:val="24"/>
          <w:lang w:val="fr-CA"/>
        </w:rPr>
        <w:t>Fournitures</w:t>
      </w:r>
      <w:r w:rsidR="00B20A5F">
        <w:rPr>
          <w:rFonts w:ascii="Arial" w:hAnsi="Arial"/>
          <w:b/>
          <w:sz w:val="24"/>
          <w:lang w:val="fr-CA"/>
        </w:rPr>
        <w:t> </w:t>
      </w:r>
      <w:r w:rsidR="00A54F3B" w:rsidRPr="005F2526">
        <w:rPr>
          <w:rFonts w:ascii="Arial" w:hAnsi="Arial"/>
          <w:b/>
          <w:sz w:val="24"/>
          <w:lang w:val="fr-CA"/>
        </w:rPr>
        <w:t>:</w:t>
      </w:r>
      <w:r w:rsidR="00A54F3B" w:rsidRPr="005F2526">
        <w:rPr>
          <w:rFonts w:ascii="Arial" w:hAnsi="Arial"/>
          <w:sz w:val="24"/>
          <w:lang w:val="fr-CA"/>
        </w:rPr>
        <w:tab/>
      </w:r>
      <w:proofErr w:type="spellStart"/>
      <w:r w:rsidRPr="005F2526">
        <w:rPr>
          <w:rFonts w:ascii="Arial" w:hAnsi="Arial"/>
          <w:sz w:val="24"/>
          <w:lang w:val="fr-CA"/>
        </w:rPr>
        <w:t>microtubes</w:t>
      </w:r>
      <w:proofErr w:type="spellEnd"/>
      <w:r w:rsidRPr="005F2526">
        <w:rPr>
          <w:rFonts w:ascii="Arial" w:hAnsi="Arial"/>
          <w:sz w:val="24"/>
          <w:lang w:val="fr-CA"/>
        </w:rPr>
        <w:t xml:space="preserve"> </w:t>
      </w:r>
      <w:r w:rsidR="00A54F3B" w:rsidRPr="005F2526">
        <w:rPr>
          <w:rFonts w:ascii="Arial" w:hAnsi="Arial"/>
          <w:sz w:val="24"/>
          <w:lang w:val="fr-CA"/>
        </w:rPr>
        <w:t xml:space="preserve">Fisher </w:t>
      </w:r>
      <w:r w:rsidRPr="005F2526">
        <w:rPr>
          <w:rFonts w:ascii="Arial" w:hAnsi="Arial"/>
          <w:sz w:val="24"/>
          <w:lang w:val="fr-CA"/>
        </w:rPr>
        <w:t>en polystyrène</w:t>
      </w:r>
      <w:r w:rsidR="00A54F3B" w:rsidRPr="005F2526">
        <w:rPr>
          <w:rFonts w:ascii="Arial" w:hAnsi="Arial"/>
          <w:sz w:val="24"/>
          <w:lang w:val="fr-CA"/>
        </w:rPr>
        <w:t xml:space="preserve"> </w:t>
      </w:r>
      <w:r w:rsidRPr="005F2526">
        <w:rPr>
          <w:rFonts w:ascii="Arial" w:hAnsi="Arial"/>
          <w:sz w:val="24"/>
          <w:lang w:val="fr-CA"/>
        </w:rPr>
        <w:t xml:space="preserve">pour </w:t>
      </w:r>
      <w:r w:rsidR="00A54F3B" w:rsidRPr="005F2526">
        <w:rPr>
          <w:rFonts w:ascii="Arial" w:hAnsi="Arial"/>
          <w:sz w:val="24"/>
          <w:lang w:val="fr-CA"/>
        </w:rPr>
        <w:t>centrifuge</w:t>
      </w:r>
      <w:r w:rsidRPr="005F2526">
        <w:rPr>
          <w:rFonts w:ascii="Arial" w:hAnsi="Arial"/>
          <w:sz w:val="24"/>
          <w:lang w:val="fr-CA"/>
        </w:rPr>
        <w:t>use (n</w:t>
      </w:r>
      <w:r w:rsidRPr="00344CA6">
        <w:rPr>
          <w:rFonts w:ascii="Arial" w:hAnsi="Arial"/>
          <w:sz w:val="24"/>
          <w:vertAlign w:val="superscript"/>
          <w:lang w:val="fr-CA"/>
        </w:rPr>
        <w:t>o</w:t>
      </w:r>
      <w:r w:rsidR="00B20A5F">
        <w:rPr>
          <w:rFonts w:ascii="Arial" w:hAnsi="Arial"/>
          <w:sz w:val="24"/>
          <w:vertAlign w:val="superscript"/>
          <w:lang w:val="fr-CA"/>
        </w:rPr>
        <w:t> </w:t>
      </w:r>
      <w:r w:rsidR="00A54F3B" w:rsidRPr="005F2526">
        <w:rPr>
          <w:rFonts w:ascii="Arial" w:hAnsi="Arial"/>
          <w:sz w:val="24"/>
          <w:lang w:val="fr-CA"/>
        </w:rPr>
        <w:t>4-978-145)</w:t>
      </w:r>
    </w:p>
    <w:p w:rsidR="00A54F3B" w:rsidRPr="005F2526" w:rsidRDefault="00A54F3B" w:rsidP="00B9188A">
      <w:pPr>
        <w:spacing w:line="228" w:lineRule="auto"/>
        <w:ind w:left="720"/>
        <w:rPr>
          <w:rFonts w:ascii="Arial" w:hAnsi="Arial"/>
          <w:sz w:val="24"/>
          <w:lang w:val="fr-CA"/>
        </w:rPr>
      </w:pPr>
      <w:r w:rsidRPr="005F2526">
        <w:rPr>
          <w:rFonts w:ascii="Arial" w:hAnsi="Arial"/>
          <w:sz w:val="24"/>
          <w:lang w:val="fr-CA"/>
        </w:rPr>
        <w:tab/>
      </w:r>
      <w:r w:rsidRPr="005F2526">
        <w:rPr>
          <w:rFonts w:ascii="Arial" w:hAnsi="Arial"/>
          <w:sz w:val="24"/>
          <w:lang w:val="fr-CA"/>
        </w:rPr>
        <w:tab/>
      </w:r>
      <w:r w:rsidRPr="005F2526">
        <w:rPr>
          <w:rFonts w:ascii="Arial" w:hAnsi="Arial"/>
          <w:sz w:val="24"/>
          <w:lang w:val="fr-CA"/>
        </w:rPr>
        <w:tab/>
      </w:r>
      <w:proofErr w:type="gramStart"/>
      <w:r w:rsidR="00B9188A" w:rsidRPr="005F2526">
        <w:rPr>
          <w:rFonts w:ascii="Arial" w:hAnsi="Arial"/>
          <w:sz w:val="24"/>
          <w:lang w:val="fr-CA"/>
        </w:rPr>
        <w:t>pipettes</w:t>
      </w:r>
      <w:proofErr w:type="gramEnd"/>
      <w:r w:rsidR="00B9188A" w:rsidRPr="005F2526">
        <w:rPr>
          <w:rFonts w:ascii="Arial" w:hAnsi="Arial"/>
          <w:sz w:val="24"/>
          <w:lang w:val="fr-CA"/>
        </w:rPr>
        <w:t xml:space="preserve"> sérologiques</w:t>
      </w:r>
    </w:p>
    <w:p w:rsidR="00A54F3B" w:rsidRPr="005F2526" w:rsidRDefault="00A54F3B">
      <w:pPr>
        <w:spacing w:line="228" w:lineRule="auto"/>
        <w:ind w:left="720"/>
        <w:rPr>
          <w:rFonts w:ascii="Arial" w:hAnsi="Arial"/>
          <w:sz w:val="24"/>
          <w:lang w:val="fr-CA"/>
        </w:rPr>
      </w:pPr>
      <w:r w:rsidRPr="005F2526">
        <w:rPr>
          <w:rFonts w:ascii="Arial" w:hAnsi="Arial"/>
          <w:sz w:val="24"/>
          <w:lang w:val="fr-CA"/>
        </w:rPr>
        <w:tab/>
      </w:r>
      <w:r w:rsidRPr="005F2526">
        <w:rPr>
          <w:rFonts w:ascii="Arial" w:hAnsi="Arial"/>
          <w:sz w:val="24"/>
          <w:lang w:val="fr-CA"/>
        </w:rPr>
        <w:tab/>
      </w:r>
      <w:r w:rsidRPr="005F2526">
        <w:rPr>
          <w:rFonts w:ascii="Arial" w:hAnsi="Arial"/>
          <w:sz w:val="24"/>
          <w:lang w:val="fr-CA"/>
        </w:rPr>
        <w:tab/>
      </w:r>
    </w:p>
    <w:p w:rsidR="00A54F3B" w:rsidRPr="003B3B87" w:rsidRDefault="00B9188A" w:rsidP="00B9188A">
      <w:pPr>
        <w:spacing w:line="228" w:lineRule="auto"/>
        <w:ind w:left="720"/>
        <w:rPr>
          <w:rFonts w:ascii="Arial" w:hAnsi="Arial"/>
          <w:sz w:val="24"/>
          <w:lang w:val="fr-CA"/>
        </w:rPr>
      </w:pPr>
      <w:r w:rsidRPr="005F2526">
        <w:rPr>
          <w:rFonts w:ascii="Arial" w:hAnsi="Arial"/>
          <w:b/>
          <w:sz w:val="24"/>
          <w:lang w:val="fr-CA"/>
        </w:rPr>
        <w:t>Réactifs</w:t>
      </w:r>
      <w:r w:rsidR="00B20A5F">
        <w:rPr>
          <w:rFonts w:ascii="Arial" w:hAnsi="Arial"/>
          <w:b/>
          <w:sz w:val="24"/>
          <w:lang w:val="fr-CA"/>
        </w:rPr>
        <w:t> </w:t>
      </w:r>
      <w:r w:rsidRPr="005F2526">
        <w:rPr>
          <w:rFonts w:ascii="Arial" w:hAnsi="Arial"/>
          <w:b/>
          <w:sz w:val="24"/>
          <w:lang w:val="fr-CA"/>
        </w:rPr>
        <w:t xml:space="preserve">: </w:t>
      </w:r>
      <w:r w:rsidR="00B2430B" w:rsidRPr="005F2526">
        <w:rPr>
          <w:rFonts w:ascii="Arial" w:hAnsi="Arial"/>
          <w:b/>
          <w:sz w:val="24"/>
          <w:lang w:val="fr-CA"/>
        </w:rPr>
        <w:tab/>
      </w:r>
      <w:r w:rsidR="00B2430B" w:rsidRPr="005F2526">
        <w:rPr>
          <w:rFonts w:ascii="Arial" w:hAnsi="Arial"/>
          <w:b/>
          <w:sz w:val="24"/>
          <w:lang w:val="fr-CA"/>
        </w:rPr>
        <w:tab/>
      </w:r>
      <w:r w:rsidR="00FF6DD8" w:rsidRPr="003B3B87">
        <w:rPr>
          <w:rFonts w:ascii="Arial" w:hAnsi="Arial"/>
          <w:sz w:val="24"/>
          <w:lang w:val="fr-CA"/>
        </w:rPr>
        <w:t>S.O</w:t>
      </w:r>
      <w:r w:rsidR="00344CA6" w:rsidRPr="003B3B87">
        <w:rPr>
          <w:rFonts w:ascii="Arial" w:hAnsi="Arial"/>
          <w:sz w:val="24"/>
          <w:lang w:val="fr-CA"/>
        </w:rPr>
        <w:t>.</w:t>
      </w:r>
    </w:p>
    <w:p w:rsidR="00A54F3B" w:rsidRPr="005F2526" w:rsidRDefault="00A54F3B">
      <w:pPr>
        <w:spacing w:line="228" w:lineRule="auto"/>
        <w:ind w:left="720"/>
        <w:rPr>
          <w:rFonts w:ascii="Arial" w:hAnsi="Arial"/>
          <w:sz w:val="24"/>
          <w:lang w:val="fr-CA"/>
        </w:rPr>
      </w:pPr>
    </w:p>
    <w:p w:rsidR="00A54F3B" w:rsidRPr="005F2526" w:rsidRDefault="00B9188A" w:rsidP="00B9188A">
      <w:pPr>
        <w:numPr>
          <w:ilvl w:val="0"/>
          <w:numId w:val="1"/>
        </w:numPr>
        <w:spacing w:line="228" w:lineRule="auto"/>
        <w:rPr>
          <w:rFonts w:ascii="Arial" w:hAnsi="Arial"/>
          <w:b/>
          <w:sz w:val="28"/>
          <w:lang w:val="fr-CA"/>
        </w:rPr>
      </w:pPr>
      <w:r w:rsidRPr="005F2526">
        <w:rPr>
          <w:rFonts w:ascii="Arial" w:hAnsi="Arial"/>
          <w:b/>
          <w:sz w:val="28"/>
          <w:lang w:val="fr-CA"/>
        </w:rPr>
        <w:t>Contrôle de la qualité – S.O.</w:t>
      </w:r>
    </w:p>
    <w:p w:rsidR="00A54F3B" w:rsidRPr="005F2526" w:rsidRDefault="00A54F3B">
      <w:pPr>
        <w:spacing w:line="228" w:lineRule="auto"/>
        <w:ind w:left="720"/>
        <w:rPr>
          <w:rFonts w:ascii="Arial" w:hAnsi="Arial"/>
          <w:sz w:val="24"/>
          <w:lang w:val="fr-CA"/>
        </w:rPr>
      </w:pPr>
    </w:p>
    <w:p w:rsidR="00A54F3B" w:rsidRPr="005F2526" w:rsidRDefault="00B9188A" w:rsidP="00B9188A">
      <w:pPr>
        <w:numPr>
          <w:ilvl w:val="0"/>
          <w:numId w:val="1"/>
        </w:numPr>
        <w:spacing w:line="228" w:lineRule="auto"/>
        <w:rPr>
          <w:rFonts w:ascii="Arial" w:hAnsi="Arial"/>
          <w:b/>
          <w:sz w:val="28"/>
          <w:lang w:val="fr-CA"/>
        </w:rPr>
      </w:pPr>
      <w:r w:rsidRPr="005F2526">
        <w:rPr>
          <w:rFonts w:ascii="Arial" w:hAnsi="Arial"/>
          <w:b/>
          <w:sz w:val="28"/>
          <w:lang w:val="fr-CA"/>
        </w:rPr>
        <w:t>Procédure</w:t>
      </w:r>
    </w:p>
    <w:p w:rsidR="00A54F3B" w:rsidRPr="005F2526" w:rsidRDefault="00A54F3B">
      <w:pPr>
        <w:spacing w:line="228" w:lineRule="auto"/>
        <w:rPr>
          <w:rFonts w:ascii="Arial" w:hAnsi="Arial"/>
          <w:sz w:val="24"/>
          <w:lang w:val="fr-CA"/>
        </w:rPr>
      </w:pPr>
    </w:p>
    <w:p w:rsidR="00A54F3B" w:rsidRPr="005F2526" w:rsidRDefault="00B9188A" w:rsidP="00B9188A">
      <w:pPr>
        <w:numPr>
          <w:ilvl w:val="1"/>
          <w:numId w:val="1"/>
        </w:numPr>
        <w:spacing w:line="228" w:lineRule="auto"/>
        <w:rPr>
          <w:rFonts w:ascii="Arial" w:hAnsi="Arial"/>
          <w:sz w:val="24"/>
          <w:lang w:val="fr-CA"/>
        </w:rPr>
      </w:pPr>
      <w:r w:rsidRPr="005F2526">
        <w:rPr>
          <w:rFonts w:ascii="Arial" w:hAnsi="Arial"/>
          <w:sz w:val="24"/>
          <w:lang w:val="fr-CA"/>
        </w:rPr>
        <w:t>Centrifuger l</w:t>
      </w:r>
      <w:r w:rsidR="00B20A5F">
        <w:rPr>
          <w:rFonts w:ascii="Arial" w:hAnsi="Arial"/>
          <w:sz w:val="24"/>
          <w:lang w:val="fr-CA"/>
        </w:rPr>
        <w:t>’</w:t>
      </w:r>
      <w:r w:rsidRPr="005F2526">
        <w:rPr>
          <w:rFonts w:ascii="Arial" w:hAnsi="Arial"/>
          <w:sz w:val="24"/>
          <w:lang w:val="fr-CA"/>
        </w:rPr>
        <w:t>échantillon pendant 10 minutes à 3000 </w:t>
      </w:r>
      <w:proofErr w:type="spellStart"/>
      <w:r w:rsidRPr="005F2526">
        <w:rPr>
          <w:rFonts w:ascii="Arial" w:hAnsi="Arial"/>
          <w:sz w:val="24"/>
          <w:lang w:val="fr-CA"/>
        </w:rPr>
        <w:t>rpm</w:t>
      </w:r>
      <w:proofErr w:type="spellEnd"/>
      <w:r w:rsidRPr="005F2526">
        <w:rPr>
          <w:rFonts w:ascii="Arial" w:hAnsi="Arial"/>
          <w:sz w:val="24"/>
          <w:lang w:val="fr-CA"/>
        </w:rPr>
        <w:t xml:space="preserve"> ou l</w:t>
      </w:r>
      <w:r w:rsidR="00B20A5F">
        <w:rPr>
          <w:rFonts w:ascii="Arial" w:hAnsi="Arial"/>
          <w:sz w:val="24"/>
          <w:lang w:val="fr-CA"/>
        </w:rPr>
        <w:t>’</w:t>
      </w:r>
      <w:r w:rsidRPr="005F2526">
        <w:rPr>
          <w:rFonts w:ascii="Arial" w:hAnsi="Arial"/>
          <w:sz w:val="24"/>
          <w:lang w:val="fr-CA"/>
        </w:rPr>
        <w:t>équivalent.</w:t>
      </w:r>
    </w:p>
    <w:p w:rsidR="00A54F3B" w:rsidRPr="005F2526" w:rsidRDefault="00A54F3B">
      <w:pPr>
        <w:spacing w:line="228" w:lineRule="auto"/>
        <w:ind w:left="720"/>
        <w:rPr>
          <w:rFonts w:ascii="Arial" w:hAnsi="Arial"/>
          <w:sz w:val="24"/>
          <w:lang w:val="fr-CA"/>
        </w:rPr>
      </w:pPr>
    </w:p>
    <w:p w:rsidR="00A54F3B" w:rsidRPr="005F2526" w:rsidRDefault="00A54F3B">
      <w:pPr>
        <w:numPr>
          <w:ilvl w:val="1"/>
          <w:numId w:val="1"/>
        </w:numPr>
        <w:spacing w:line="228" w:lineRule="auto"/>
        <w:rPr>
          <w:rFonts w:ascii="Arial" w:hAnsi="Arial"/>
          <w:sz w:val="24"/>
          <w:lang w:val="fr-CA"/>
        </w:rPr>
      </w:pPr>
      <w:r w:rsidRPr="005F2526">
        <w:rPr>
          <w:rFonts w:ascii="Arial" w:hAnsi="Arial"/>
          <w:sz w:val="24"/>
          <w:lang w:val="fr-CA"/>
        </w:rPr>
        <w:t>Re</w:t>
      </w:r>
      <w:r w:rsidR="00B2430B" w:rsidRPr="005F2526">
        <w:rPr>
          <w:rFonts w:ascii="Arial" w:hAnsi="Arial"/>
          <w:sz w:val="24"/>
          <w:lang w:val="fr-CA"/>
        </w:rPr>
        <w:t>tirer le plasma sans troubler ni aspirer les globules rouges</w:t>
      </w:r>
      <w:r w:rsidRPr="005F2526">
        <w:rPr>
          <w:rFonts w:ascii="Arial" w:hAnsi="Arial"/>
          <w:sz w:val="24"/>
          <w:lang w:val="fr-CA"/>
        </w:rPr>
        <w:t>.</w:t>
      </w:r>
    </w:p>
    <w:p w:rsidR="00A54F3B" w:rsidRPr="005F2526" w:rsidRDefault="00A54F3B">
      <w:pPr>
        <w:spacing w:line="228" w:lineRule="auto"/>
        <w:rPr>
          <w:rFonts w:ascii="Arial" w:hAnsi="Arial"/>
          <w:sz w:val="24"/>
          <w:lang w:val="fr-CA"/>
        </w:rPr>
      </w:pPr>
    </w:p>
    <w:p w:rsidR="00A54F3B" w:rsidRPr="005F2526" w:rsidRDefault="005F2526">
      <w:pPr>
        <w:numPr>
          <w:ilvl w:val="1"/>
          <w:numId w:val="1"/>
        </w:numPr>
        <w:spacing w:line="228" w:lineRule="auto"/>
        <w:rPr>
          <w:rFonts w:ascii="Arial" w:hAnsi="Arial"/>
          <w:sz w:val="24"/>
          <w:lang w:val="fr-CA"/>
        </w:rPr>
      </w:pPr>
      <w:r w:rsidRPr="005F2526">
        <w:rPr>
          <w:rFonts w:ascii="Arial" w:hAnsi="Arial"/>
          <w:sz w:val="24"/>
          <w:lang w:val="fr-CA"/>
        </w:rPr>
        <w:t>Boucher et bien mélanger l’échantillon de globules rouges</w:t>
      </w:r>
      <w:r w:rsidR="00A54F3B" w:rsidRPr="005F2526">
        <w:rPr>
          <w:rFonts w:ascii="Arial" w:hAnsi="Arial"/>
          <w:sz w:val="24"/>
          <w:lang w:val="fr-CA"/>
        </w:rPr>
        <w:t>.</w:t>
      </w:r>
    </w:p>
    <w:p w:rsidR="00A54F3B" w:rsidRPr="005F2526" w:rsidRDefault="00A54F3B">
      <w:pPr>
        <w:spacing w:line="228" w:lineRule="auto"/>
        <w:rPr>
          <w:rFonts w:ascii="Arial" w:hAnsi="Arial"/>
          <w:sz w:val="24"/>
          <w:lang w:val="fr-CA"/>
        </w:rPr>
      </w:pPr>
    </w:p>
    <w:p w:rsidR="00A54F3B" w:rsidRPr="005F2526" w:rsidRDefault="005F2526" w:rsidP="00B9188A">
      <w:pPr>
        <w:numPr>
          <w:ilvl w:val="1"/>
          <w:numId w:val="1"/>
        </w:numPr>
        <w:spacing w:line="228" w:lineRule="auto"/>
        <w:rPr>
          <w:rFonts w:ascii="Arial" w:hAnsi="Arial"/>
          <w:sz w:val="24"/>
          <w:lang w:val="fr-CA"/>
        </w:rPr>
      </w:pPr>
      <w:r w:rsidRPr="005F2526">
        <w:rPr>
          <w:rFonts w:ascii="Arial" w:hAnsi="Arial"/>
          <w:sz w:val="24"/>
          <w:lang w:val="fr-CA"/>
        </w:rPr>
        <w:t xml:space="preserve">Étiqueter les tubes coniques en plastique en y inscrivant le nom complet du patient. </w:t>
      </w:r>
      <w:r w:rsidR="00B9188A" w:rsidRPr="005F2526">
        <w:rPr>
          <w:rFonts w:ascii="Arial" w:hAnsi="Arial"/>
          <w:sz w:val="24"/>
          <w:lang w:val="fr-CA"/>
        </w:rPr>
        <w:t>Transcrire les données à partir de l</w:t>
      </w:r>
      <w:r w:rsidR="00B20A5F">
        <w:rPr>
          <w:rFonts w:ascii="Arial" w:hAnsi="Arial"/>
          <w:sz w:val="24"/>
          <w:lang w:val="fr-CA"/>
        </w:rPr>
        <w:t>’</w:t>
      </w:r>
      <w:r w:rsidR="00B9188A" w:rsidRPr="005F2526">
        <w:rPr>
          <w:rFonts w:ascii="Arial" w:hAnsi="Arial"/>
          <w:sz w:val="24"/>
          <w:lang w:val="fr-CA"/>
        </w:rPr>
        <w:t>étiquette de l</w:t>
      </w:r>
      <w:r w:rsidR="00B20A5F">
        <w:rPr>
          <w:rFonts w:ascii="Arial" w:hAnsi="Arial"/>
          <w:sz w:val="24"/>
          <w:lang w:val="fr-CA"/>
        </w:rPr>
        <w:t>’</w:t>
      </w:r>
      <w:r w:rsidR="00B9188A" w:rsidRPr="005F2526">
        <w:rPr>
          <w:rFonts w:ascii="Arial" w:hAnsi="Arial"/>
          <w:sz w:val="24"/>
          <w:lang w:val="fr-CA"/>
        </w:rPr>
        <w:t>échantillon du patient (et non du formulaire de demande).</w:t>
      </w:r>
      <w:r w:rsidRPr="005F2526">
        <w:rPr>
          <w:rFonts w:ascii="Arial" w:hAnsi="Arial"/>
          <w:sz w:val="24"/>
          <w:lang w:val="fr-CA"/>
        </w:rPr>
        <w:t xml:space="preserve"> Le nombre de tubes dépend du volume de globules rouges. </w:t>
      </w:r>
    </w:p>
    <w:p w:rsidR="00A54F3B" w:rsidRPr="005F2526" w:rsidRDefault="00A54F3B">
      <w:pPr>
        <w:spacing w:line="228" w:lineRule="auto"/>
        <w:rPr>
          <w:rFonts w:ascii="Arial" w:hAnsi="Arial"/>
          <w:sz w:val="24"/>
          <w:lang w:val="fr-CA"/>
        </w:rPr>
      </w:pPr>
    </w:p>
    <w:p w:rsidR="00A54F3B" w:rsidRPr="005F2526" w:rsidRDefault="00A54F3B">
      <w:pPr>
        <w:spacing w:line="228" w:lineRule="auto"/>
        <w:rPr>
          <w:rFonts w:ascii="Arial" w:hAnsi="Arial"/>
          <w:sz w:val="24"/>
          <w:lang w:val="fr-CA"/>
        </w:rPr>
      </w:pPr>
    </w:p>
    <w:p w:rsidR="00A54F3B" w:rsidRPr="005F2526" w:rsidRDefault="005F2526">
      <w:pPr>
        <w:numPr>
          <w:ilvl w:val="1"/>
          <w:numId w:val="1"/>
        </w:numPr>
        <w:spacing w:line="228" w:lineRule="auto"/>
        <w:rPr>
          <w:rFonts w:ascii="Arial" w:hAnsi="Arial"/>
          <w:sz w:val="24"/>
          <w:lang w:val="fr-CA"/>
        </w:rPr>
      </w:pPr>
      <w:r w:rsidRPr="005F2526">
        <w:rPr>
          <w:rFonts w:ascii="Arial" w:hAnsi="Arial"/>
          <w:sz w:val="24"/>
          <w:lang w:val="fr-CA"/>
        </w:rPr>
        <w:t xml:space="preserve">Boucher les tubes et </w:t>
      </w:r>
      <w:r w:rsidR="00A54F3B" w:rsidRPr="005F2526">
        <w:rPr>
          <w:rFonts w:ascii="Arial" w:hAnsi="Arial"/>
          <w:sz w:val="24"/>
          <w:lang w:val="fr-CA"/>
        </w:rPr>
        <w:t>centrifuge</w:t>
      </w:r>
      <w:r w:rsidRPr="005F2526">
        <w:rPr>
          <w:rFonts w:ascii="Arial" w:hAnsi="Arial"/>
          <w:sz w:val="24"/>
          <w:lang w:val="fr-CA"/>
        </w:rPr>
        <w:t>r</w:t>
      </w:r>
      <w:r w:rsidR="00A54F3B" w:rsidRPr="005F2526">
        <w:rPr>
          <w:rFonts w:ascii="Arial" w:hAnsi="Arial"/>
          <w:sz w:val="24"/>
          <w:lang w:val="fr-CA"/>
        </w:rPr>
        <w:t xml:space="preserve"> </w:t>
      </w:r>
      <w:r w:rsidRPr="005F2526">
        <w:rPr>
          <w:rFonts w:ascii="Arial" w:hAnsi="Arial"/>
          <w:sz w:val="24"/>
          <w:lang w:val="fr-CA"/>
        </w:rPr>
        <w:t xml:space="preserve">à </w:t>
      </w:r>
      <w:r w:rsidR="00A54F3B" w:rsidRPr="005F2526">
        <w:rPr>
          <w:rFonts w:ascii="Arial" w:hAnsi="Arial"/>
          <w:sz w:val="24"/>
          <w:lang w:val="fr-CA"/>
        </w:rPr>
        <w:t>7000</w:t>
      </w:r>
      <w:r w:rsidR="00344CA6">
        <w:rPr>
          <w:rFonts w:ascii="Arial" w:hAnsi="Arial"/>
          <w:sz w:val="24"/>
          <w:lang w:val="fr-CA"/>
        </w:rPr>
        <w:t xml:space="preserve"> </w:t>
      </w:r>
      <w:r w:rsidR="00A54F3B" w:rsidRPr="005F2526">
        <w:rPr>
          <w:rFonts w:ascii="Arial" w:hAnsi="Arial"/>
          <w:sz w:val="24"/>
          <w:lang w:val="fr-CA"/>
        </w:rPr>
        <w:t xml:space="preserve">G </w:t>
      </w:r>
      <w:r w:rsidRPr="005F2526">
        <w:rPr>
          <w:rFonts w:ascii="Arial" w:hAnsi="Arial"/>
          <w:sz w:val="24"/>
          <w:lang w:val="fr-CA"/>
        </w:rPr>
        <w:t>pendant 1 heure</w:t>
      </w:r>
      <w:r w:rsidR="00A54F3B" w:rsidRPr="005F2526">
        <w:rPr>
          <w:rFonts w:ascii="Arial" w:hAnsi="Arial"/>
          <w:sz w:val="24"/>
          <w:lang w:val="fr-CA"/>
        </w:rPr>
        <w:t>.</w:t>
      </w:r>
    </w:p>
    <w:p w:rsidR="00A54F3B" w:rsidRPr="005F2526" w:rsidRDefault="00A54F3B">
      <w:pPr>
        <w:spacing w:line="228" w:lineRule="auto"/>
        <w:rPr>
          <w:rFonts w:ascii="Arial" w:hAnsi="Arial"/>
          <w:sz w:val="24"/>
          <w:lang w:val="fr-CA"/>
        </w:rPr>
      </w:pPr>
    </w:p>
    <w:p w:rsidR="00A54F3B" w:rsidRPr="005F2526" w:rsidRDefault="005F2526">
      <w:pPr>
        <w:numPr>
          <w:ilvl w:val="1"/>
          <w:numId w:val="1"/>
        </w:numPr>
        <w:spacing w:line="228" w:lineRule="auto"/>
        <w:rPr>
          <w:rFonts w:ascii="Arial" w:hAnsi="Arial"/>
          <w:sz w:val="24"/>
          <w:lang w:val="fr-CA"/>
        </w:rPr>
      </w:pPr>
      <w:r w:rsidRPr="005F2526">
        <w:rPr>
          <w:rFonts w:ascii="Arial" w:hAnsi="Arial"/>
          <w:sz w:val="24"/>
          <w:lang w:val="fr-CA"/>
        </w:rPr>
        <w:t xml:space="preserve">Étiqueter </w:t>
      </w:r>
      <w:r w:rsidR="00074619">
        <w:rPr>
          <w:rFonts w:ascii="Arial" w:hAnsi="Arial"/>
          <w:sz w:val="24"/>
          <w:lang w:val="fr-CA"/>
        </w:rPr>
        <w:t>2</w:t>
      </w:r>
      <w:r w:rsidRPr="005F2526">
        <w:rPr>
          <w:rFonts w:ascii="Arial" w:hAnsi="Arial"/>
          <w:sz w:val="24"/>
          <w:lang w:val="fr-CA"/>
        </w:rPr>
        <w:t xml:space="preserve"> tubes de 1</w:t>
      </w:r>
      <w:r w:rsidR="00A54F3B" w:rsidRPr="005F2526">
        <w:rPr>
          <w:rFonts w:ascii="Arial" w:hAnsi="Arial"/>
          <w:sz w:val="24"/>
          <w:lang w:val="fr-CA"/>
        </w:rPr>
        <w:t>0 x 75</w:t>
      </w:r>
      <w:r w:rsidR="00B20A5F">
        <w:rPr>
          <w:rFonts w:ascii="Arial" w:hAnsi="Arial"/>
          <w:sz w:val="24"/>
          <w:lang w:val="fr-CA"/>
        </w:rPr>
        <w:t> </w:t>
      </w:r>
      <w:r w:rsidR="00A54F3B" w:rsidRPr="005F2526">
        <w:rPr>
          <w:rFonts w:ascii="Arial" w:hAnsi="Arial"/>
          <w:sz w:val="24"/>
          <w:lang w:val="fr-CA"/>
        </w:rPr>
        <w:t xml:space="preserve">mm </w:t>
      </w:r>
      <w:r w:rsidRPr="005F2526">
        <w:rPr>
          <w:rFonts w:ascii="Arial" w:hAnsi="Arial"/>
          <w:sz w:val="24"/>
          <w:lang w:val="fr-CA"/>
        </w:rPr>
        <w:t xml:space="preserve">en y inscrivant les </w:t>
      </w:r>
      <w:r w:rsidR="00074619">
        <w:rPr>
          <w:rFonts w:ascii="Arial" w:hAnsi="Arial"/>
          <w:sz w:val="24"/>
          <w:lang w:val="fr-CA"/>
        </w:rPr>
        <w:t>3</w:t>
      </w:r>
      <w:r w:rsidRPr="005F2526">
        <w:rPr>
          <w:rFonts w:ascii="Arial" w:hAnsi="Arial"/>
          <w:sz w:val="24"/>
          <w:lang w:val="fr-CA"/>
        </w:rPr>
        <w:t xml:space="preserve"> premières lett</w:t>
      </w:r>
      <w:r w:rsidR="009A4050">
        <w:rPr>
          <w:rFonts w:ascii="Arial" w:hAnsi="Arial"/>
          <w:sz w:val="24"/>
          <w:lang w:val="fr-CA"/>
        </w:rPr>
        <w:t xml:space="preserve">res du nom de famille du patient ainsi que </w:t>
      </w:r>
      <w:r w:rsidRPr="005F2526">
        <w:rPr>
          <w:rFonts w:ascii="Arial" w:hAnsi="Arial"/>
          <w:sz w:val="24"/>
          <w:lang w:val="fr-CA"/>
        </w:rPr>
        <w:t>HAUT</w:t>
      </w:r>
      <w:r w:rsidR="00A54F3B" w:rsidRPr="005F2526">
        <w:rPr>
          <w:rFonts w:ascii="Arial" w:hAnsi="Arial"/>
          <w:sz w:val="24"/>
          <w:lang w:val="fr-CA"/>
        </w:rPr>
        <w:t xml:space="preserve"> </w:t>
      </w:r>
      <w:r w:rsidRPr="005F2526">
        <w:rPr>
          <w:rFonts w:ascii="Arial" w:hAnsi="Arial"/>
          <w:sz w:val="24"/>
          <w:lang w:val="fr-CA"/>
        </w:rPr>
        <w:t>sur l’un et BAS sur l’autre</w:t>
      </w:r>
      <w:r w:rsidR="00A54F3B" w:rsidRPr="005F2526">
        <w:rPr>
          <w:rFonts w:ascii="Arial" w:hAnsi="Arial"/>
          <w:sz w:val="24"/>
          <w:lang w:val="fr-CA"/>
        </w:rPr>
        <w:t>.</w:t>
      </w:r>
    </w:p>
    <w:p w:rsidR="00A54F3B" w:rsidRPr="005F2526" w:rsidRDefault="00A54F3B">
      <w:pPr>
        <w:spacing w:line="228" w:lineRule="auto"/>
        <w:rPr>
          <w:rFonts w:ascii="Arial" w:hAnsi="Arial"/>
          <w:sz w:val="24"/>
          <w:lang w:val="fr-CA"/>
        </w:rPr>
      </w:pPr>
    </w:p>
    <w:p w:rsidR="00A54F3B" w:rsidRPr="005F2526" w:rsidRDefault="009A4050">
      <w:pPr>
        <w:numPr>
          <w:ilvl w:val="1"/>
          <w:numId w:val="1"/>
        </w:numPr>
        <w:spacing w:line="228" w:lineRule="auto"/>
        <w:rPr>
          <w:rFonts w:ascii="Arial" w:hAnsi="Arial"/>
          <w:sz w:val="24"/>
          <w:lang w:val="fr-CA"/>
        </w:rPr>
      </w:pPr>
      <w:r>
        <w:rPr>
          <w:rFonts w:ascii="Arial" w:hAnsi="Arial"/>
          <w:sz w:val="24"/>
          <w:lang w:val="fr-CA"/>
        </w:rPr>
        <w:t>Après la centrifugation, retirer doucement les tubes en prenant soin de ne pas troubler les globules rouge</w:t>
      </w:r>
      <w:r w:rsidR="00A54F3B" w:rsidRPr="005F2526">
        <w:rPr>
          <w:rFonts w:ascii="Arial" w:hAnsi="Arial"/>
          <w:sz w:val="24"/>
          <w:lang w:val="fr-CA"/>
        </w:rPr>
        <w:t>s.</w:t>
      </w:r>
    </w:p>
    <w:p w:rsidR="00A54F3B" w:rsidRPr="005F2526" w:rsidRDefault="00A54F3B">
      <w:pPr>
        <w:spacing w:line="228" w:lineRule="auto"/>
        <w:rPr>
          <w:rFonts w:ascii="Arial" w:hAnsi="Arial"/>
          <w:sz w:val="24"/>
          <w:lang w:val="fr-CA"/>
        </w:rPr>
      </w:pPr>
    </w:p>
    <w:p w:rsidR="00A54F3B" w:rsidRPr="005F2526" w:rsidRDefault="009A4050">
      <w:pPr>
        <w:numPr>
          <w:ilvl w:val="1"/>
          <w:numId w:val="1"/>
        </w:numPr>
        <w:suppressAutoHyphens/>
        <w:spacing w:line="228" w:lineRule="auto"/>
        <w:rPr>
          <w:rFonts w:ascii="Arial" w:hAnsi="Arial"/>
          <w:spacing w:val="-2"/>
          <w:sz w:val="24"/>
          <w:lang w:val="fr-CA"/>
        </w:rPr>
      </w:pPr>
      <w:r>
        <w:rPr>
          <w:rFonts w:ascii="Arial" w:hAnsi="Arial"/>
          <w:spacing w:val="-2"/>
          <w:sz w:val="24"/>
          <w:lang w:val="fr-CA"/>
        </w:rPr>
        <w:t xml:space="preserve">À l’aide d’une pipette </w:t>
      </w:r>
      <w:r w:rsidR="00A54F3B" w:rsidRPr="005F2526">
        <w:rPr>
          <w:rFonts w:ascii="Arial" w:hAnsi="Arial"/>
          <w:spacing w:val="-2"/>
          <w:sz w:val="24"/>
          <w:lang w:val="fr-CA"/>
        </w:rPr>
        <w:t>Pasteur</w:t>
      </w:r>
      <w:r>
        <w:rPr>
          <w:rFonts w:ascii="Arial" w:hAnsi="Arial"/>
          <w:spacing w:val="-2"/>
          <w:sz w:val="24"/>
          <w:lang w:val="fr-CA"/>
        </w:rPr>
        <w:t>,</w:t>
      </w:r>
      <w:r w:rsidR="00FF6DD8">
        <w:rPr>
          <w:rFonts w:ascii="Arial" w:hAnsi="Arial"/>
          <w:spacing w:val="-2"/>
          <w:sz w:val="24"/>
          <w:lang w:val="fr-CA"/>
        </w:rPr>
        <w:t xml:space="preserve"> </w:t>
      </w:r>
      <w:r>
        <w:rPr>
          <w:rFonts w:ascii="Arial" w:hAnsi="Arial"/>
          <w:spacing w:val="-2"/>
          <w:sz w:val="24"/>
          <w:lang w:val="fr-CA"/>
        </w:rPr>
        <w:t>écumer la couche supérieure de</w:t>
      </w:r>
      <w:r w:rsidR="00344CA6">
        <w:rPr>
          <w:rFonts w:ascii="Arial" w:hAnsi="Arial"/>
          <w:spacing w:val="-2"/>
          <w:sz w:val="24"/>
          <w:lang w:val="fr-CA"/>
        </w:rPr>
        <w:t>s</w:t>
      </w:r>
      <w:r>
        <w:rPr>
          <w:rFonts w:ascii="Arial" w:hAnsi="Arial"/>
          <w:spacing w:val="-2"/>
          <w:sz w:val="24"/>
          <w:lang w:val="fr-CA"/>
        </w:rPr>
        <w:t xml:space="preserve"> globules rouges</w:t>
      </w:r>
      <w:r w:rsidR="00A54F3B" w:rsidRPr="005F2526">
        <w:rPr>
          <w:rFonts w:ascii="Arial" w:hAnsi="Arial"/>
          <w:spacing w:val="-2"/>
          <w:sz w:val="24"/>
          <w:lang w:val="fr-CA"/>
        </w:rPr>
        <w:t>.</w:t>
      </w:r>
      <w:r>
        <w:rPr>
          <w:rFonts w:ascii="Arial" w:hAnsi="Arial"/>
          <w:spacing w:val="-2"/>
          <w:sz w:val="24"/>
          <w:lang w:val="fr-CA"/>
        </w:rPr>
        <w:t xml:space="preserve"> N’exercer aucune succion. Laisser les globules rouges monter dans la pipette par capillarité. </w:t>
      </w:r>
      <w:r w:rsidR="00815097">
        <w:rPr>
          <w:rFonts w:ascii="Arial" w:hAnsi="Arial"/>
          <w:spacing w:val="-2"/>
          <w:sz w:val="24"/>
          <w:lang w:val="fr-CA"/>
        </w:rPr>
        <w:t xml:space="preserve">Rincer la pipette avec de la solution saline </w:t>
      </w:r>
      <w:r w:rsidR="00074619">
        <w:rPr>
          <w:rFonts w:ascii="Arial" w:hAnsi="Arial"/>
          <w:spacing w:val="-2"/>
          <w:sz w:val="24"/>
          <w:lang w:val="fr-CA"/>
        </w:rPr>
        <w:t xml:space="preserve">normale </w:t>
      </w:r>
      <w:r w:rsidR="00815097">
        <w:rPr>
          <w:rFonts w:ascii="Arial" w:hAnsi="Arial"/>
          <w:spacing w:val="-2"/>
          <w:sz w:val="24"/>
          <w:lang w:val="fr-CA"/>
        </w:rPr>
        <w:t>dans le tube étiqueté</w:t>
      </w:r>
      <w:r w:rsidR="00A54F3B" w:rsidRPr="005F2526">
        <w:rPr>
          <w:rFonts w:ascii="Arial" w:hAnsi="Arial"/>
          <w:spacing w:val="-2"/>
          <w:sz w:val="24"/>
          <w:lang w:val="fr-CA"/>
        </w:rPr>
        <w:t xml:space="preserve"> </w:t>
      </w:r>
      <w:r w:rsidR="00815097">
        <w:rPr>
          <w:rFonts w:ascii="Arial" w:hAnsi="Arial"/>
          <w:spacing w:val="-2"/>
          <w:sz w:val="24"/>
          <w:lang w:val="fr-CA"/>
        </w:rPr>
        <w:t>« haut »</w:t>
      </w:r>
      <w:r w:rsidR="00B20A5F">
        <w:rPr>
          <w:rFonts w:ascii="Arial" w:hAnsi="Arial"/>
          <w:spacing w:val="-2"/>
          <w:sz w:val="24"/>
          <w:lang w:val="fr-CA"/>
        </w:rPr>
        <w:t>.</w:t>
      </w:r>
      <w:r w:rsidR="00815097">
        <w:rPr>
          <w:rFonts w:ascii="Arial" w:hAnsi="Arial"/>
          <w:spacing w:val="-2"/>
          <w:sz w:val="24"/>
          <w:lang w:val="fr-CA"/>
        </w:rPr>
        <w:t xml:space="preserve"> Prélever les couches supérieures de tous les tubes de la même manière. </w:t>
      </w:r>
    </w:p>
    <w:p w:rsidR="00A54F3B" w:rsidRPr="005F2526" w:rsidRDefault="00A54F3B">
      <w:pPr>
        <w:suppressAutoHyphens/>
        <w:spacing w:line="228" w:lineRule="auto"/>
        <w:rPr>
          <w:rFonts w:ascii="Arial" w:hAnsi="Arial"/>
          <w:spacing w:val="-2"/>
          <w:sz w:val="24"/>
          <w:lang w:val="fr-CA"/>
        </w:rPr>
      </w:pPr>
    </w:p>
    <w:p w:rsidR="00A54F3B" w:rsidRPr="00C62B16" w:rsidRDefault="00815097">
      <w:pPr>
        <w:numPr>
          <w:ilvl w:val="1"/>
          <w:numId w:val="1"/>
        </w:numPr>
        <w:suppressAutoHyphens/>
        <w:spacing w:line="228" w:lineRule="auto"/>
        <w:rPr>
          <w:rFonts w:ascii="Arial" w:hAnsi="Arial"/>
          <w:spacing w:val="-2"/>
          <w:sz w:val="24"/>
          <w:lang w:val="fr-CA"/>
        </w:rPr>
      </w:pPr>
      <w:r w:rsidRPr="00C62B16">
        <w:rPr>
          <w:rFonts w:ascii="Arial" w:hAnsi="Arial"/>
          <w:spacing w:val="-2"/>
          <w:sz w:val="24"/>
          <w:lang w:val="fr-CA"/>
        </w:rPr>
        <w:t xml:space="preserve">Prendre </w:t>
      </w:r>
      <w:r w:rsidR="009A4050" w:rsidRPr="00C62B16">
        <w:rPr>
          <w:rFonts w:ascii="Arial" w:hAnsi="Arial"/>
          <w:spacing w:val="-2"/>
          <w:sz w:val="24"/>
          <w:lang w:val="fr-CA"/>
        </w:rPr>
        <w:t xml:space="preserve">une pipette propre, déprimer la poire en caoutchouc et insérer le bout de la pipette au fond du tube. Appliquer une légère succion et retirer un petit volume de globules rouges du fond du tube, puis rincer la pipette avec de la solution saline </w:t>
      </w:r>
      <w:r w:rsidR="00074619" w:rsidRPr="00C62B16">
        <w:rPr>
          <w:rFonts w:ascii="Arial" w:hAnsi="Arial"/>
          <w:spacing w:val="-2"/>
          <w:sz w:val="24"/>
          <w:lang w:val="fr-CA"/>
        </w:rPr>
        <w:t xml:space="preserve">normale </w:t>
      </w:r>
      <w:r w:rsidR="009A4050" w:rsidRPr="00C62B16">
        <w:rPr>
          <w:rFonts w:ascii="Arial" w:hAnsi="Arial"/>
          <w:spacing w:val="-2"/>
          <w:sz w:val="24"/>
          <w:lang w:val="fr-CA"/>
        </w:rPr>
        <w:t xml:space="preserve">dans le tube étiqueté « bas ». </w:t>
      </w:r>
    </w:p>
    <w:p w:rsidR="00A54F3B" w:rsidRPr="009A4050" w:rsidRDefault="00A54F3B">
      <w:pPr>
        <w:suppressAutoHyphens/>
        <w:spacing w:line="228" w:lineRule="auto"/>
        <w:ind w:left="1440"/>
        <w:rPr>
          <w:rFonts w:ascii="Arial" w:hAnsi="Arial"/>
          <w:spacing w:val="-2"/>
          <w:sz w:val="24"/>
          <w:lang w:val="fr-CA"/>
        </w:rPr>
      </w:pPr>
    </w:p>
    <w:p w:rsidR="00A54F3B" w:rsidRPr="009A4050" w:rsidRDefault="009A4050" w:rsidP="00B9188A">
      <w:pPr>
        <w:numPr>
          <w:ilvl w:val="1"/>
          <w:numId w:val="1"/>
        </w:numPr>
        <w:spacing w:line="228" w:lineRule="auto"/>
        <w:rPr>
          <w:rFonts w:ascii="Arial" w:hAnsi="Arial"/>
          <w:sz w:val="24"/>
          <w:lang w:val="fr-CA"/>
        </w:rPr>
      </w:pPr>
      <w:r w:rsidRPr="009A4050">
        <w:rPr>
          <w:rFonts w:ascii="Arial" w:hAnsi="Arial"/>
          <w:spacing w:val="-2"/>
          <w:sz w:val="24"/>
          <w:lang w:val="fr-CA"/>
        </w:rPr>
        <w:t xml:space="preserve">Analyser en parallèle la portion </w:t>
      </w:r>
      <w:r w:rsidR="00A54F3B" w:rsidRPr="009A4050">
        <w:rPr>
          <w:rFonts w:ascii="Arial" w:hAnsi="Arial"/>
          <w:spacing w:val="-2"/>
          <w:sz w:val="24"/>
          <w:lang w:val="fr-CA"/>
        </w:rPr>
        <w:t>RR (</w:t>
      </w:r>
      <w:r w:rsidRPr="009A4050">
        <w:rPr>
          <w:rFonts w:ascii="Arial" w:hAnsi="Arial"/>
          <w:spacing w:val="-2"/>
          <w:sz w:val="24"/>
          <w:lang w:val="fr-CA"/>
        </w:rPr>
        <w:t>haut</w:t>
      </w:r>
      <w:r w:rsidR="00A54F3B" w:rsidRPr="009A4050">
        <w:rPr>
          <w:rFonts w:ascii="Arial" w:hAnsi="Arial"/>
          <w:spacing w:val="-2"/>
          <w:sz w:val="24"/>
          <w:lang w:val="fr-CA"/>
        </w:rPr>
        <w:t xml:space="preserve">) </w:t>
      </w:r>
      <w:r w:rsidRPr="009A4050">
        <w:rPr>
          <w:rFonts w:ascii="Arial" w:hAnsi="Arial"/>
          <w:spacing w:val="-2"/>
          <w:sz w:val="24"/>
          <w:lang w:val="fr-CA"/>
        </w:rPr>
        <w:t>et la portion PR</w:t>
      </w:r>
      <w:r w:rsidR="00A54F3B" w:rsidRPr="009A4050">
        <w:rPr>
          <w:rFonts w:ascii="Arial" w:hAnsi="Arial"/>
          <w:spacing w:val="-2"/>
          <w:sz w:val="24"/>
          <w:lang w:val="fr-CA"/>
        </w:rPr>
        <w:t xml:space="preserve"> (</w:t>
      </w:r>
      <w:r w:rsidRPr="009A4050">
        <w:rPr>
          <w:rFonts w:ascii="Arial" w:hAnsi="Arial"/>
          <w:spacing w:val="-2"/>
          <w:sz w:val="24"/>
          <w:lang w:val="fr-CA"/>
        </w:rPr>
        <w:t>bas) ainsi que les globules rouges non séparés dans le cadre d’une TDA et de phénotypage de globules rouges</w:t>
      </w:r>
      <w:r w:rsidR="00A54F3B" w:rsidRPr="009A4050">
        <w:rPr>
          <w:rFonts w:ascii="Arial" w:hAnsi="Arial"/>
          <w:spacing w:val="-2"/>
          <w:sz w:val="24"/>
          <w:lang w:val="fr-CA"/>
        </w:rPr>
        <w:t xml:space="preserve">. </w:t>
      </w:r>
      <w:r w:rsidR="00B9188A" w:rsidRPr="009A4050">
        <w:rPr>
          <w:rFonts w:ascii="Arial" w:hAnsi="Arial"/>
          <w:spacing w:val="-2"/>
          <w:sz w:val="24"/>
          <w:lang w:val="fr-CA"/>
        </w:rPr>
        <w:t>Voir AR.00</w:t>
      </w:r>
      <w:r w:rsidR="003B3B87">
        <w:rPr>
          <w:rFonts w:ascii="Arial" w:hAnsi="Arial"/>
          <w:spacing w:val="-2"/>
          <w:sz w:val="24"/>
          <w:lang w:val="fr-CA"/>
        </w:rPr>
        <w:t xml:space="preserve">7 </w:t>
      </w:r>
      <w:r w:rsidR="003B3B87" w:rsidRPr="009A4050">
        <w:rPr>
          <w:rFonts w:ascii="Arial" w:hAnsi="Arial"/>
          <w:spacing w:val="-2"/>
          <w:sz w:val="24"/>
          <w:lang w:val="fr-CA"/>
        </w:rPr>
        <w:t xml:space="preserve">– </w:t>
      </w:r>
      <w:r w:rsidR="00B9188A" w:rsidRPr="009A4050">
        <w:rPr>
          <w:rFonts w:ascii="Arial" w:hAnsi="Arial"/>
          <w:spacing w:val="-2"/>
          <w:sz w:val="24"/>
          <w:lang w:val="fr-CA"/>
        </w:rPr>
        <w:t>Test direct à l’</w:t>
      </w:r>
      <w:proofErr w:type="spellStart"/>
      <w:r w:rsidR="00B9188A" w:rsidRPr="009A4050">
        <w:rPr>
          <w:rFonts w:ascii="Arial" w:hAnsi="Arial"/>
          <w:spacing w:val="-2"/>
          <w:sz w:val="24"/>
          <w:lang w:val="fr-CA"/>
        </w:rPr>
        <w:t>antiglobuline</w:t>
      </w:r>
      <w:proofErr w:type="spellEnd"/>
      <w:r w:rsidR="00B9188A" w:rsidRPr="009A4050">
        <w:rPr>
          <w:rFonts w:ascii="Arial" w:hAnsi="Arial"/>
          <w:spacing w:val="-2"/>
          <w:sz w:val="24"/>
          <w:lang w:val="fr-CA"/>
        </w:rPr>
        <w:t xml:space="preserve"> et EC.009 Typage des antigènes – Agglutination directe et indirect</w:t>
      </w:r>
      <w:r w:rsidR="00344CA6">
        <w:rPr>
          <w:rFonts w:ascii="Arial" w:hAnsi="Arial"/>
          <w:spacing w:val="-2"/>
          <w:sz w:val="24"/>
          <w:lang w:val="fr-CA"/>
        </w:rPr>
        <w:t>e</w:t>
      </w:r>
      <w:r w:rsidR="00B9188A" w:rsidRPr="009A4050">
        <w:rPr>
          <w:rFonts w:ascii="Arial" w:hAnsi="Arial"/>
          <w:spacing w:val="-2"/>
          <w:sz w:val="24"/>
          <w:lang w:val="fr-CA"/>
        </w:rPr>
        <w:t>.</w:t>
      </w:r>
    </w:p>
    <w:p w:rsidR="00A54F3B" w:rsidRPr="009A4050" w:rsidRDefault="00A54F3B">
      <w:pPr>
        <w:spacing w:line="228" w:lineRule="auto"/>
        <w:rPr>
          <w:rFonts w:ascii="Arial" w:hAnsi="Arial"/>
          <w:lang w:val="fr-CA"/>
        </w:rPr>
      </w:pPr>
      <w:r w:rsidRPr="009A4050">
        <w:rPr>
          <w:rFonts w:ascii="Arial" w:hAnsi="Arial"/>
          <w:spacing w:val="-2"/>
          <w:sz w:val="24"/>
          <w:lang w:val="fr-CA"/>
        </w:rPr>
        <w:t xml:space="preserve"> </w:t>
      </w:r>
    </w:p>
    <w:p w:rsidR="00A54F3B" w:rsidRPr="009A4050" w:rsidRDefault="00B9188A" w:rsidP="00B9188A">
      <w:pPr>
        <w:numPr>
          <w:ilvl w:val="1"/>
          <w:numId w:val="1"/>
        </w:numPr>
        <w:spacing w:line="228" w:lineRule="auto"/>
        <w:rPr>
          <w:rFonts w:ascii="Arial" w:hAnsi="Arial"/>
          <w:sz w:val="24"/>
          <w:lang w:val="fr-CA"/>
        </w:rPr>
      </w:pPr>
      <w:r w:rsidRPr="009A4050">
        <w:rPr>
          <w:rFonts w:ascii="Arial" w:hAnsi="Arial"/>
          <w:spacing w:val="-2"/>
          <w:sz w:val="24"/>
          <w:lang w:val="fr-CA"/>
        </w:rPr>
        <w:t>Observer attentivement la portion RR à la recherche d</w:t>
      </w:r>
      <w:r w:rsidR="00B20A5F">
        <w:rPr>
          <w:rFonts w:ascii="Arial" w:hAnsi="Arial"/>
          <w:spacing w:val="-2"/>
          <w:sz w:val="24"/>
          <w:lang w:val="fr-CA"/>
        </w:rPr>
        <w:t>’</w:t>
      </w:r>
      <w:r w:rsidRPr="009A4050">
        <w:rPr>
          <w:rFonts w:ascii="Arial" w:hAnsi="Arial"/>
          <w:spacing w:val="-2"/>
          <w:sz w:val="24"/>
          <w:lang w:val="fr-CA"/>
        </w:rPr>
        <w:t>agglutination de type champ mixte pour s</w:t>
      </w:r>
      <w:r w:rsidR="00B20A5F">
        <w:rPr>
          <w:rFonts w:ascii="Arial" w:hAnsi="Arial"/>
          <w:spacing w:val="-2"/>
          <w:sz w:val="24"/>
          <w:lang w:val="fr-CA"/>
        </w:rPr>
        <w:t>’</w:t>
      </w:r>
      <w:r w:rsidRPr="009A4050">
        <w:rPr>
          <w:rFonts w:ascii="Arial" w:hAnsi="Arial"/>
          <w:spacing w:val="-2"/>
          <w:sz w:val="24"/>
          <w:lang w:val="fr-CA"/>
        </w:rPr>
        <w:t>assurer que la séparation cellulaire a bien réussi à isoler les globules rouges autologues.</w:t>
      </w:r>
    </w:p>
    <w:p w:rsidR="00A54F3B" w:rsidRPr="009A4050" w:rsidRDefault="00A54F3B">
      <w:pPr>
        <w:spacing w:line="228" w:lineRule="auto"/>
        <w:ind w:left="720"/>
        <w:rPr>
          <w:rFonts w:ascii="Arial" w:hAnsi="Arial"/>
          <w:lang w:val="fr-CA"/>
        </w:rPr>
      </w:pPr>
    </w:p>
    <w:p w:rsidR="00A54F3B" w:rsidRPr="009A4050" w:rsidRDefault="00B9188A" w:rsidP="00B9188A">
      <w:pPr>
        <w:numPr>
          <w:ilvl w:val="0"/>
          <w:numId w:val="1"/>
        </w:numPr>
        <w:spacing w:line="228" w:lineRule="auto"/>
        <w:rPr>
          <w:rFonts w:ascii="Arial" w:hAnsi="Arial"/>
          <w:b/>
          <w:sz w:val="28"/>
          <w:lang w:val="fr-CA"/>
        </w:rPr>
      </w:pPr>
      <w:r w:rsidRPr="009A4050">
        <w:rPr>
          <w:rFonts w:ascii="Arial" w:hAnsi="Arial"/>
          <w:b/>
          <w:sz w:val="28"/>
          <w:lang w:val="fr-CA"/>
        </w:rPr>
        <w:t>Documentation - S.O.</w:t>
      </w:r>
    </w:p>
    <w:p w:rsidR="00A54F3B" w:rsidRPr="009A4050" w:rsidRDefault="00A54F3B">
      <w:pPr>
        <w:spacing w:line="228" w:lineRule="auto"/>
        <w:rPr>
          <w:rFonts w:ascii="Arial" w:hAnsi="Arial"/>
          <w:b/>
          <w:lang w:val="fr-CA"/>
        </w:rPr>
      </w:pPr>
    </w:p>
    <w:p w:rsidR="00A54F3B" w:rsidRPr="009A4050" w:rsidRDefault="00B9188A" w:rsidP="00B9188A">
      <w:pPr>
        <w:numPr>
          <w:ilvl w:val="0"/>
          <w:numId w:val="1"/>
        </w:numPr>
        <w:spacing w:line="228" w:lineRule="auto"/>
        <w:rPr>
          <w:rFonts w:ascii="Arial" w:hAnsi="Arial"/>
          <w:b/>
          <w:sz w:val="28"/>
          <w:lang w:val="fr-CA"/>
        </w:rPr>
      </w:pPr>
      <w:r w:rsidRPr="009A4050">
        <w:rPr>
          <w:rFonts w:ascii="Arial" w:hAnsi="Arial"/>
          <w:b/>
          <w:sz w:val="28"/>
          <w:lang w:val="fr-CA"/>
        </w:rPr>
        <w:t>Remarques</w:t>
      </w:r>
    </w:p>
    <w:p w:rsidR="00A54F3B" w:rsidRPr="009A4050" w:rsidRDefault="00A54F3B">
      <w:pPr>
        <w:spacing w:line="228" w:lineRule="auto"/>
        <w:rPr>
          <w:rFonts w:ascii="Arial" w:hAnsi="Arial"/>
          <w:b/>
          <w:lang w:val="fr-CA"/>
        </w:rPr>
      </w:pPr>
    </w:p>
    <w:p w:rsidR="00A54F3B" w:rsidRPr="009A4050" w:rsidRDefault="009A4050">
      <w:pPr>
        <w:numPr>
          <w:ilvl w:val="1"/>
          <w:numId w:val="1"/>
        </w:numPr>
        <w:suppressAutoHyphens/>
        <w:spacing w:line="228" w:lineRule="auto"/>
        <w:rPr>
          <w:rFonts w:ascii="Arial" w:hAnsi="Arial"/>
          <w:sz w:val="24"/>
          <w:lang w:val="fr-CA"/>
        </w:rPr>
      </w:pPr>
      <w:r w:rsidRPr="009A4050">
        <w:rPr>
          <w:rFonts w:ascii="Arial" w:hAnsi="Arial"/>
          <w:spacing w:val="-2"/>
          <w:sz w:val="24"/>
          <w:lang w:val="fr-CA"/>
        </w:rPr>
        <w:t>Le délai entre la transfusion du patient et le prélèvement de l’échantillon sanguin de même que le nombre d’unités transfusées auront un impact sur l’efficacité de cette procédure.</w:t>
      </w:r>
      <w:r w:rsidR="00FF6DD8">
        <w:rPr>
          <w:rFonts w:ascii="Arial" w:hAnsi="Arial"/>
          <w:spacing w:val="-2"/>
          <w:sz w:val="24"/>
          <w:lang w:val="fr-CA"/>
        </w:rPr>
        <w:t xml:space="preserve"> </w:t>
      </w:r>
    </w:p>
    <w:p w:rsidR="00A54F3B" w:rsidRPr="009A4050" w:rsidRDefault="00A54F3B">
      <w:pPr>
        <w:suppressAutoHyphens/>
        <w:spacing w:line="228" w:lineRule="auto"/>
        <w:ind w:left="720"/>
        <w:rPr>
          <w:rFonts w:ascii="Arial" w:hAnsi="Arial"/>
          <w:spacing w:val="-2"/>
          <w:sz w:val="24"/>
          <w:lang w:val="fr-CA"/>
        </w:rPr>
      </w:pPr>
    </w:p>
    <w:p w:rsidR="00A54F3B" w:rsidRPr="009A4050" w:rsidRDefault="009A4050">
      <w:pPr>
        <w:numPr>
          <w:ilvl w:val="1"/>
          <w:numId w:val="1"/>
        </w:numPr>
        <w:suppressAutoHyphens/>
        <w:spacing w:line="228" w:lineRule="auto"/>
        <w:rPr>
          <w:rFonts w:ascii="Arial" w:hAnsi="Arial"/>
          <w:spacing w:val="-2"/>
          <w:sz w:val="24"/>
          <w:lang w:val="fr-CA"/>
        </w:rPr>
      </w:pPr>
      <w:r w:rsidRPr="009A4050">
        <w:rPr>
          <w:rFonts w:ascii="Arial" w:hAnsi="Arial"/>
          <w:spacing w:val="-2"/>
          <w:sz w:val="24"/>
          <w:lang w:val="fr-CA"/>
        </w:rPr>
        <w:t>Le patient doit produire des ré</w:t>
      </w:r>
      <w:r w:rsidR="00A54F3B" w:rsidRPr="009A4050">
        <w:rPr>
          <w:rFonts w:ascii="Arial" w:hAnsi="Arial"/>
          <w:spacing w:val="-2"/>
          <w:sz w:val="24"/>
          <w:lang w:val="fr-CA"/>
        </w:rPr>
        <w:t>ticulocytes</w:t>
      </w:r>
      <w:r w:rsidR="003B3B87">
        <w:rPr>
          <w:rFonts w:ascii="Arial" w:hAnsi="Arial"/>
          <w:spacing w:val="-2"/>
          <w:sz w:val="24"/>
          <w:lang w:val="fr-CA"/>
        </w:rPr>
        <w:t xml:space="preserve"> pour que cette méthode donne des résultats</w:t>
      </w:r>
      <w:r w:rsidR="00A54F3B" w:rsidRPr="009A4050">
        <w:rPr>
          <w:rFonts w:ascii="Arial" w:hAnsi="Arial"/>
          <w:spacing w:val="-2"/>
          <w:sz w:val="24"/>
          <w:lang w:val="fr-CA"/>
        </w:rPr>
        <w:t>.</w:t>
      </w:r>
    </w:p>
    <w:p w:rsidR="00A54F3B" w:rsidRPr="009A4050" w:rsidRDefault="00A54F3B">
      <w:pPr>
        <w:spacing w:line="228" w:lineRule="auto"/>
        <w:rPr>
          <w:rFonts w:ascii="Arial" w:hAnsi="Arial"/>
          <w:lang w:val="fr-CA"/>
        </w:rPr>
      </w:pPr>
      <w:r w:rsidRPr="009A4050">
        <w:rPr>
          <w:rFonts w:ascii="Arial" w:hAnsi="Arial"/>
          <w:sz w:val="24"/>
          <w:lang w:val="fr-CA"/>
        </w:rPr>
        <w:t xml:space="preserve"> </w:t>
      </w:r>
    </w:p>
    <w:p w:rsidR="00A54F3B" w:rsidRPr="009A4050" w:rsidRDefault="00B9188A" w:rsidP="00B9188A">
      <w:pPr>
        <w:numPr>
          <w:ilvl w:val="0"/>
          <w:numId w:val="1"/>
        </w:numPr>
        <w:spacing w:line="228" w:lineRule="auto"/>
        <w:rPr>
          <w:rFonts w:ascii="Arial" w:hAnsi="Arial"/>
          <w:b/>
          <w:sz w:val="28"/>
          <w:lang w:val="fr-CA"/>
        </w:rPr>
      </w:pPr>
      <w:r w:rsidRPr="009A4050">
        <w:rPr>
          <w:rFonts w:ascii="Arial" w:hAnsi="Arial"/>
          <w:b/>
          <w:sz w:val="28"/>
          <w:lang w:val="fr-CA"/>
        </w:rPr>
        <w:t>Références</w:t>
      </w:r>
    </w:p>
    <w:p w:rsidR="00A54F3B" w:rsidRPr="009A4050" w:rsidRDefault="00A54F3B">
      <w:pPr>
        <w:pStyle w:val="Header"/>
        <w:tabs>
          <w:tab w:val="clear" w:pos="4320"/>
          <w:tab w:val="clear" w:pos="8640"/>
        </w:tabs>
        <w:spacing w:line="228" w:lineRule="auto"/>
        <w:rPr>
          <w:rFonts w:ascii="Arial" w:hAnsi="Arial"/>
          <w:lang w:val="fr-CA"/>
        </w:rPr>
      </w:pPr>
    </w:p>
    <w:p w:rsidR="00A54F3B" w:rsidRPr="009A4050" w:rsidRDefault="009A4050">
      <w:pPr>
        <w:numPr>
          <w:ilvl w:val="1"/>
          <w:numId w:val="1"/>
        </w:numPr>
        <w:spacing w:line="228" w:lineRule="auto"/>
        <w:rPr>
          <w:rFonts w:ascii="Arial" w:hAnsi="Arial"/>
          <w:sz w:val="24"/>
          <w:lang w:val="fr-CA"/>
        </w:rPr>
      </w:pPr>
      <w:r w:rsidRPr="009A4050">
        <w:rPr>
          <w:rFonts w:ascii="Arial" w:hAnsi="Arial"/>
          <w:spacing w:val="-2"/>
          <w:sz w:val="24"/>
          <w:lang w:val="fr-CA"/>
        </w:rPr>
        <w:t>Méthode interne élaborée à L’Hôpital d’</w:t>
      </w:r>
      <w:r w:rsidR="00A54F3B" w:rsidRPr="009A4050">
        <w:rPr>
          <w:rFonts w:ascii="Arial" w:hAnsi="Arial"/>
          <w:spacing w:val="-2"/>
          <w:sz w:val="24"/>
          <w:lang w:val="fr-CA"/>
        </w:rPr>
        <w:t>Ottawa</w:t>
      </w:r>
      <w:r w:rsidRPr="009A4050">
        <w:rPr>
          <w:rFonts w:ascii="Arial" w:hAnsi="Arial"/>
          <w:spacing w:val="-2"/>
          <w:sz w:val="24"/>
          <w:lang w:val="fr-CA"/>
        </w:rPr>
        <w:t xml:space="preserve"> à partir de principes énoncés</w:t>
      </w:r>
      <w:r w:rsidR="00A54F3B" w:rsidRPr="009A4050">
        <w:rPr>
          <w:rFonts w:ascii="Arial" w:hAnsi="Arial"/>
          <w:spacing w:val="-2"/>
          <w:sz w:val="24"/>
          <w:lang w:val="fr-CA"/>
        </w:rPr>
        <w:t>.</w:t>
      </w:r>
    </w:p>
    <w:p w:rsidR="003676A1" w:rsidRPr="00767813" w:rsidRDefault="003676A1" w:rsidP="003676A1">
      <w:pPr>
        <w:rPr>
          <w:rFonts w:ascii="Arial" w:hAnsi="Arial"/>
          <w:noProof/>
          <w:sz w:val="24"/>
          <w:lang w:val="fr-CA"/>
        </w:rPr>
      </w:pPr>
      <w:r>
        <w:rPr>
          <w:rFonts w:ascii="Arial" w:hAnsi="Arial"/>
          <w:noProof/>
          <w:sz w:val="24"/>
          <w:lang w:val="fr-CA"/>
        </w:rPr>
        <w:br w:type="page"/>
      </w:r>
    </w:p>
    <w:p w:rsidR="003676A1" w:rsidRPr="00AA3396" w:rsidRDefault="003676A1" w:rsidP="003676A1">
      <w:pPr>
        <w:pStyle w:val="ListParagraph"/>
        <w:numPr>
          <w:ilvl w:val="0"/>
          <w:numId w:val="13"/>
        </w:numPr>
        <w:contextualSpacing/>
        <w:rPr>
          <w:rFonts w:ascii="Arial" w:hAnsi="Arial"/>
          <w:b/>
          <w:sz w:val="28"/>
          <w:lang w:val="fr-CA"/>
        </w:rPr>
      </w:pPr>
      <w:r w:rsidRPr="00AA3396">
        <w:rPr>
          <w:rFonts w:ascii="Arial" w:hAnsi="Arial"/>
          <w:b/>
          <w:sz w:val="28"/>
          <w:lang w:val="fr-CA"/>
        </w:rPr>
        <w:t>Suivi des révisions</w:t>
      </w:r>
      <w:r>
        <w:rPr>
          <w:rFonts w:ascii="Arial" w:hAnsi="Arial"/>
          <w:b/>
          <w:sz w:val="28"/>
          <w:lang w:val="fr-CA"/>
        </w:rPr>
        <w:softHyphen/>
      </w:r>
    </w:p>
    <w:p w:rsidR="003676A1" w:rsidRPr="00AA3396" w:rsidRDefault="003676A1" w:rsidP="003676A1">
      <w:pPr>
        <w:pStyle w:val="ListParagraph"/>
        <w:jc w:val="cente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5755"/>
      </w:tblGrid>
      <w:tr w:rsidR="003676A1" w:rsidRPr="00AA3396" w:rsidTr="00E60D72">
        <w:trPr>
          <w:cantSplit/>
        </w:trPr>
        <w:tc>
          <w:tcPr>
            <w:tcW w:w="2943" w:type="dxa"/>
            <w:shd w:val="clear" w:color="auto" w:fill="F2F2F2"/>
          </w:tcPr>
          <w:p w:rsidR="003676A1" w:rsidRPr="004050E8" w:rsidRDefault="003676A1" w:rsidP="00E60D72">
            <w:pPr>
              <w:jc w:val="center"/>
              <w:rPr>
                <w:rFonts w:ascii="Arial" w:hAnsi="Arial" w:cs="Arial"/>
                <w:b/>
                <w:sz w:val="22"/>
                <w:szCs w:val="22"/>
                <w:lang w:val="fr-CA"/>
              </w:rPr>
            </w:pPr>
            <w:r>
              <w:rPr>
                <w:rFonts w:ascii="Arial" w:hAnsi="Arial" w:cs="Arial"/>
                <w:b/>
                <w:sz w:val="22"/>
                <w:szCs w:val="22"/>
                <w:lang w:val="fr-CA"/>
              </w:rPr>
              <w:t>Date de la révision</w:t>
            </w:r>
          </w:p>
        </w:tc>
        <w:tc>
          <w:tcPr>
            <w:tcW w:w="5913" w:type="dxa"/>
            <w:shd w:val="clear" w:color="auto" w:fill="F2F2F2"/>
          </w:tcPr>
          <w:p w:rsidR="003676A1" w:rsidRPr="004050E8" w:rsidRDefault="003676A1" w:rsidP="00E60D72">
            <w:pPr>
              <w:jc w:val="center"/>
              <w:rPr>
                <w:rFonts w:ascii="Arial" w:hAnsi="Arial" w:cs="Arial"/>
                <w:b/>
                <w:sz w:val="22"/>
                <w:szCs w:val="22"/>
                <w:lang w:val="fr-CA"/>
              </w:rPr>
            </w:pPr>
            <w:r>
              <w:rPr>
                <w:rFonts w:ascii="Arial" w:hAnsi="Arial" w:cs="Arial"/>
                <w:b/>
                <w:sz w:val="22"/>
                <w:szCs w:val="22"/>
                <w:lang w:val="fr-CA"/>
              </w:rPr>
              <w:t>Résumé des changements</w:t>
            </w:r>
          </w:p>
        </w:tc>
      </w:tr>
      <w:tr w:rsidR="003676A1" w:rsidRPr="00AA3396" w:rsidTr="00E60D72">
        <w:trPr>
          <w:cantSplit/>
          <w:trHeight w:val="1373"/>
        </w:trPr>
        <w:tc>
          <w:tcPr>
            <w:tcW w:w="2943" w:type="dxa"/>
          </w:tcPr>
          <w:p w:rsidR="003676A1" w:rsidRPr="00AA3396" w:rsidRDefault="003676A1" w:rsidP="00E60D72">
            <w:pPr>
              <w:keepLines/>
              <w:widowControl w:val="0"/>
              <w:rPr>
                <w:rFonts w:ascii="Arial" w:hAnsi="Arial"/>
                <w:sz w:val="22"/>
                <w:szCs w:val="22"/>
                <w:lang w:val="fr-CA"/>
              </w:rPr>
            </w:pPr>
            <w:r>
              <w:rPr>
                <w:rFonts w:ascii="Arial" w:hAnsi="Arial"/>
                <w:sz w:val="22"/>
                <w:szCs w:val="22"/>
                <w:lang w:val="fr-CA"/>
              </w:rPr>
              <w:t>1</w:t>
            </w:r>
            <w:r w:rsidRPr="007E6852">
              <w:rPr>
                <w:rFonts w:ascii="Arial" w:hAnsi="Arial"/>
                <w:sz w:val="22"/>
                <w:szCs w:val="22"/>
                <w:vertAlign w:val="superscript"/>
                <w:lang w:val="fr-CA"/>
              </w:rPr>
              <w:t>er</w:t>
            </w:r>
            <w:r>
              <w:rPr>
                <w:rFonts w:ascii="Arial" w:hAnsi="Arial"/>
                <w:sz w:val="22"/>
                <w:szCs w:val="22"/>
                <w:lang w:val="fr-CA"/>
              </w:rPr>
              <w:t xml:space="preserve"> septembre</w:t>
            </w:r>
            <w:r w:rsidRPr="00AA3396">
              <w:rPr>
                <w:rFonts w:ascii="Arial" w:hAnsi="Arial"/>
                <w:sz w:val="22"/>
                <w:szCs w:val="22"/>
                <w:lang w:val="fr-CA"/>
              </w:rPr>
              <w:t xml:space="preserve"> 2014 </w:t>
            </w:r>
          </w:p>
        </w:tc>
        <w:tc>
          <w:tcPr>
            <w:tcW w:w="5913" w:type="dxa"/>
          </w:tcPr>
          <w:p w:rsidR="003676A1" w:rsidRPr="00F07732" w:rsidRDefault="003676A1" w:rsidP="003676A1">
            <w:pPr>
              <w:pStyle w:val="ListParagraph"/>
              <w:numPr>
                <w:ilvl w:val="0"/>
                <w:numId w:val="14"/>
              </w:numPr>
              <w:contextualSpacing/>
              <w:rPr>
                <w:rFonts w:ascii="Arial" w:hAnsi="Arial" w:cs="Arial"/>
                <w:sz w:val="22"/>
                <w:szCs w:val="22"/>
                <w:lang w:val="fr-CA"/>
              </w:rPr>
            </w:pPr>
            <w:r w:rsidRPr="00F07732">
              <w:rPr>
                <w:rFonts w:ascii="Arial" w:hAnsi="Arial" w:cs="Arial"/>
                <w:sz w:val="22"/>
                <w:szCs w:val="22"/>
                <w:lang w:val="fr-CA"/>
              </w:rPr>
              <w:t>Changement du nom du manuel</w:t>
            </w:r>
          </w:p>
          <w:p w:rsidR="003676A1" w:rsidRDefault="003676A1" w:rsidP="003676A1">
            <w:pPr>
              <w:pStyle w:val="ListParagraph"/>
              <w:numPr>
                <w:ilvl w:val="0"/>
                <w:numId w:val="14"/>
              </w:numPr>
              <w:contextualSpacing/>
              <w:rPr>
                <w:rFonts w:ascii="Arial" w:hAnsi="Arial" w:cs="Arial"/>
                <w:sz w:val="22"/>
                <w:szCs w:val="22"/>
                <w:lang w:val="fr-CA"/>
              </w:rPr>
            </w:pPr>
            <w:r>
              <w:rPr>
                <w:rFonts w:ascii="Arial" w:hAnsi="Arial" w:cs="Arial"/>
                <w:sz w:val="22"/>
                <w:szCs w:val="22"/>
                <w:lang w:val="fr-CA"/>
              </w:rPr>
              <w:t>Révision du libellé des sections 1.0 et 2.0</w:t>
            </w:r>
          </w:p>
          <w:p w:rsidR="003B3B87" w:rsidRDefault="003676A1" w:rsidP="003676A1">
            <w:pPr>
              <w:pStyle w:val="BodyTextIndent2"/>
              <w:keepLines/>
              <w:widowControl w:val="0"/>
              <w:numPr>
                <w:ilvl w:val="0"/>
                <w:numId w:val="12"/>
              </w:numPr>
              <w:contextualSpacing/>
              <w:rPr>
                <w:rFonts w:cs="Arial"/>
                <w:sz w:val="22"/>
                <w:szCs w:val="22"/>
                <w:lang w:val="fr-CA"/>
              </w:rPr>
            </w:pPr>
            <w:r w:rsidRPr="008F45F6">
              <w:rPr>
                <w:rFonts w:cs="Arial"/>
                <w:sz w:val="22"/>
                <w:szCs w:val="22"/>
                <w:lang w:val="fr-CA"/>
              </w:rPr>
              <w:t xml:space="preserve">Remplacement de </w:t>
            </w:r>
            <w:r w:rsidR="003B3B87">
              <w:rPr>
                <w:rFonts w:cs="Arial"/>
                <w:sz w:val="22"/>
                <w:szCs w:val="22"/>
                <w:lang w:val="fr-CA"/>
              </w:rPr>
              <w:t>« globules rouges » par « sang total » à la section</w:t>
            </w:r>
            <w:r w:rsidR="00B20A5F">
              <w:rPr>
                <w:rFonts w:cs="Arial"/>
                <w:sz w:val="22"/>
                <w:szCs w:val="22"/>
                <w:lang w:val="fr-CA"/>
              </w:rPr>
              <w:t> </w:t>
            </w:r>
            <w:r w:rsidR="003B3B87">
              <w:rPr>
                <w:rFonts w:cs="Arial"/>
                <w:sz w:val="22"/>
                <w:szCs w:val="22"/>
                <w:lang w:val="fr-CA"/>
              </w:rPr>
              <w:t>3.0</w:t>
            </w:r>
          </w:p>
          <w:p w:rsidR="003B3B87" w:rsidRDefault="003B3B87" w:rsidP="003676A1">
            <w:pPr>
              <w:pStyle w:val="BodyTextIndent2"/>
              <w:keepLines/>
              <w:widowControl w:val="0"/>
              <w:numPr>
                <w:ilvl w:val="0"/>
                <w:numId w:val="12"/>
              </w:numPr>
              <w:contextualSpacing/>
              <w:rPr>
                <w:rFonts w:cs="Arial"/>
                <w:sz w:val="22"/>
                <w:szCs w:val="22"/>
                <w:lang w:val="fr-CA"/>
              </w:rPr>
            </w:pPr>
            <w:r>
              <w:rPr>
                <w:rFonts w:cs="Arial"/>
                <w:sz w:val="22"/>
                <w:szCs w:val="22"/>
                <w:lang w:val="fr-CA"/>
              </w:rPr>
              <w:t>Changement du numéro de la procédure, de AR.004 à AR.007 au paragraphe</w:t>
            </w:r>
            <w:r w:rsidR="00B20A5F">
              <w:rPr>
                <w:rFonts w:cs="Arial"/>
                <w:sz w:val="22"/>
                <w:szCs w:val="22"/>
                <w:lang w:val="fr-CA"/>
              </w:rPr>
              <w:t> </w:t>
            </w:r>
            <w:r>
              <w:rPr>
                <w:rFonts w:cs="Arial"/>
                <w:sz w:val="22"/>
                <w:szCs w:val="22"/>
                <w:lang w:val="fr-CA"/>
              </w:rPr>
              <w:t>6.10</w:t>
            </w:r>
          </w:p>
          <w:p w:rsidR="003676A1" w:rsidRPr="00C62B16" w:rsidRDefault="003B3B87" w:rsidP="00C62B16">
            <w:pPr>
              <w:numPr>
                <w:ilvl w:val="0"/>
                <w:numId w:val="12"/>
              </w:numPr>
              <w:suppressAutoHyphens/>
              <w:spacing w:line="228" w:lineRule="auto"/>
              <w:rPr>
                <w:rFonts w:ascii="Arial" w:hAnsi="Arial" w:cs="Arial"/>
                <w:sz w:val="22"/>
                <w:szCs w:val="22"/>
                <w:lang w:val="fr-CA"/>
              </w:rPr>
            </w:pPr>
            <w:r w:rsidRPr="003B3B87">
              <w:rPr>
                <w:rFonts w:ascii="Arial" w:hAnsi="Arial" w:cs="Arial"/>
                <w:sz w:val="22"/>
                <w:szCs w:val="22"/>
                <w:lang w:val="fr-CA"/>
              </w:rPr>
              <w:t>Ajout de</w:t>
            </w:r>
            <w:r>
              <w:rPr>
                <w:rFonts w:ascii="Arial" w:hAnsi="Arial" w:cs="Arial"/>
                <w:sz w:val="22"/>
                <w:szCs w:val="22"/>
                <w:lang w:val="fr-CA"/>
              </w:rPr>
              <w:t>s mots «</w:t>
            </w:r>
            <w:r w:rsidRPr="003B3B87">
              <w:rPr>
                <w:rFonts w:ascii="Arial" w:hAnsi="Arial" w:cs="Arial"/>
                <w:sz w:val="22"/>
                <w:szCs w:val="22"/>
                <w:lang w:val="fr-CA"/>
              </w:rPr>
              <w:t xml:space="preserve"> pour que cette méthode donne des résultats</w:t>
            </w:r>
            <w:r>
              <w:rPr>
                <w:rFonts w:ascii="Arial" w:hAnsi="Arial" w:cs="Arial"/>
                <w:sz w:val="22"/>
                <w:szCs w:val="22"/>
                <w:lang w:val="fr-CA"/>
              </w:rPr>
              <w:t> » au paragraphe</w:t>
            </w:r>
            <w:r w:rsidR="00B20A5F">
              <w:rPr>
                <w:rFonts w:ascii="Arial" w:hAnsi="Arial" w:cs="Arial"/>
                <w:sz w:val="22"/>
                <w:szCs w:val="22"/>
                <w:lang w:val="fr-CA"/>
              </w:rPr>
              <w:t> </w:t>
            </w:r>
            <w:r>
              <w:rPr>
                <w:rFonts w:ascii="Arial" w:hAnsi="Arial" w:cs="Arial"/>
                <w:sz w:val="22"/>
                <w:szCs w:val="22"/>
                <w:lang w:val="fr-CA"/>
              </w:rPr>
              <w:t>8.2</w:t>
            </w:r>
            <w:r w:rsidRPr="003B3B87">
              <w:rPr>
                <w:rFonts w:ascii="Arial" w:hAnsi="Arial" w:cs="Arial"/>
                <w:sz w:val="22"/>
                <w:szCs w:val="22"/>
                <w:lang w:val="fr-CA"/>
              </w:rPr>
              <w:t>.</w:t>
            </w:r>
          </w:p>
        </w:tc>
      </w:tr>
    </w:tbl>
    <w:p w:rsidR="003676A1" w:rsidRPr="00767813" w:rsidRDefault="003676A1" w:rsidP="003676A1">
      <w:pPr>
        <w:rPr>
          <w:noProof/>
          <w:lang w:val="fr-CA"/>
        </w:rPr>
      </w:pPr>
    </w:p>
    <w:p w:rsidR="00A54F3B" w:rsidRPr="005F2526" w:rsidRDefault="00A54F3B">
      <w:pPr>
        <w:pStyle w:val="Header"/>
        <w:tabs>
          <w:tab w:val="clear" w:pos="4320"/>
          <w:tab w:val="clear" w:pos="8640"/>
        </w:tabs>
        <w:rPr>
          <w:lang w:val="fr-CA"/>
        </w:rPr>
      </w:pPr>
    </w:p>
    <w:sectPr w:rsidR="00A54F3B" w:rsidRPr="005F2526">
      <w:headerReference w:type="default" r:id="rId8"/>
      <w:footerReference w:type="default" r:id="rId9"/>
      <w:headerReference w:type="first" r:id="rId10"/>
      <w:footerReference w:type="first" r:id="rId11"/>
      <w:pgSz w:w="12240" w:h="15840" w:code="1"/>
      <w:pgMar w:top="1440"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0DC" w:rsidRDefault="00ED50DC">
      <w:r>
        <w:separator/>
      </w:r>
    </w:p>
  </w:endnote>
  <w:endnote w:type="continuationSeparator" w:id="0">
    <w:p w:rsidR="00ED50DC" w:rsidRDefault="00ED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676A1">
      <w:trPr>
        <w:trHeight w:val="720"/>
      </w:trPr>
      <w:tc>
        <w:tcPr>
          <w:tcW w:w="1368" w:type="dxa"/>
        </w:tcPr>
        <w:p w:rsidR="003676A1" w:rsidRDefault="003676A1">
          <w:pPr>
            <w:pStyle w:val="Footer"/>
            <w:jc w:val="center"/>
            <w:rPr>
              <w:sz w:val="8"/>
            </w:rPr>
          </w:pPr>
        </w:p>
        <w:p w:rsidR="003676A1" w:rsidRDefault="009C5550">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2" name="Picture 2"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3676A1" w:rsidRDefault="003676A1" w:rsidP="00E60D72">
          <w:pPr>
            <w:pStyle w:val="Footer"/>
            <w:tabs>
              <w:tab w:val="clear" w:pos="4320"/>
              <w:tab w:val="center" w:pos="2585"/>
            </w:tabs>
            <w:jc w:val="center"/>
            <w:rPr>
              <w:rFonts w:ascii="Arial" w:hAnsi="Arial"/>
              <w:sz w:val="18"/>
            </w:rPr>
          </w:pPr>
        </w:p>
        <w:p w:rsidR="003676A1" w:rsidRDefault="003676A1" w:rsidP="00E60D72">
          <w:pPr>
            <w:pStyle w:val="Footer"/>
            <w:tabs>
              <w:tab w:val="clear" w:pos="4320"/>
              <w:tab w:val="left" w:pos="34"/>
            </w:tabs>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gional ontarien de coordination du sang</w:t>
          </w:r>
        </w:p>
        <w:p w:rsidR="003676A1" w:rsidRPr="00C62B16" w:rsidRDefault="003676A1" w:rsidP="00E60D72">
          <w:pPr>
            <w:pStyle w:val="Footer"/>
            <w:tabs>
              <w:tab w:val="clear" w:pos="4320"/>
              <w:tab w:val="left" w:pos="34"/>
            </w:tabs>
            <w:jc w:val="center"/>
            <w:rPr>
              <w:rFonts w:ascii="Arial" w:hAnsi="Arial"/>
              <w:sz w:val="18"/>
              <w:lang w:val="fr-CA"/>
            </w:rPr>
          </w:pPr>
          <w:r>
            <w:rPr>
              <w:rFonts w:ascii="Arial" w:hAnsi="Arial"/>
              <w:sz w:val="18"/>
              <w:lang w:val="fr-CA"/>
            </w:rPr>
            <w:t>Manuel de ressources techniques en transfusion de l’Ontario</w:t>
          </w:r>
        </w:p>
        <w:p w:rsidR="003676A1" w:rsidRPr="00C62B16" w:rsidRDefault="003676A1" w:rsidP="00E60D72">
          <w:pPr>
            <w:pStyle w:val="Footer"/>
            <w:tabs>
              <w:tab w:val="clear" w:pos="4320"/>
              <w:tab w:val="center" w:pos="1451"/>
            </w:tabs>
            <w:rPr>
              <w:rFonts w:ascii="Arial" w:hAnsi="Arial"/>
              <w:sz w:val="18"/>
              <w:lang w:val="fr-CA"/>
            </w:rPr>
          </w:pPr>
        </w:p>
      </w:tc>
      <w:tc>
        <w:tcPr>
          <w:tcW w:w="1494" w:type="dxa"/>
        </w:tcPr>
        <w:p w:rsidR="003676A1" w:rsidRPr="00C62B16" w:rsidRDefault="003676A1" w:rsidP="00E60D72">
          <w:pPr>
            <w:pStyle w:val="Footer"/>
            <w:tabs>
              <w:tab w:val="clear" w:pos="4320"/>
              <w:tab w:val="center" w:pos="2585"/>
            </w:tabs>
            <w:rPr>
              <w:rFonts w:ascii="Arial" w:hAnsi="Arial"/>
              <w:sz w:val="18"/>
              <w:lang w:val="fr-CA"/>
            </w:rPr>
          </w:pPr>
        </w:p>
        <w:p w:rsidR="003676A1" w:rsidRDefault="003676A1" w:rsidP="003676A1">
          <w:pPr>
            <w:pStyle w:val="Footer"/>
            <w:tabs>
              <w:tab w:val="clear" w:pos="4320"/>
              <w:tab w:val="center" w:pos="2585"/>
            </w:tabs>
            <w:rPr>
              <w:rFonts w:ascii="Arial" w:hAnsi="Arial"/>
              <w:sz w:val="18"/>
            </w:rPr>
          </w:pPr>
          <w:r w:rsidRPr="00C62B16">
            <w:rPr>
              <w:rFonts w:ascii="Arial" w:hAnsi="Arial"/>
              <w:sz w:val="18"/>
              <w:lang w:val="fr-CA"/>
            </w:rPr>
            <w:t xml:space="preserve">       </w:t>
          </w:r>
          <w:r>
            <w:rPr>
              <w:rFonts w:ascii="Arial" w:hAnsi="Arial"/>
              <w:sz w:val="18"/>
            </w:rPr>
            <w:t xml:space="preserve">PS.028 </w:t>
          </w:r>
          <w:r>
            <w:rPr>
              <w:rFonts w:ascii="Arial" w:hAnsi="Arial"/>
              <w:sz w:val="18"/>
            </w:rPr>
            <w:br/>
          </w:r>
          <w:r>
            <w:rPr>
              <w:rFonts w:ascii="Arial" w:hAnsi="Arial"/>
              <w:snapToGrid w:val="0"/>
              <w:sz w:val="18"/>
            </w:rPr>
            <w:t>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62B16">
            <w:rPr>
              <w:rFonts w:ascii="Arial" w:hAnsi="Arial"/>
              <w:noProof/>
              <w:snapToGrid w:val="0"/>
              <w:sz w:val="18"/>
            </w:rPr>
            <w:t>4</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62B16">
            <w:rPr>
              <w:rFonts w:ascii="Arial" w:hAnsi="Arial"/>
              <w:noProof/>
              <w:snapToGrid w:val="0"/>
              <w:sz w:val="18"/>
            </w:rPr>
            <w:t>4</w:t>
          </w:r>
          <w:r>
            <w:rPr>
              <w:rFonts w:ascii="Arial" w:hAnsi="Arial"/>
              <w:snapToGrid w:val="0"/>
              <w:sz w:val="18"/>
            </w:rPr>
            <w:fldChar w:fldCharType="end"/>
          </w:r>
        </w:p>
      </w:tc>
    </w:tr>
  </w:tbl>
  <w:p w:rsidR="00E67D77" w:rsidRDefault="00E67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676A1">
      <w:trPr>
        <w:trHeight w:val="720"/>
      </w:trPr>
      <w:tc>
        <w:tcPr>
          <w:tcW w:w="1368" w:type="dxa"/>
        </w:tcPr>
        <w:p w:rsidR="003676A1" w:rsidRDefault="003676A1">
          <w:pPr>
            <w:pStyle w:val="Footer"/>
            <w:jc w:val="center"/>
            <w:rPr>
              <w:rFonts w:ascii="Verdana" w:hAnsi="Verdana"/>
              <w:sz w:val="8"/>
            </w:rPr>
          </w:pPr>
        </w:p>
        <w:p w:rsidR="003676A1" w:rsidRDefault="009C5550">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3676A1" w:rsidRDefault="003676A1" w:rsidP="00E60D72">
          <w:pPr>
            <w:pStyle w:val="Footer"/>
            <w:tabs>
              <w:tab w:val="clear" w:pos="4320"/>
              <w:tab w:val="center" w:pos="2585"/>
            </w:tabs>
            <w:jc w:val="center"/>
            <w:rPr>
              <w:rFonts w:ascii="Arial" w:hAnsi="Arial"/>
              <w:sz w:val="18"/>
            </w:rPr>
          </w:pPr>
        </w:p>
        <w:p w:rsidR="003676A1" w:rsidRDefault="003676A1" w:rsidP="00E60D72">
          <w:pPr>
            <w:pStyle w:val="Footer"/>
            <w:tabs>
              <w:tab w:val="clear" w:pos="4320"/>
              <w:tab w:val="left" w:pos="34"/>
            </w:tabs>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gional ontarien de coordination du sang</w:t>
          </w:r>
        </w:p>
        <w:p w:rsidR="003676A1" w:rsidRPr="00C62B16" w:rsidRDefault="003676A1" w:rsidP="00E60D72">
          <w:pPr>
            <w:pStyle w:val="Footer"/>
            <w:tabs>
              <w:tab w:val="clear" w:pos="4320"/>
              <w:tab w:val="left" w:pos="34"/>
            </w:tabs>
            <w:jc w:val="center"/>
            <w:rPr>
              <w:rFonts w:ascii="Arial" w:hAnsi="Arial"/>
              <w:sz w:val="18"/>
              <w:lang w:val="fr-CA"/>
            </w:rPr>
          </w:pPr>
          <w:r>
            <w:rPr>
              <w:rFonts w:ascii="Arial" w:hAnsi="Arial"/>
              <w:sz w:val="18"/>
              <w:lang w:val="fr-CA"/>
            </w:rPr>
            <w:t>Manuel de ressources techniques en transfusion de l’Ontario</w:t>
          </w:r>
        </w:p>
        <w:p w:rsidR="003676A1" w:rsidRPr="00C62B16" w:rsidRDefault="003676A1" w:rsidP="00E60D72">
          <w:pPr>
            <w:pStyle w:val="Footer"/>
            <w:tabs>
              <w:tab w:val="clear" w:pos="4320"/>
              <w:tab w:val="center" w:pos="1451"/>
            </w:tabs>
            <w:rPr>
              <w:rFonts w:ascii="Arial" w:hAnsi="Arial"/>
              <w:sz w:val="18"/>
              <w:lang w:val="fr-CA"/>
            </w:rPr>
          </w:pPr>
        </w:p>
      </w:tc>
      <w:tc>
        <w:tcPr>
          <w:tcW w:w="1494" w:type="dxa"/>
        </w:tcPr>
        <w:p w:rsidR="003676A1" w:rsidRPr="00C62B16" w:rsidRDefault="003676A1" w:rsidP="00E60D72">
          <w:pPr>
            <w:pStyle w:val="Footer"/>
            <w:tabs>
              <w:tab w:val="clear" w:pos="4320"/>
              <w:tab w:val="center" w:pos="2585"/>
            </w:tabs>
            <w:rPr>
              <w:rFonts w:ascii="Arial" w:hAnsi="Arial"/>
              <w:sz w:val="18"/>
              <w:lang w:val="fr-CA"/>
            </w:rPr>
          </w:pPr>
        </w:p>
        <w:p w:rsidR="003676A1" w:rsidRDefault="003676A1" w:rsidP="003676A1">
          <w:pPr>
            <w:pStyle w:val="Footer"/>
            <w:tabs>
              <w:tab w:val="clear" w:pos="4320"/>
              <w:tab w:val="center" w:pos="2585"/>
            </w:tabs>
            <w:rPr>
              <w:rFonts w:ascii="Arial" w:hAnsi="Arial"/>
              <w:sz w:val="18"/>
            </w:rPr>
          </w:pPr>
          <w:r w:rsidRPr="00C62B16">
            <w:rPr>
              <w:rFonts w:ascii="Arial" w:hAnsi="Arial"/>
              <w:sz w:val="18"/>
              <w:lang w:val="fr-CA"/>
            </w:rPr>
            <w:t xml:space="preserve">       </w:t>
          </w:r>
          <w:r>
            <w:rPr>
              <w:rFonts w:ascii="Arial" w:hAnsi="Arial"/>
              <w:sz w:val="18"/>
            </w:rPr>
            <w:t xml:space="preserve">PS.028 </w:t>
          </w:r>
          <w:r>
            <w:rPr>
              <w:rFonts w:ascii="Arial" w:hAnsi="Arial"/>
              <w:sz w:val="18"/>
            </w:rPr>
            <w:br/>
          </w:r>
          <w:r>
            <w:rPr>
              <w:rFonts w:ascii="Arial" w:hAnsi="Arial"/>
              <w:snapToGrid w:val="0"/>
              <w:sz w:val="18"/>
            </w:rPr>
            <w:t>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62B16">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62B16">
            <w:rPr>
              <w:rFonts w:ascii="Arial" w:hAnsi="Arial"/>
              <w:noProof/>
              <w:snapToGrid w:val="0"/>
              <w:sz w:val="18"/>
            </w:rPr>
            <w:t>4</w:t>
          </w:r>
          <w:r>
            <w:rPr>
              <w:rFonts w:ascii="Arial" w:hAnsi="Arial"/>
              <w:snapToGrid w:val="0"/>
              <w:sz w:val="18"/>
            </w:rPr>
            <w:fldChar w:fldCharType="end"/>
          </w:r>
        </w:p>
      </w:tc>
    </w:tr>
    <w:tr w:rsidR="003676A1">
      <w:trPr>
        <w:trHeight w:val="720"/>
      </w:trPr>
      <w:tc>
        <w:tcPr>
          <w:tcW w:w="1368" w:type="dxa"/>
        </w:tcPr>
        <w:p w:rsidR="003676A1" w:rsidRDefault="003676A1">
          <w:pPr>
            <w:pStyle w:val="Footer"/>
            <w:jc w:val="center"/>
            <w:rPr>
              <w:rFonts w:ascii="Verdana" w:hAnsi="Verdana"/>
              <w:sz w:val="8"/>
            </w:rPr>
          </w:pPr>
        </w:p>
      </w:tc>
      <w:tc>
        <w:tcPr>
          <w:tcW w:w="5976" w:type="dxa"/>
        </w:tcPr>
        <w:p w:rsidR="003676A1" w:rsidRDefault="003676A1" w:rsidP="00E60D72">
          <w:pPr>
            <w:pStyle w:val="Footer"/>
            <w:tabs>
              <w:tab w:val="clear" w:pos="4320"/>
              <w:tab w:val="center" w:pos="2585"/>
            </w:tabs>
            <w:jc w:val="center"/>
            <w:rPr>
              <w:rFonts w:ascii="Arial" w:hAnsi="Arial"/>
              <w:sz w:val="18"/>
            </w:rPr>
          </w:pPr>
        </w:p>
      </w:tc>
      <w:tc>
        <w:tcPr>
          <w:tcW w:w="1494" w:type="dxa"/>
        </w:tcPr>
        <w:p w:rsidR="003676A1" w:rsidRDefault="003676A1" w:rsidP="00E60D72">
          <w:pPr>
            <w:pStyle w:val="Footer"/>
            <w:tabs>
              <w:tab w:val="clear" w:pos="4320"/>
              <w:tab w:val="center" w:pos="2585"/>
            </w:tabs>
            <w:rPr>
              <w:rFonts w:ascii="Arial" w:hAnsi="Arial"/>
              <w:sz w:val="18"/>
            </w:rPr>
          </w:pPr>
        </w:p>
      </w:tc>
    </w:tr>
  </w:tbl>
  <w:p w:rsidR="00E67D77" w:rsidRDefault="00E67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0DC" w:rsidRDefault="00ED50DC">
      <w:r>
        <w:separator/>
      </w:r>
    </w:p>
  </w:footnote>
  <w:footnote w:type="continuationSeparator" w:id="0">
    <w:p w:rsidR="00ED50DC" w:rsidRDefault="00ED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77" w:rsidRPr="00597520" w:rsidRDefault="00E67D77" w:rsidP="00B2430B">
    <w:pPr>
      <w:pStyle w:val="Header"/>
      <w:jc w:val="center"/>
      <w:rPr>
        <w:rFonts w:ascii="Arial" w:hAnsi="Arial"/>
        <w:b/>
        <w:sz w:val="28"/>
        <w:lang w:val="fr-CA"/>
      </w:rPr>
    </w:pPr>
    <w:r w:rsidRPr="00597520">
      <w:rPr>
        <w:rFonts w:ascii="Arial" w:hAnsi="Arial"/>
        <w:b/>
        <w:sz w:val="28"/>
        <w:lang w:val="fr-CA"/>
      </w:rPr>
      <w:t>Séparation des cellules autologues et transfusées</w:t>
    </w:r>
  </w:p>
  <w:p w:rsidR="00E67D77" w:rsidRPr="00597520" w:rsidRDefault="00E67D77" w:rsidP="00B2430B">
    <w:pPr>
      <w:pStyle w:val="Header"/>
      <w:jc w:val="center"/>
      <w:rPr>
        <w:rFonts w:ascii="Arial" w:hAnsi="Arial"/>
        <w:b/>
        <w:sz w:val="28"/>
        <w:lang w:val="fr-CA"/>
      </w:rPr>
    </w:pPr>
    <w:proofErr w:type="gramStart"/>
    <w:r w:rsidRPr="00597520">
      <w:rPr>
        <w:rFonts w:ascii="Arial" w:hAnsi="Arial"/>
        <w:b/>
        <w:sz w:val="28"/>
        <w:lang w:val="fr-CA"/>
      </w:rPr>
      <w:t>par</w:t>
    </w:r>
    <w:proofErr w:type="gramEnd"/>
    <w:r w:rsidRPr="00597520">
      <w:rPr>
        <w:rFonts w:ascii="Arial" w:hAnsi="Arial"/>
        <w:b/>
        <w:sz w:val="28"/>
        <w:lang w:val="fr-CA"/>
      </w:rPr>
      <w:t xml:space="preserve"> centrifugation à haute vitesse</w:t>
    </w:r>
  </w:p>
  <w:p w:rsidR="00E67D77" w:rsidRDefault="00E67D77">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77" w:rsidRDefault="009C5550" w:rsidP="00074619">
    <w:pPr>
      <w:pStyle w:val="Header"/>
      <w:rPr>
        <w:rFonts w:ascii="Verdana" w:hAnsi="Verdana"/>
        <w:sz w:val="8"/>
      </w:rPr>
    </w:pPr>
    <w:r>
      <w:rPr>
        <w:rFonts w:ascii="Verdana" w:hAnsi="Verdana"/>
        <w:noProof/>
        <w:sz w:val="8"/>
      </w:rPr>
      <w:drawing>
        <wp:inline distT="0" distB="0" distL="0" distR="0">
          <wp:extent cx="1257300" cy="419100"/>
          <wp:effectExtent l="0" t="0" r="0" b="0"/>
          <wp:docPr id="1" name="Picture 1"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p w:rsidR="00C62B16" w:rsidRDefault="00C62B16" w:rsidP="00074619">
    <w:pPr>
      <w:pStyle w:val="Header"/>
      <w:rPr>
        <w:rFonts w:ascii="Arial" w:hAnsi="Arial" w:cs="Arial"/>
        <w:b/>
        <w:bCs/>
        <w:sz w:val="22"/>
        <w:lang w:val="fr-CA"/>
      </w:rPr>
    </w:pPr>
  </w:p>
  <w:p w:rsidR="003676A1" w:rsidRPr="000C64D0" w:rsidRDefault="003676A1" w:rsidP="003676A1">
    <w:pPr>
      <w:pStyle w:val="Header"/>
      <w:jc w:val="center"/>
      <w:rPr>
        <w:rFonts w:ascii="Arial" w:hAnsi="Arial" w:cs="Arial"/>
        <w:b/>
        <w:bCs/>
        <w:sz w:val="28"/>
        <w:szCs w:val="28"/>
        <w:lang w:val="fr-CA"/>
      </w:rPr>
    </w:pPr>
    <w:r w:rsidRPr="000C64D0">
      <w:rPr>
        <w:rFonts w:ascii="Arial" w:hAnsi="Arial" w:cs="Arial"/>
        <w:b/>
        <w:bCs/>
        <w:sz w:val="28"/>
        <w:szCs w:val="28"/>
        <w:lang w:val="fr-CA"/>
      </w:rPr>
      <w:t>Réseau régional ontarien de coordination du sang</w:t>
    </w:r>
  </w:p>
  <w:p w:rsidR="003676A1" w:rsidRPr="000C64D0" w:rsidRDefault="003676A1" w:rsidP="003676A1">
    <w:pPr>
      <w:pStyle w:val="Header"/>
      <w:jc w:val="center"/>
      <w:rPr>
        <w:rFonts w:ascii="Arial" w:hAnsi="Arial" w:cs="Arial"/>
        <w:b/>
        <w:bCs/>
        <w:sz w:val="28"/>
        <w:szCs w:val="28"/>
        <w:lang w:val="fr-CA"/>
      </w:rPr>
    </w:pPr>
    <w:r w:rsidRPr="000C64D0">
      <w:rPr>
        <w:rFonts w:ascii="Arial" w:hAnsi="Arial" w:cs="Arial"/>
        <w:b/>
        <w:bCs/>
        <w:sz w:val="28"/>
        <w:szCs w:val="28"/>
        <w:lang w:val="fr-CA"/>
      </w:rPr>
      <w:t>Manuel de ressources techniques en transfusion de l’Ontario</w:t>
    </w:r>
  </w:p>
  <w:p w:rsidR="00E67D77" w:rsidRPr="00597520" w:rsidRDefault="00E67D77">
    <w:pPr>
      <w:pStyle w:val="Header"/>
      <w:jc w:val="center"/>
      <w:rPr>
        <w:rFonts w:ascii="Arial" w:hAnsi="Arial" w:cs="Arial"/>
        <w:b/>
        <w:bCs/>
        <w:sz w:val="22"/>
        <w:lang w:val="fr-CA"/>
      </w:rPr>
    </w:pPr>
  </w:p>
  <w:p w:rsidR="00E67D77" w:rsidRPr="00597520" w:rsidRDefault="00E67D77" w:rsidP="00B9188A">
    <w:pPr>
      <w:pStyle w:val="Header"/>
      <w:jc w:val="center"/>
      <w:rPr>
        <w:rFonts w:ascii="Arial" w:hAnsi="Arial"/>
        <w:b/>
        <w:sz w:val="28"/>
        <w:lang w:val="fr-CA"/>
      </w:rPr>
    </w:pPr>
    <w:r w:rsidRPr="00597520">
      <w:rPr>
        <w:rFonts w:ascii="Arial" w:hAnsi="Arial"/>
        <w:b/>
        <w:sz w:val="28"/>
        <w:lang w:val="fr-CA"/>
      </w:rPr>
      <w:t>Séparation des cellules autologues et transfusées</w:t>
    </w:r>
  </w:p>
  <w:p w:rsidR="00E67D77" w:rsidRPr="00597520" w:rsidRDefault="00E67D77" w:rsidP="00B9188A">
    <w:pPr>
      <w:pStyle w:val="Header"/>
      <w:jc w:val="center"/>
      <w:rPr>
        <w:rFonts w:ascii="Arial" w:hAnsi="Arial"/>
        <w:b/>
        <w:sz w:val="28"/>
        <w:lang w:val="fr-CA"/>
      </w:rPr>
    </w:pPr>
    <w:proofErr w:type="gramStart"/>
    <w:r w:rsidRPr="00597520">
      <w:rPr>
        <w:rFonts w:ascii="Arial" w:hAnsi="Arial"/>
        <w:b/>
        <w:sz w:val="28"/>
        <w:lang w:val="fr-CA"/>
      </w:rPr>
      <w:t>par</w:t>
    </w:r>
    <w:proofErr w:type="gramEnd"/>
    <w:r w:rsidRPr="00597520">
      <w:rPr>
        <w:rFonts w:ascii="Arial" w:hAnsi="Arial"/>
        <w:b/>
        <w:sz w:val="28"/>
        <w:lang w:val="fr-CA"/>
      </w:rPr>
      <w:t xml:space="preserve"> centrifugation à haute vitesse</w:t>
    </w:r>
  </w:p>
  <w:p w:rsidR="00E67D77" w:rsidRPr="00597520" w:rsidRDefault="00E67D77">
    <w:pPr>
      <w:pStyle w:val="Header"/>
      <w:jc w:val="center"/>
      <w:rPr>
        <w:rFonts w:ascii="Arial" w:hAnsi="Arial"/>
        <w:b/>
        <w:sz w:val="28"/>
        <w:lang w:val="fr-CA"/>
      </w:rPr>
    </w:pPr>
  </w:p>
  <w:p w:rsidR="00E67D77" w:rsidRPr="00597520" w:rsidRDefault="009C5550">
    <w:pPr>
      <w:pStyle w:val="Header"/>
      <w:jc w:val="center"/>
      <w:rPr>
        <w:rFonts w:ascii="Arial" w:hAnsi="Arial" w:cs="Arial"/>
        <w:b/>
        <w:bCs/>
        <w:lang w:val="fr-CA"/>
      </w:rPr>
    </w:pPr>
    <w:r w:rsidRPr="00597520">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8E75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9092" w:type="dxa"/>
      <w:tblLook w:val="0000" w:firstRow="0" w:lastRow="0" w:firstColumn="0" w:lastColumn="0" w:noHBand="0" w:noVBand="0"/>
    </w:tblPr>
    <w:tblGrid>
      <w:gridCol w:w="4428"/>
      <w:gridCol w:w="236"/>
      <w:gridCol w:w="4428"/>
    </w:tblGrid>
    <w:tr w:rsidR="003676A1" w:rsidRPr="00597520" w:rsidTr="003676A1">
      <w:tc>
        <w:tcPr>
          <w:tcW w:w="4428" w:type="dxa"/>
        </w:tcPr>
        <w:p w:rsidR="003676A1" w:rsidRPr="00767813" w:rsidRDefault="003676A1" w:rsidP="00E60D72">
          <w:pPr>
            <w:pStyle w:val="Header"/>
            <w:rPr>
              <w:rFonts w:ascii="Arial" w:hAnsi="Arial" w:cs="Arial"/>
              <w:lang w:val="fr-CA"/>
            </w:rPr>
          </w:pPr>
          <w:r w:rsidRPr="00767813">
            <w:rPr>
              <w:rFonts w:ascii="Arial" w:hAnsi="Arial" w:cs="Arial"/>
              <w:lang w:val="fr-CA"/>
            </w:rPr>
            <w:t>Approbation</w:t>
          </w:r>
          <w:r>
            <w:rPr>
              <w:rFonts w:ascii="Arial" w:hAnsi="Arial" w:cs="Arial"/>
              <w:lang w:val="fr-CA"/>
            </w:rPr>
            <w:t> </w:t>
          </w:r>
          <w:r w:rsidRPr="00767813">
            <w:rPr>
              <w:rFonts w:ascii="Arial" w:hAnsi="Arial" w:cs="Arial"/>
              <w:lang w:val="fr-CA"/>
            </w:rPr>
            <w:t>:</w:t>
          </w:r>
        </w:p>
      </w:tc>
      <w:tc>
        <w:tcPr>
          <w:tcW w:w="236" w:type="dxa"/>
        </w:tcPr>
        <w:p w:rsidR="003676A1" w:rsidRPr="00597520" w:rsidRDefault="003676A1" w:rsidP="00B9188A">
          <w:pPr>
            <w:pStyle w:val="Header"/>
            <w:rPr>
              <w:rFonts w:ascii="Arial" w:hAnsi="Arial" w:cs="Arial"/>
              <w:lang w:val="fr-CA"/>
            </w:rPr>
          </w:pPr>
        </w:p>
      </w:tc>
      <w:tc>
        <w:tcPr>
          <w:tcW w:w="4428" w:type="dxa"/>
        </w:tcPr>
        <w:p w:rsidR="003676A1" w:rsidRPr="00597520" w:rsidRDefault="003676A1">
          <w:pPr>
            <w:pStyle w:val="Header"/>
            <w:rPr>
              <w:rFonts w:ascii="Arial" w:hAnsi="Arial" w:cs="Arial"/>
              <w:lang w:val="fr-CA"/>
            </w:rPr>
          </w:pPr>
          <w:r w:rsidRPr="00597520">
            <w:rPr>
              <w:rFonts w:ascii="Arial" w:hAnsi="Arial" w:cs="Arial"/>
              <w:lang w:val="fr-CA"/>
            </w:rPr>
            <w:t>Document n</w:t>
          </w:r>
          <w:r w:rsidRPr="00597520">
            <w:rPr>
              <w:rFonts w:ascii="Arial" w:hAnsi="Arial" w:cs="Arial"/>
              <w:vertAlign w:val="superscript"/>
              <w:lang w:val="fr-CA"/>
            </w:rPr>
            <w:t>o</w:t>
          </w:r>
          <w:r w:rsidRPr="00597520">
            <w:rPr>
              <w:rFonts w:ascii="Arial" w:hAnsi="Arial" w:cs="Arial"/>
              <w:lang w:val="fr-CA"/>
            </w:rPr>
            <w:t xml:space="preserve"> : PS.028</w:t>
          </w:r>
        </w:p>
      </w:tc>
    </w:tr>
    <w:tr w:rsidR="003676A1" w:rsidRPr="00597520" w:rsidTr="003676A1">
      <w:tc>
        <w:tcPr>
          <w:tcW w:w="4428" w:type="dxa"/>
        </w:tcPr>
        <w:p w:rsidR="003676A1" w:rsidRPr="00767813" w:rsidRDefault="003676A1" w:rsidP="00E60D72">
          <w:pPr>
            <w:pStyle w:val="Header"/>
            <w:rPr>
              <w:rFonts w:ascii="Arial" w:hAnsi="Arial" w:cs="Arial"/>
              <w:lang w:val="fr-CA"/>
            </w:rPr>
          </w:pPr>
          <w:r w:rsidRPr="00767813">
            <w:rPr>
              <w:rFonts w:ascii="Arial" w:hAnsi="Arial" w:cs="Arial"/>
              <w:lang w:val="fr-CA"/>
            </w:rPr>
            <w:t>Date de publication</w:t>
          </w:r>
          <w:r>
            <w:rPr>
              <w:rFonts w:ascii="Arial" w:hAnsi="Arial" w:cs="Arial"/>
              <w:lang w:val="fr-CA"/>
            </w:rPr>
            <w:t> </w:t>
          </w:r>
          <w:r w:rsidRPr="00767813">
            <w:rPr>
              <w:rFonts w:ascii="Arial" w:hAnsi="Arial" w:cs="Arial"/>
              <w:lang w:val="fr-CA"/>
            </w:rPr>
            <w:t>: 2006/08/01</w:t>
          </w:r>
        </w:p>
      </w:tc>
      <w:tc>
        <w:tcPr>
          <w:tcW w:w="236" w:type="dxa"/>
        </w:tcPr>
        <w:p w:rsidR="003676A1" w:rsidRPr="00597520" w:rsidRDefault="003676A1" w:rsidP="00B9188A">
          <w:pPr>
            <w:pStyle w:val="Header"/>
            <w:rPr>
              <w:rFonts w:ascii="Arial" w:hAnsi="Arial" w:cs="Arial"/>
              <w:lang w:val="fr-CA"/>
            </w:rPr>
          </w:pPr>
        </w:p>
      </w:tc>
      <w:tc>
        <w:tcPr>
          <w:tcW w:w="4428" w:type="dxa"/>
        </w:tcPr>
        <w:p w:rsidR="003676A1" w:rsidRPr="00597520" w:rsidRDefault="003676A1">
          <w:pPr>
            <w:pStyle w:val="Header"/>
            <w:rPr>
              <w:rFonts w:ascii="Arial" w:hAnsi="Arial" w:cs="Arial"/>
              <w:lang w:val="fr-CA"/>
            </w:rPr>
          </w:pPr>
          <w:r w:rsidRPr="00597520">
            <w:rPr>
              <w:rFonts w:ascii="Arial" w:hAnsi="Arial" w:cs="Arial"/>
              <w:lang w:val="fr-CA"/>
            </w:rPr>
            <w:t>Catégorie : Procédures spéciales</w:t>
          </w:r>
        </w:p>
      </w:tc>
    </w:tr>
    <w:tr w:rsidR="003676A1" w:rsidRPr="00597520" w:rsidTr="003676A1">
      <w:tc>
        <w:tcPr>
          <w:tcW w:w="4428" w:type="dxa"/>
        </w:tcPr>
        <w:p w:rsidR="003676A1" w:rsidRPr="00767813" w:rsidRDefault="003676A1" w:rsidP="00E60D72">
          <w:pPr>
            <w:pStyle w:val="Header"/>
            <w:rPr>
              <w:rFonts w:ascii="Arial" w:hAnsi="Arial" w:cs="Arial"/>
              <w:lang w:val="fr-CA"/>
            </w:rPr>
          </w:pPr>
          <w:r w:rsidRPr="00767813">
            <w:rPr>
              <w:rFonts w:ascii="Arial" w:hAnsi="Arial" w:cs="Arial"/>
              <w:lang w:val="fr-CA"/>
            </w:rPr>
            <w:t>Date de révision</w:t>
          </w:r>
          <w:r>
            <w:rPr>
              <w:rFonts w:ascii="Arial" w:hAnsi="Arial" w:cs="Arial"/>
              <w:lang w:val="fr-CA"/>
            </w:rPr>
            <w:t> </w:t>
          </w:r>
          <w:r w:rsidRPr="00767813">
            <w:rPr>
              <w:rFonts w:ascii="Arial" w:hAnsi="Arial" w:cs="Arial"/>
              <w:lang w:val="fr-CA"/>
            </w:rPr>
            <w:t>: 200</w:t>
          </w:r>
          <w:r>
            <w:rPr>
              <w:rFonts w:ascii="Arial" w:hAnsi="Arial" w:cs="Arial"/>
              <w:lang w:val="fr-CA"/>
            </w:rPr>
            <w:t>9</w:t>
          </w:r>
          <w:r w:rsidRPr="00767813">
            <w:rPr>
              <w:rFonts w:ascii="Arial" w:hAnsi="Arial" w:cs="Arial"/>
              <w:lang w:val="fr-CA"/>
            </w:rPr>
            <w:t>/0</w:t>
          </w:r>
          <w:r>
            <w:rPr>
              <w:rFonts w:ascii="Arial" w:hAnsi="Arial" w:cs="Arial"/>
              <w:lang w:val="fr-CA"/>
            </w:rPr>
            <w:t>9</w:t>
          </w:r>
          <w:r w:rsidRPr="00767813">
            <w:rPr>
              <w:rFonts w:ascii="Arial" w:hAnsi="Arial" w:cs="Arial"/>
              <w:lang w:val="fr-CA"/>
            </w:rPr>
            <w:t>/01</w:t>
          </w:r>
          <w:r>
            <w:rPr>
              <w:rFonts w:ascii="Arial" w:hAnsi="Arial" w:cs="Arial"/>
              <w:lang w:val="fr-CA"/>
            </w:rPr>
            <w:t>;</w:t>
          </w:r>
          <w:r w:rsidRPr="00767813">
            <w:rPr>
              <w:rFonts w:ascii="Arial" w:hAnsi="Arial" w:cs="Arial"/>
              <w:lang w:val="fr-CA"/>
            </w:rPr>
            <w:t xml:space="preserve"> 20</w:t>
          </w:r>
          <w:r>
            <w:rPr>
              <w:rFonts w:ascii="Arial" w:hAnsi="Arial" w:cs="Arial"/>
              <w:lang w:val="fr-CA"/>
            </w:rPr>
            <w:t>14</w:t>
          </w:r>
          <w:r w:rsidRPr="00767813">
            <w:rPr>
              <w:rFonts w:ascii="Arial" w:hAnsi="Arial" w:cs="Arial"/>
              <w:lang w:val="fr-CA"/>
            </w:rPr>
            <w:t>/0</w:t>
          </w:r>
          <w:r>
            <w:rPr>
              <w:rFonts w:ascii="Arial" w:hAnsi="Arial" w:cs="Arial"/>
              <w:lang w:val="fr-CA"/>
            </w:rPr>
            <w:t>9</w:t>
          </w:r>
          <w:r w:rsidRPr="00767813">
            <w:rPr>
              <w:rFonts w:ascii="Arial" w:hAnsi="Arial" w:cs="Arial"/>
              <w:lang w:val="fr-CA"/>
            </w:rPr>
            <w:t>/01</w:t>
          </w:r>
        </w:p>
      </w:tc>
      <w:tc>
        <w:tcPr>
          <w:tcW w:w="236" w:type="dxa"/>
        </w:tcPr>
        <w:p w:rsidR="003676A1" w:rsidRPr="00597520" w:rsidRDefault="003676A1">
          <w:pPr>
            <w:pStyle w:val="Header"/>
            <w:rPr>
              <w:rFonts w:ascii="Arial" w:hAnsi="Arial" w:cs="Arial"/>
              <w:lang w:val="fr-CA"/>
            </w:rPr>
          </w:pPr>
        </w:p>
      </w:tc>
      <w:tc>
        <w:tcPr>
          <w:tcW w:w="4428" w:type="dxa"/>
        </w:tcPr>
        <w:p w:rsidR="003676A1" w:rsidRPr="00597520" w:rsidRDefault="003676A1">
          <w:pPr>
            <w:pStyle w:val="Header"/>
            <w:rPr>
              <w:rFonts w:ascii="Arial" w:hAnsi="Arial" w:cs="Arial"/>
              <w:lang w:val="fr-CA"/>
            </w:rPr>
          </w:pPr>
          <w:r w:rsidRPr="00597520">
            <w:rPr>
              <w:rFonts w:ascii="Arial" w:hAnsi="Arial" w:cs="Arial"/>
              <w:lang w:val="fr-CA"/>
            </w:rPr>
            <w:t xml:space="preserve">Pages : </w:t>
          </w:r>
          <w:r w:rsidRPr="00597520">
            <w:rPr>
              <w:rFonts w:ascii="Arial" w:hAnsi="Arial" w:cs="Arial"/>
              <w:lang w:val="fr-CA"/>
            </w:rPr>
            <w:fldChar w:fldCharType="begin"/>
          </w:r>
          <w:r w:rsidRPr="00597520">
            <w:rPr>
              <w:rFonts w:ascii="Arial" w:hAnsi="Arial" w:cs="Arial"/>
              <w:lang w:val="fr-CA"/>
            </w:rPr>
            <w:instrText xml:space="preserve"> NUMPAGES </w:instrText>
          </w:r>
          <w:r w:rsidRPr="00597520">
            <w:rPr>
              <w:rFonts w:ascii="Arial" w:hAnsi="Arial" w:cs="Arial"/>
              <w:lang w:val="fr-CA"/>
            </w:rPr>
            <w:fldChar w:fldCharType="separate"/>
          </w:r>
          <w:r w:rsidR="00C62B16">
            <w:rPr>
              <w:rFonts w:ascii="Arial" w:hAnsi="Arial" w:cs="Arial"/>
              <w:noProof/>
              <w:lang w:val="fr-CA"/>
            </w:rPr>
            <w:t>4</w:t>
          </w:r>
          <w:r w:rsidRPr="00597520">
            <w:rPr>
              <w:rFonts w:ascii="Arial" w:hAnsi="Arial" w:cs="Arial"/>
              <w:lang w:val="fr-CA"/>
            </w:rPr>
            <w:fldChar w:fldCharType="end"/>
          </w:r>
        </w:p>
      </w:tc>
    </w:tr>
  </w:tbl>
  <w:p w:rsidR="00E67D77" w:rsidRPr="00597520" w:rsidRDefault="009C5550">
    <w:pPr>
      <w:pStyle w:val="Header"/>
      <w:rPr>
        <w:rFonts w:ascii="Arial" w:hAnsi="Arial" w:cs="Arial"/>
        <w:lang w:val="fr-CA"/>
      </w:rPr>
    </w:pPr>
    <w:r w:rsidRPr="00597520">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7F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E67D77" w:rsidRPr="00597520">
      <w:rPr>
        <w:rFonts w:ascii="Arial" w:hAnsi="Arial" w:cs="Arial"/>
        <w:lang w:val="fr-CA"/>
      </w:rPr>
      <w:tab/>
    </w:r>
  </w:p>
  <w:p w:rsidR="00E67D77" w:rsidRPr="00597520" w:rsidRDefault="00E67D77">
    <w:pPr>
      <w:pStyle w:val="Header"/>
      <w:rPr>
        <w:lang w:val="fr-CA"/>
      </w:rPr>
    </w:pPr>
    <w:r w:rsidRPr="00597520">
      <w:rPr>
        <w:rFonts w:ascii="Arial" w:hAnsi="Arial" w:cs="Arial"/>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9D671F"/>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4"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8CD40DB"/>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3FB71B0E"/>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5300BFB"/>
    <w:multiLevelType w:val="hybridMultilevel"/>
    <w:tmpl w:val="0DF01D30"/>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F442938"/>
    <w:multiLevelType w:val="hybridMultilevel"/>
    <w:tmpl w:val="06CC0D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1"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20B734A"/>
    <w:multiLevelType w:val="hybridMultilevel"/>
    <w:tmpl w:val="2D7C3EFA"/>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0"/>
  </w:num>
  <w:num w:numId="3">
    <w:abstractNumId w:val="3"/>
  </w:num>
  <w:num w:numId="4">
    <w:abstractNumId w:val="2"/>
  </w:num>
  <w:num w:numId="5">
    <w:abstractNumId w:val="14"/>
  </w:num>
  <w:num w:numId="6">
    <w:abstractNumId w:val="13"/>
  </w:num>
  <w:num w:numId="7">
    <w:abstractNumId w:val="11"/>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1"/>
  </w:num>
  <w:num w:numId="11">
    <w:abstractNumId w:val="1"/>
    <w:lvlOverride w:ilvl="0">
      <w:lvl w:ilvl="0">
        <w:start w:val="1"/>
        <w:numFmt w:val="decimal"/>
        <w:lvlText w:val="%1."/>
        <w:legacy w:legacy="1" w:legacySpace="0" w:legacyIndent="360"/>
        <w:lvlJc w:val="left"/>
        <w:pPr>
          <w:ind w:left="360" w:hanging="360"/>
        </w:pPr>
      </w:lvl>
    </w:lvlOverride>
  </w:num>
  <w:num w:numId="12">
    <w:abstractNumId w:val="12"/>
  </w:num>
  <w:num w:numId="13">
    <w:abstractNumId w:val="6"/>
  </w:num>
  <w:num w:numId="14">
    <w:abstractNumId w:val="8"/>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8A"/>
    <w:rsid w:val="0004345A"/>
    <w:rsid w:val="00055637"/>
    <w:rsid w:val="00074619"/>
    <w:rsid w:val="000B4642"/>
    <w:rsid w:val="0024668F"/>
    <w:rsid w:val="00344CA6"/>
    <w:rsid w:val="003676A1"/>
    <w:rsid w:val="003B3B87"/>
    <w:rsid w:val="00416521"/>
    <w:rsid w:val="004B2D4B"/>
    <w:rsid w:val="00597520"/>
    <w:rsid w:val="005F2526"/>
    <w:rsid w:val="005F3669"/>
    <w:rsid w:val="00707FA1"/>
    <w:rsid w:val="0073075A"/>
    <w:rsid w:val="00800223"/>
    <w:rsid w:val="00815097"/>
    <w:rsid w:val="00843D56"/>
    <w:rsid w:val="008C6CA0"/>
    <w:rsid w:val="00981C77"/>
    <w:rsid w:val="009913E6"/>
    <w:rsid w:val="009A4050"/>
    <w:rsid w:val="009C5550"/>
    <w:rsid w:val="00A54F3B"/>
    <w:rsid w:val="00AA68E7"/>
    <w:rsid w:val="00B20A5F"/>
    <w:rsid w:val="00B2430B"/>
    <w:rsid w:val="00B8486A"/>
    <w:rsid w:val="00B9188A"/>
    <w:rsid w:val="00BA2F1C"/>
    <w:rsid w:val="00C62B16"/>
    <w:rsid w:val="00DF0659"/>
    <w:rsid w:val="00E60D72"/>
    <w:rsid w:val="00E67D77"/>
    <w:rsid w:val="00ED50DC"/>
    <w:rsid w:val="00F14638"/>
    <w:rsid w:val="00FF6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337888-87AE-41AE-80A0-F12B4755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suppressAutoHyphens/>
      <w:spacing w:after="120"/>
      <w:ind w:left="1440" w:hanging="720"/>
    </w:pPr>
    <w:rPr>
      <w:rFonts w:ascii="Arial" w:hAnsi="Arial"/>
      <w:spacing w:val="-2"/>
      <w:sz w:val="24"/>
      <w:lang w:val="en-GB"/>
    </w:rPr>
  </w:style>
  <w:style w:type="paragraph" w:styleId="BodyTextIndent2">
    <w:name w:val="Body Text Indent 2"/>
    <w:basedOn w:val="Normal"/>
    <w:pPr>
      <w:ind w:left="720"/>
    </w:pPr>
    <w:rPr>
      <w:rFonts w:ascii="Arial" w:hAnsi="Arial"/>
      <w:sz w:val="24"/>
    </w:rPr>
  </w:style>
  <w:style w:type="paragraph" w:styleId="BalloonText">
    <w:name w:val="Balloon Text"/>
    <w:basedOn w:val="Normal"/>
    <w:semiHidden/>
    <w:rsid w:val="00055637"/>
    <w:rPr>
      <w:rFonts w:ascii="Tahoma" w:hAnsi="Tahoma" w:cs="Tahoma"/>
      <w:sz w:val="16"/>
      <w:szCs w:val="16"/>
    </w:rPr>
  </w:style>
  <w:style w:type="character" w:styleId="CommentReference">
    <w:name w:val="annotation reference"/>
    <w:semiHidden/>
    <w:rsid w:val="00055637"/>
    <w:rPr>
      <w:sz w:val="16"/>
      <w:szCs w:val="16"/>
    </w:rPr>
  </w:style>
  <w:style w:type="paragraph" w:styleId="CommentText">
    <w:name w:val="annotation text"/>
    <w:basedOn w:val="Normal"/>
    <w:semiHidden/>
    <w:rsid w:val="00055637"/>
  </w:style>
  <w:style w:type="paragraph" w:styleId="CommentSubject">
    <w:name w:val="annotation subject"/>
    <w:basedOn w:val="CommentText"/>
    <w:next w:val="CommentText"/>
    <w:semiHidden/>
    <w:rsid w:val="00055637"/>
    <w:rPr>
      <w:b/>
      <w:bCs/>
    </w:rPr>
  </w:style>
  <w:style w:type="paragraph" w:styleId="ListParagraph">
    <w:name w:val="List Paragraph"/>
    <w:basedOn w:val="Normal"/>
    <w:uiPriority w:val="34"/>
    <w:qFormat/>
    <w:rsid w:val="003676A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3A029-2A76-4295-9C27-450B8649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SP.028 - Cell Separation-High Speed</vt:lpstr>
      <vt:lpstr>SP.028 - Cell Separation-High Speed</vt:lpstr>
    </vt:vector>
  </TitlesOfParts>
  <Company>Microsoft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SP.028 - Cell Separation-High Speed</dc:title>
  <dc:subject/>
  <dc:creator>Transfusion Ontario Program Office</dc:creator>
  <cp:keywords/>
  <cp:lastModifiedBy>Nesrallah, Heather</cp:lastModifiedBy>
  <cp:revision>2</cp:revision>
  <cp:lastPrinted>2010-08-04T15:49:00Z</cp:lastPrinted>
  <dcterms:created xsi:type="dcterms:W3CDTF">2020-08-11T15:45:00Z</dcterms:created>
  <dcterms:modified xsi:type="dcterms:W3CDTF">2020-08-11T15:45:00Z</dcterms:modified>
</cp:coreProperties>
</file>