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E5" w:rsidRPr="000620E1" w:rsidRDefault="006806BE" w:rsidP="006806BE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0620E1">
        <w:rPr>
          <w:rFonts w:ascii="Arial" w:hAnsi="Arial"/>
          <w:b/>
          <w:sz w:val="28"/>
          <w:lang w:val="fr-CA"/>
        </w:rPr>
        <w:t>Principe</w:t>
      </w:r>
    </w:p>
    <w:p w:rsidR="00316FE5" w:rsidRPr="000620E1" w:rsidRDefault="00316FE5">
      <w:pPr>
        <w:spacing w:line="228" w:lineRule="auto"/>
        <w:rPr>
          <w:rFonts w:ascii="Arial" w:hAnsi="Arial"/>
          <w:b/>
          <w:sz w:val="24"/>
          <w:lang w:val="fr-CA"/>
        </w:rPr>
      </w:pPr>
    </w:p>
    <w:p w:rsidR="00316FE5" w:rsidRPr="000620E1" w:rsidRDefault="000620E1">
      <w:pPr>
        <w:suppressAutoHyphens/>
        <w:spacing w:line="228" w:lineRule="auto"/>
        <w:ind w:left="720" w:right="480"/>
        <w:rPr>
          <w:rFonts w:ascii="Arial" w:hAnsi="Arial"/>
          <w:spacing w:val="-2"/>
          <w:sz w:val="24"/>
          <w:lang w:val="fr-CA"/>
        </w:rPr>
      </w:pPr>
      <w:r w:rsidRPr="000620E1">
        <w:rPr>
          <w:rFonts w:ascii="Arial" w:hAnsi="Arial"/>
          <w:spacing w:val="-2"/>
          <w:sz w:val="24"/>
          <w:lang w:val="fr-CA"/>
        </w:rPr>
        <w:t xml:space="preserve">La présence d’un autoanticorps réactif chaud dans le plasma d’un patient peut masquer celle d’un </w:t>
      </w:r>
      <w:proofErr w:type="spellStart"/>
      <w:r w:rsidRPr="000620E1">
        <w:rPr>
          <w:rFonts w:ascii="Arial" w:hAnsi="Arial"/>
          <w:spacing w:val="-2"/>
          <w:sz w:val="24"/>
          <w:lang w:val="fr-CA"/>
        </w:rPr>
        <w:t>alloanticorps</w:t>
      </w:r>
      <w:proofErr w:type="spellEnd"/>
      <w:r w:rsidRPr="000620E1">
        <w:rPr>
          <w:rFonts w:ascii="Arial" w:hAnsi="Arial"/>
          <w:spacing w:val="-2"/>
          <w:sz w:val="24"/>
          <w:lang w:val="fr-CA"/>
        </w:rPr>
        <w:t xml:space="preserve"> cliniquement significatif. </w:t>
      </w:r>
      <w:r w:rsidR="00316FE5" w:rsidRPr="000620E1">
        <w:rPr>
          <w:rFonts w:ascii="Arial" w:hAnsi="Arial"/>
          <w:spacing w:val="-2"/>
          <w:sz w:val="24"/>
          <w:lang w:val="fr-CA"/>
        </w:rPr>
        <w:t xml:space="preserve"> </w:t>
      </w:r>
      <w:r w:rsidRPr="000620E1">
        <w:rPr>
          <w:rFonts w:ascii="Arial" w:hAnsi="Arial"/>
          <w:spacing w:val="-2"/>
          <w:sz w:val="24"/>
          <w:lang w:val="fr-CA"/>
        </w:rPr>
        <w:t xml:space="preserve">Si l’on veut déterminer la présence d’un </w:t>
      </w:r>
      <w:proofErr w:type="spellStart"/>
      <w:r w:rsidRPr="000620E1">
        <w:rPr>
          <w:rFonts w:ascii="Arial" w:hAnsi="Arial"/>
          <w:spacing w:val="-2"/>
          <w:sz w:val="24"/>
          <w:lang w:val="fr-CA"/>
        </w:rPr>
        <w:t>alloanticorps</w:t>
      </w:r>
      <w:proofErr w:type="spellEnd"/>
      <w:r w:rsidRPr="000620E1">
        <w:rPr>
          <w:rFonts w:ascii="Arial" w:hAnsi="Arial"/>
          <w:spacing w:val="-2"/>
          <w:sz w:val="24"/>
          <w:lang w:val="fr-CA"/>
        </w:rPr>
        <w:t xml:space="preserve"> quelconque, il faut a</w:t>
      </w:r>
      <w:r w:rsidR="00135522">
        <w:rPr>
          <w:rFonts w:ascii="Arial" w:hAnsi="Arial"/>
          <w:spacing w:val="-2"/>
          <w:sz w:val="24"/>
          <w:lang w:val="fr-CA"/>
        </w:rPr>
        <w:t>d</w:t>
      </w:r>
      <w:r w:rsidRPr="000620E1">
        <w:rPr>
          <w:rFonts w:ascii="Arial" w:hAnsi="Arial"/>
          <w:spacing w:val="-2"/>
          <w:sz w:val="24"/>
          <w:lang w:val="fr-CA"/>
        </w:rPr>
        <w:t xml:space="preserve">sorber l’autoanticorps pour l’exclure. S’il est impossible de procéder à l’absorption sur des cellules autologues </w:t>
      </w:r>
      <w:proofErr w:type="spellStart"/>
      <w:r w:rsidRPr="000620E1">
        <w:rPr>
          <w:rFonts w:ascii="Arial" w:hAnsi="Arial"/>
          <w:spacing w:val="-2"/>
          <w:sz w:val="24"/>
          <w:lang w:val="fr-CA"/>
        </w:rPr>
        <w:t>prétransfusionnelles</w:t>
      </w:r>
      <w:proofErr w:type="spellEnd"/>
      <w:r w:rsidRPr="000620E1">
        <w:rPr>
          <w:rFonts w:ascii="Arial" w:hAnsi="Arial"/>
          <w:spacing w:val="-2"/>
          <w:sz w:val="24"/>
          <w:lang w:val="fr-CA"/>
        </w:rPr>
        <w:t xml:space="preserve">, on peut se servir de cellules </w:t>
      </w:r>
      <w:r w:rsidR="00316FE5" w:rsidRPr="000620E1">
        <w:rPr>
          <w:rFonts w:ascii="Arial" w:hAnsi="Arial"/>
          <w:spacing w:val="-2"/>
          <w:sz w:val="24"/>
          <w:lang w:val="fr-CA"/>
        </w:rPr>
        <w:t>homologu</w:t>
      </w:r>
      <w:r w:rsidRPr="000620E1">
        <w:rPr>
          <w:rFonts w:ascii="Arial" w:hAnsi="Arial"/>
          <w:spacing w:val="-2"/>
          <w:sz w:val="24"/>
          <w:lang w:val="fr-CA"/>
        </w:rPr>
        <w:t>e</w:t>
      </w:r>
      <w:r w:rsidR="00316FE5" w:rsidRPr="000620E1">
        <w:rPr>
          <w:rFonts w:ascii="Arial" w:hAnsi="Arial"/>
          <w:spacing w:val="-2"/>
          <w:sz w:val="24"/>
          <w:lang w:val="fr-CA"/>
        </w:rPr>
        <w:t xml:space="preserve">s. </w:t>
      </w:r>
      <w:r w:rsidRPr="000620E1">
        <w:rPr>
          <w:rFonts w:ascii="Arial" w:hAnsi="Arial"/>
          <w:spacing w:val="-2"/>
          <w:sz w:val="24"/>
          <w:lang w:val="fr-CA"/>
        </w:rPr>
        <w:t xml:space="preserve">Il vaut mieux se servir de cellules ayant le même phénotype que celles du patient pour éviter d’exclure par </w:t>
      </w:r>
      <w:r w:rsidR="00316FE5" w:rsidRPr="000620E1">
        <w:rPr>
          <w:rFonts w:ascii="Arial" w:hAnsi="Arial"/>
          <w:spacing w:val="-2"/>
          <w:sz w:val="24"/>
          <w:lang w:val="fr-CA"/>
        </w:rPr>
        <w:t>a</w:t>
      </w:r>
      <w:r w:rsidR="00135522">
        <w:rPr>
          <w:rFonts w:ascii="Arial" w:hAnsi="Arial"/>
          <w:spacing w:val="-2"/>
          <w:sz w:val="24"/>
          <w:lang w:val="fr-CA"/>
        </w:rPr>
        <w:t>d</w:t>
      </w:r>
      <w:r w:rsidR="00316FE5" w:rsidRPr="000620E1">
        <w:rPr>
          <w:rFonts w:ascii="Arial" w:hAnsi="Arial"/>
          <w:spacing w:val="-2"/>
          <w:sz w:val="24"/>
          <w:lang w:val="fr-CA"/>
        </w:rPr>
        <w:t>sor</w:t>
      </w:r>
      <w:r w:rsidRPr="000620E1">
        <w:rPr>
          <w:rFonts w:ascii="Arial" w:hAnsi="Arial"/>
          <w:spacing w:val="-2"/>
          <w:sz w:val="24"/>
          <w:lang w:val="fr-CA"/>
        </w:rPr>
        <w:t xml:space="preserve">ption tout </w:t>
      </w:r>
      <w:proofErr w:type="spellStart"/>
      <w:r w:rsidRPr="000620E1">
        <w:rPr>
          <w:rFonts w:ascii="Arial" w:hAnsi="Arial"/>
          <w:spacing w:val="-2"/>
          <w:sz w:val="24"/>
          <w:lang w:val="fr-CA"/>
        </w:rPr>
        <w:t>alloanticorps</w:t>
      </w:r>
      <w:proofErr w:type="spellEnd"/>
      <w:r w:rsidRPr="000620E1">
        <w:rPr>
          <w:rFonts w:ascii="Arial" w:hAnsi="Arial"/>
          <w:spacing w:val="-2"/>
          <w:sz w:val="24"/>
          <w:lang w:val="fr-CA"/>
        </w:rPr>
        <w:t xml:space="preserve"> qui pourrait se former chez le patient.</w:t>
      </w:r>
      <w:r w:rsidR="00316FE5" w:rsidRPr="000620E1">
        <w:rPr>
          <w:rFonts w:ascii="Arial" w:hAnsi="Arial"/>
          <w:spacing w:val="-2"/>
          <w:sz w:val="24"/>
          <w:lang w:val="fr-CA"/>
        </w:rPr>
        <w:t xml:space="preserve"> </w:t>
      </w:r>
    </w:p>
    <w:p w:rsidR="00316FE5" w:rsidRPr="000620E1" w:rsidRDefault="00316FE5">
      <w:pPr>
        <w:spacing w:line="228" w:lineRule="auto"/>
        <w:rPr>
          <w:rFonts w:ascii="Arial" w:hAnsi="Arial"/>
          <w:b/>
          <w:sz w:val="24"/>
          <w:lang w:val="fr-CA"/>
        </w:rPr>
      </w:pPr>
    </w:p>
    <w:p w:rsidR="00316FE5" w:rsidRPr="00814787" w:rsidRDefault="000620E1" w:rsidP="000620E1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814787">
        <w:rPr>
          <w:rFonts w:ascii="Arial" w:hAnsi="Arial"/>
          <w:b/>
          <w:sz w:val="28"/>
          <w:lang w:val="fr-CA"/>
        </w:rPr>
        <w:t>Portée et politiques connexes</w:t>
      </w:r>
      <w:r w:rsidR="00316FE5" w:rsidRPr="00814787">
        <w:rPr>
          <w:rFonts w:ascii="Arial" w:hAnsi="Arial"/>
          <w:b/>
          <w:sz w:val="28"/>
          <w:lang w:val="fr-CA"/>
        </w:rPr>
        <w:t xml:space="preserve"> </w:t>
      </w:r>
    </w:p>
    <w:p w:rsidR="00316FE5" w:rsidRPr="005A19ED" w:rsidRDefault="00316FE5">
      <w:pPr>
        <w:spacing w:line="228" w:lineRule="auto"/>
        <w:rPr>
          <w:rFonts w:ascii="Arial" w:hAnsi="Arial"/>
          <w:b/>
          <w:sz w:val="24"/>
          <w:lang w:val="fr-CA"/>
        </w:rPr>
      </w:pPr>
    </w:p>
    <w:p w:rsidR="00316FE5" w:rsidRPr="005A19ED" w:rsidRDefault="005A19ED">
      <w:pPr>
        <w:numPr>
          <w:ilvl w:val="1"/>
          <w:numId w:val="1"/>
        </w:numPr>
        <w:suppressAutoHyphens/>
        <w:spacing w:line="228" w:lineRule="auto"/>
        <w:ind w:right="480"/>
        <w:rPr>
          <w:rFonts w:ascii="Arial" w:hAnsi="Arial"/>
          <w:spacing w:val="-2"/>
          <w:sz w:val="24"/>
          <w:lang w:val="fr-CA"/>
        </w:rPr>
      </w:pPr>
      <w:r w:rsidRPr="005A19ED">
        <w:rPr>
          <w:rFonts w:ascii="Arial" w:hAnsi="Arial"/>
          <w:spacing w:val="-2"/>
          <w:sz w:val="24"/>
          <w:lang w:val="fr-CA"/>
        </w:rPr>
        <w:t xml:space="preserve">Le recours à des cellules traitées par </w:t>
      </w:r>
      <w:r w:rsidR="00316FE5" w:rsidRPr="005A19ED">
        <w:rPr>
          <w:rFonts w:ascii="Arial" w:hAnsi="Arial"/>
          <w:spacing w:val="-2"/>
          <w:sz w:val="24"/>
          <w:lang w:val="fr-CA"/>
        </w:rPr>
        <w:t xml:space="preserve">ZZAP </w:t>
      </w:r>
      <w:r w:rsidRPr="005A19ED">
        <w:rPr>
          <w:rFonts w:ascii="Arial" w:hAnsi="Arial"/>
          <w:spacing w:val="-2"/>
          <w:sz w:val="24"/>
          <w:lang w:val="fr-CA"/>
        </w:rPr>
        <w:t>simplifie la procédure puisque la pl</w:t>
      </w:r>
      <w:r>
        <w:rPr>
          <w:rFonts w:ascii="Arial" w:hAnsi="Arial"/>
          <w:spacing w:val="-2"/>
          <w:sz w:val="24"/>
          <w:lang w:val="fr-CA"/>
        </w:rPr>
        <w:t>u</w:t>
      </w:r>
      <w:r w:rsidRPr="005A19ED">
        <w:rPr>
          <w:rFonts w:ascii="Arial" w:hAnsi="Arial"/>
          <w:spacing w:val="-2"/>
          <w:sz w:val="24"/>
          <w:lang w:val="fr-CA"/>
        </w:rPr>
        <w:t xml:space="preserve">part des antigènes sont détruits, sauf </w:t>
      </w:r>
      <w:r w:rsidR="00316FE5" w:rsidRPr="005A19ED">
        <w:rPr>
          <w:rFonts w:ascii="Arial" w:hAnsi="Arial"/>
          <w:spacing w:val="-2"/>
          <w:sz w:val="24"/>
          <w:lang w:val="fr-CA"/>
        </w:rPr>
        <w:t xml:space="preserve">Rh </w:t>
      </w:r>
      <w:r w:rsidRPr="005A19ED">
        <w:rPr>
          <w:rFonts w:ascii="Arial" w:hAnsi="Arial"/>
          <w:spacing w:val="-2"/>
          <w:sz w:val="24"/>
          <w:lang w:val="fr-CA"/>
        </w:rPr>
        <w:t>et</w:t>
      </w:r>
      <w:r w:rsidR="00316FE5" w:rsidRPr="005A19ED">
        <w:rPr>
          <w:rFonts w:ascii="Arial" w:hAnsi="Arial"/>
          <w:spacing w:val="-2"/>
          <w:sz w:val="24"/>
          <w:lang w:val="fr-CA"/>
        </w:rPr>
        <w:t xml:space="preserve"> </w:t>
      </w:r>
      <w:proofErr w:type="spellStart"/>
      <w:r w:rsidR="00316FE5" w:rsidRPr="005A19ED">
        <w:rPr>
          <w:rFonts w:ascii="Arial" w:hAnsi="Arial"/>
          <w:spacing w:val="-2"/>
          <w:sz w:val="24"/>
          <w:lang w:val="fr-CA"/>
        </w:rPr>
        <w:t>Jk</w:t>
      </w:r>
      <w:proofErr w:type="spellEnd"/>
      <w:r w:rsidR="00430F5F">
        <w:rPr>
          <w:rFonts w:ascii="Arial" w:hAnsi="Arial"/>
          <w:spacing w:val="-2"/>
          <w:sz w:val="24"/>
          <w:lang w:val="fr-CA"/>
        </w:rPr>
        <w:t xml:space="preserve"> qui sont les anticorps cliniquement significatifs les plus fréquents</w:t>
      </w:r>
      <w:r w:rsidR="00430F5F">
        <w:rPr>
          <w:rFonts w:ascii="Arial" w:hAnsi="Arial"/>
          <w:spacing w:val="-2"/>
          <w:sz w:val="24"/>
          <w:vertAlign w:val="superscript"/>
          <w:lang w:val="fr-CA"/>
        </w:rPr>
        <w:t>9.1</w:t>
      </w:r>
      <w:r w:rsidR="00316FE5" w:rsidRPr="005A19ED">
        <w:rPr>
          <w:rFonts w:ascii="Arial" w:hAnsi="Arial"/>
          <w:spacing w:val="-2"/>
          <w:sz w:val="24"/>
          <w:lang w:val="fr-CA"/>
        </w:rPr>
        <w:t>.</w:t>
      </w:r>
    </w:p>
    <w:p w:rsidR="00316FE5" w:rsidRPr="000620E1" w:rsidRDefault="00316FE5">
      <w:pPr>
        <w:suppressAutoHyphens/>
        <w:spacing w:line="228" w:lineRule="auto"/>
        <w:ind w:left="720" w:right="480"/>
        <w:rPr>
          <w:rFonts w:ascii="Arial" w:hAnsi="Arial"/>
          <w:spacing w:val="-2"/>
          <w:sz w:val="24"/>
          <w:lang w:val="fr-CA"/>
        </w:rPr>
      </w:pPr>
    </w:p>
    <w:p w:rsidR="00316FE5" w:rsidRPr="005A19ED" w:rsidRDefault="005A19ED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A19ED">
        <w:rPr>
          <w:rFonts w:ascii="Arial" w:hAnsi="Arial"/>
          <w:spacing w:val="-2"/>
          <w:sz w:val="24"/>
          <w:lang w:val="fr-CA"/>
        </w:rPr>
        <w:t>L’interprétation des résultats finaux doit être faite avec la participation du t</w:t>
      </w:r>
      <w:r w:rsidRPr="00814787">
        <w:rPr>
          <w:rFonts w:ascii="Arial" w:hAnsi="Arial"/>
          <w:spacing w:val="-2"/>
          <w:sz w:val="24"/>
          <w:lang w:val="fr-CA"/>
        </w:rPr>
        <w:t>echnologue principal ou responsable</w:t>
      </w:r>
      <w:r w:rsidR="00316FE5" w:rsidRPr="005A19ED">
        <w:rPr>
          <w:rFonts w:ascii="Arial" w:hAnsi="Arial"/>
          <w:spacing w:val="-2"/>
          <w:sz w:val="24"/>
          <w:lang w:val="fr-CA"/>
        </w:rPr>
        <w:t xml:space="preserve"> </w:t>
      </w:r>
      <w:r w:rsidRPr="005A19ED">
        <w:rPr>
          <w:rFonts w:ascii="Arial" w:hAnsi="Arial"/>
          <w:spacing w:val="-2"/>
          <w:sz w:val="24"/>
          <w:lang w:val="fr-CA"/>
        </w:rPr>
        <w:t xml:space="preserve">et revue par le directeur médical ou son représentant avec d’inscrire l’interprétation. </w:t>
      </w:r>
    </w:p>
    <w:p w:rsidR="00316FE5" w:rsidRPr="000620E1" w:rsidRDefault="00316FE5">
      <w:pPr>
        <w:spacing w:line="228" w:lineRule="auto"/>
        <w:rPr>
          <w:rFonts w:ascii="Arial" w:hAnsi="Arial"/>
          <w:sz w:val="24"/>
          <w:lang w:val="fr-CA"/>
        </w:rPr>
      </w:pPr>
    </w:p>
    <w:p w:rsidR="00316FE5" w:rsidRPr="00814787" w:rsidRDefault="000620E1" w:rsidP="000620E1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814787">
        <w:rPr>
          <w:rFonts w:ascii="Arial" w:hAnsi="Arial"/>
          <w:b/>
          <w:color w:val="000000"/>
          <w:sz w:val="28"/>
          <w:lang w:val="fr-CA"/>
        </w:rPr>
        <w:t>Échantillon</w:t>
      </w:r>
    </w:p>
    <w:p w:rsidR="00316FE5" w:rsidRPr="000620E1" w:rsidRDefault="00316FE5">
      <w:pPr>
        <w:spacing w:line="228" w:lineRule="auto"/>
        <w:rPr>
          <w:rFonts w:ascii="Arial" w:hAnsi="Arial"/>
          <w:sz w:val="24"/>
          <w:lang w:val="fr-CA"/>
        </w:rPr>
      </w:pPr>
    </w:p>
    <w:p w:rsidR="00316FE5" w:rsidRPr="000620E1" w:rsidRDefault="00316FE5">
      <w:pPr>
        <w:spacing w:line="228" w:lineRule="auto"/>
        <w:ind w:left="720"/>
        <w:rPr>
          <w:rFonts w:ascii="Arial" w:hAnsi="Arial"/>
          <w:sz w:val="24"/>
          <w:lang w:val="fr-CA"/>
        </w:rPr>
      </w:pPr>
      <w:bookmarkStart w:id="1" w:name="OLE_LINK1"/>
      <w:bookmarkStart w:id="2" w:name="OLE_LINK2"/>
      <w:r w:rsidRPr="00814787">
        <w:rPr>
          <w:rFonts w:ascii="Arial" w:hAnsi="Arial"/>
          <w:sz w:val="24"/>
          <w:lang w:val="fr-CA"/>
        </w:rPr>
        <w:t>P</w:t>
      </w:r>
      <w:r w:rsidR="005A19ED" w:rsidRPr="00814787">
        <w:rPr>
          <w:rFonts w:ascii="Arial" w:hAnsi="Arial"/>
          <w:sz w:val="24"/>
          <w:lang w:val="fr-CA"/>
        </w:rPr>
        <w:t>lasma du patient à être absorbé</w:t>
      </w:r>
      <w:bookmarkEnd w:id="1"/>
      <w:bookmarkEnd w:id="2"/>
      <w:r w:rsidR="00726E71">
        <w:rPr>
          <w:rFonts w:ascii="Arial" w:hAnsi="Arial"/>
          <w:sz w:val="24"/>
          <w:lang w:val="fr-CA"/>
        </w:rPr>
        <w:br/>
      </w:r>
    </w:p>
    <w:p w:rsidR="00316FE5" w:rsidRPr="00675FB5" w:rsidRDefault="000620E1" w:rsidP="00675FB5">
      <w:pPr>
        <w:numPr>
          <w:ilvl w:val="0"/>
          <w:numId w:val="1"/>
        </w:numPr>
        <w:tabs>
          <w:tab w:val="left" w:pos="720"/>
        </w:tabs>
        <w:spacing w:line="228" w:lineRule="auto"/>
        <w:ind w:left="2880" w:hanging="2880"/>
        <w:rPr>
          <w:rFonts w:ascii="Arial" w:hAnsi="Arial"/>
          <w:b/>
          <w:sz w:val="28"/>
          <w:lang w:val="fr-CA"/>
        </w:rPr>
      </w:pPr>
      <w:r w:rsidRPr="00675FB5">
        <w:rPr>
          <w:rFonts w:ascii="Arial" w:hAnsi="Arial"/>
          <w:b/>
          <w:sz w:val="28"/>
          <w:lang w:val="fr-CA"/>
        </w:rPr>
        <w:t>Matériel</w:t>
      </w:r>
    </w:p>
    <w:p w:rsidR="00316FE5" w:rsidRPr="00675FB5" w:rsidRDefault="00316FE5">
      <w:pPr>
        <w:spacing w:line="228" w:lineRule="auto"/>
        <w:rPr>
          <w:rFonts w:ascii="Arial" w:hAnsi="Arial"/>
          <w:sz w:val="24"/>
          <w:lang w:val="fr-CA"/>
        </w:rPr>
      </w:pPr>
    </w:p>
    <w:p w:rsidR="00316FE5" w:rsidRPr="00675FB5" w:rsidRDefault="000620E1" w:rsidP="000620E1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b/>
          <w:sz w:val="24"/>
          <w:lang w:val="fr-CA"/>
        </w:rPr>
        <w:t>Équipement</w:t>
      </w:r>
      <w:r w:rsidRPr="00675FB5">
        <w:rPr>
          <w:rFonts w:ascii="Arial" w:hAnsi="Arial"/>
          <w:sz w:val="24"/>
          <w:lang w:val="fr-CA"/>
        </w:rPr>
        <w:t> :</w:t>
      </w:r>
      <w:r w:rsidRPr="00675FB5">
        <w:rPr>
          <w:rFonts w:ascii="Arial" w:hAnsi="Arial"/>
          <w:sz w:val="24"/>
          <w:lang w:val="fr-CA"/>
        </w:rPr>
        <w:tab/>
        <w:t>centrifugeuse sérologique‎</w:t>
      </w:r>
    </w:p>
    <w:p w:rsidR="00316FE5" w:rsidRPr="00675FB5" w:rsidRDefault="00316FE5" w:rsidP="000620E1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  <w:proofErr w:type="gramStart"/>
      <w:r w:rsidR="000620E1" w:rsidRPr="00675FB5">
        <w:rPr>
          <w:rFonts w:ascii="Arial" w:hAnsi="Arial"/>
          <w:sz w:val="24"/>
          <w:lang w:val="fr-CA"/>
        </w:rPr>
        <w:t>support</w:t>
      </w:r>
      <w:proofErr w:type="gramEnd"/>
      <w:r w:rsidR="000620E1" w:rsidRPr="00675FB5">
        <w:rPr>
          <w:rFonts w:ascii="Arial" w:hAnsi="Arial"/>
          <w:sz w:val="24"/>
          <w:lang w:val="fr-CA"/>
        </w:rPr>
        <w:t xml:space="preserve"> à tubes</w:t>
      </w:r>
    </w:p>
    <w:p w:rsidR="00316FE5" w:rsidRPr="00675FB5" w:rsidRDefault="000620E1" w:rsidP="000620E1">
      <w:pPr>
        <w:spacing w:line="228" w:lineRule="auto"/>
        <w:ind w:left="2880"/>
        <w:rPr>
          <w:rFonts w:ascii="Arial" w:hAnsi="Arial"/>
          <w:sz w:val="24"/>
          <w:lang w:val="fr-CA"/>
        </w:rPr>
      </w:pPr>
      <w:proofErr w:type="gramStart"/>
      <w:r w:rsidRPr="00675FB5">
        <w:rPr>
          <w:rFonts w:ascii="Arial" w:hAnsi="Arial"/>
          <w:sz w:val="24"/>
          <w:lang w:val="fr-CA"/>
        </w:rPr>
        <w:t>bain</w:t>
      </w:r>
      <w:proofErr w:type="gramEnd"/>
      <w:r w:rsidRPr="00675FB5">
        <w:rPr>
          <w:rFonts w:ascii="Arial" w:hAnsi="Arial"/>
          <w:sz w:val="24"/>
          <w:lang w:val="fr-CA"/>
        </w:rPr>
        <w:t>-marie</w:t>
      </w:r>
      <w:r w:rsidR="00135522">
        <w:rPr>
          <w:rFonts w:ascii="Arial" w:hAnsi="Arial"/>
          <w:sz w:val="24"/>
          <w:lang w:val="fr-CA"/>
        </w:rPr>
        <w:t xml:space="preserve"> </w:t>
      </w:r>
      <w:r w:rsidRPr="00675FB5">
        <w:rPr>
          <w:rFonts w:ascii="Arial" w:hAnsi="Arial"/>
          <w:sz w:val="24"/>
          <w:lang w:val="fr-CA"/>
        </w:rPr>
        <w:t>/</w:t>
      </w:r>
      <w:r w:rsidR="00135522">
        <w:rPr>
          <w:rFonts w:ascii="Arial" w:hAnsi="Arial"/>
          <w:sz w:val="24"/>
          <w:lang w:val="fr-CA"/>
        </w:rPr>
        <w:t xml:space="preserve"> </w:t>
      </w:r>
      <w:r w:rsidRPr="00675FB5">
        <w:rPr>
          <w:rFonts w:ascii="Arial" w:hAnsi="Arial"/>
          <w:sz w:val="24"/>
          <w:lang w:val="fr-CA"/>
        </w:rPr>
        <w:t>bloc chauffant à 37</w:t>
      </w:r>
      <w:r w:rsidR="005C7697">
        <w:rPr>
          <w:rFonts w:ascii="Arial" w:hAnsi="Arial"/>
          <w:sz w:val="24"/>
          <w:lang w:val="fr-CA"/>
        </w:rPr>
        <w:t>°</w:t>
      </w:r>
      <w:r w:rsidRPr="00675FB5">
        <w:rPr>
          <w:rFonts w:ascii="Arial" w:hAnsi="Arial"/>
          <w:sz w:val="24"/>
          <w:lang w:val="fr-CA"/>
        </w:rPr>
        <w:t>C</w:t>
      </w:r>
    </w:p>
    <w:p w:rsidR="00316FE5" w:rsidRPr="00675FB5" w:rsidRDefault="00316FE5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</w:p>
    <w:p w:rsidR="00316FE5" w:rsidRPr="00675FB5" w:rsidRDefault="001940FA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b/>
          <w:sz w:val="24"/>
          <w:lang w:val="fr-CA"/>
        </w:rPr>
        <w:t>Fournitures</w:t>
      </w:r>
      <w:r w:rsidR="005C7697">
        <w:rPr>
          <w:rFonts w:ascii="Arial" w:hAnsi="Arial"/>
          <w:b/>
          <w:sz w:val="24"/>
          <w:lang w:val="fr-CA"/>
        </w:rPr>
        <w:t> </w:t>
      </w:r>
      <w:r w:rsidR="00316FE5" w:rsidRPr="00675FB5">
        <w:rPr>
          <w:rFonts w:ascii="Arial" w:hAnsi="Arial"/>
          <w:b/>
          <w:sz w:val="24"/>
          <w:lang w:val="fr-CA"/>
        </w:rPr>
        <w:t>:</w:t>
      </w:r>
      <w:r w:rsidR="00316FE5"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 xml:space="preserve">tubes de </w:t>
      </w:r>
      <w:r w:rsidR="00316FE5" w:rsidRPr="00675FB5">
        <w:rPr>
          <w:rFonts w:ascii="Arial" w:hAnsi="Arial"/>
          <w:sz w:val="24"/>
          <w:lang w:val="fr-CA"/>
        </w:rPr>
        <w:t>10</w:t>
      </w:r>
      <w:r w:rsidR="005C7697">
        <w:rPr>
          <w:rFonts w:ascii="Arial" w:hAnsi="Arial"/>
          <w:sz w:val="24"/>
          <w:lang w:val="fr-CA"/>
        </w:rPr>
        <w:t> </w:t>
      </w:r>
      <w:proofErr w:type="spellStart"/>
      <w:r w:rsidR="00316FE5" w:rsidRPr="00675FB5">
        <w:rPr>
          <w:rFonts w:ascii="Arial" w:hAnsi="Arial"/>
          <w:sz w:val="24"/>
          <w:lang w:val="fr-CA"/>
        </w:rPr>
        <w:t>mL</w:t>
      </w:r>
      <w:proofErr w:type="spellEnd"/>
      <w:r w:rsidR="00316FE5" w:rsidRPr="00675FB5">
        <w:rPr>
          <w:rFonts w:ascii="Arial" w:hAnsi="Arial"/>
          <w:sz w:val="24"/>
          <w:lang w:val="fr-CA"/>
        </w:rPr>
        <w:t xml:space="preserve"> </w:t>
      </w:r>
    </w:p>
    <w:p w:rsidR="00316FE5" w:rsidRPr="00675FB5" w:rsidRDefault="00316FE5" w:rsidP="000620E1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  <w:proofErr w:type="gramStart"/>
      <w:r w:rsidR="000620E1" w:rsidRPr="00675FB5">
        <w:rPr>
          <w:rFonts w:ascii="Arial" w:hAnsi="Arial"/>
          <w:sz w:val="24"/>
          <w:lang w:val="fr-CA"/>
        </w:rPr>
        <w:t>pipettes</w:t>
      </w:r>
      <w:proofErr w:type="gramEnd"/>
      <w:r w:rsidR="000620E1" w:rsidRPr="00675FB5">
        <w:rPr>
          <w:rFonts w:ascii="Arial" w:hAnsi="Arial"/>
          <w:sz w:val="24"/>
          <w:lang w:val="fr-CA"/>
        </w:rPr>
        <w:t xml:space="preserve"> sérologiques</w:t>
      </w:r>
    </w:p>
    <w:p w:rsidR="00316FE5" w:rsidRPr="00675FB5" w:rsidRDefault="00316FE5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sz w:val="24"/>
          <w:lang w:val="fr-CA"/>
        </w:rPr>
        <w:lastRenderedPageBreak/>
        <w:tab/>
      </w:r>
      <w:r w:rsidRPr="00675FB5">
        <w:rPr>
          <w:rFonts w:ascii="Arial" w:hAnsi="Arial"/>
          <w:sz w:val="24"/>
          <w:lang w:val="fr-CA"/>
        </w:rPr>
        <w:tab/>
      </w:r>
      <w:r w:rsidRPr="00675FB5">
        <w:rPr>
          <w:rFonts w:ascii="Arial" w:hAnsi="Arial"/>
          <w:sz w:val="24"/>
          <w:lang w:val="fr-CA"/>
        </w:rPr>
        <w:tab/>
      </w:r>
    </w:p>
    <w:p w:rsidR="00316FE5" w:rsidRDefault="001940FA" w:rsidP="00675FB5">
      <w:pPr>
        <w:spacing w:line="228" w:lineRule="auto"/>
        <w:ind w:left="2880" w:hanging="2160"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b/>
          <w:sz w:val="24"/>
          <w:lang w:val="fr-CA"/>
        </w:rPr>
        <w:t>Réactifs</w:t>
      </w:r>
      <w:r w:rsidR="005C7697">
        <w:rPr>
          <w:rFonts w:ascii="Arial" w:hAnsi="Arial"/>
          <w:b/>
          <w:sz w:val="24"/>
          <w:lang w:val="fr-CA"/>
        </w:rPr>
        <w:t> </w:t>
      </w:r>
      <w:r w:rsidR="00316FE5" w:rsidRPr="00675FB5">
        <w:rPr>
          <w:rFonts w:ascii="Arial" w:hAnsi="Arial"/>
          <w:b/>
          <w:sz w:val="24"/>
          <w:lang w:val="fr-CA"/>
        </w:rPr>
        <w:t>:</w:t>
      </w:r>
      <w:r w:rsidR="00316FE5" w:rsidRPr="00675FB5">
        <w:rPr>
          <w:rFonts w:ascii="Arial" w:hAnsi="Arial"/>
          <w:sz w:val="24"/>
          <w:lang w:val="fr-CA"/>
        </w:rPr>
        <w:tab/>
      </w:r>
      <w:r w:rsidR="00675FB5">
        <w:rPr>
          <w:rFonts w:ascii="Arial" w:hAnsi="Arial"/>
          <w:sz w:val="24"/>
          <w:lang w:val="fr-CA"/>
        </w:rPr>
        <w:t>h</w:t>
      </w:r>
      <w:r w:rsidR="00675FB5" w:rsidRPr="00675FB5">
        <w:rPr>
          <w:rFonts w:ascii="Arial" w:hAnsi="Arial"/>
          <w:sz w:val="24"/>
          <w:lang w:val="fr-CA"/>
        </w:rPr>
        <w:t xml:space="preserve">ématies traitées par </w:t>
      </w:r>
      <w:r w:rsidR="00316FE5" w:rsidRPr="00675FB5">
        <w:rPr>
          <w:rFonts w:ascii="Arial" w:hAnsi="Arial"/>
          <w:spacing w:val="-2"/>
          <w:sz w:val="24"/>
          <w:lang w:val="fr-CA"/>
        </w:rPr>
        <w:t>ZZAP (</w:t>
      </w:r>
      <w:r w:rsidR="00675FB5" w:rsidRPr="00675FB5">
        <w:rPr>
          <w:rFonts w:ascii="Arial" w:hAnsi="Arial"/>
          <w:spacing w:val="-2"/>
          <w:sz w:val="24"/>
          <w:lang w:val="fr-CA"/>
        </w:rPr>
        <w:t xml:space="preserve">voir </w:t>
      </w:r>
      <w:r w:rsidR="00715FBB">
        <w:rPr>
          <w:rFonts w:ascii="Arial" w:hAnsi="Arial"/>
          <w:spacing w:val="-2"/>
          <w:sz w:val="24"/>
          <w:lang w:val="fr-CA"/>
        </w:rPr>
        <w:t>PS</w:t>
      </w:r>
      <w:r w:rsidR="00316FE5" w:rsidRPr="00675FB5">
        <w:rPr>
          <w:rFonts w:ascii="Arial" w:hAnsi="Arial"/>
          <w:spacing w:val="-2"/>
          <w:sz w:val="24"/>
          <w:lang w:val="fr-CA"/>
        </w:rPr>
        <w:t>.01</w:t>
      </w:r>
      <w:r w:rsidR="005C7697">
        <w:rPr>
          <w:rFonts w:ascii="Arial" w:hAnsi="Arial"/>
          <w:spacing w:val="-2"/>
          <w:sz w:val="24"/>
          <w:lang w:val="fr-CA"/>
        </w:rPr>
        <w:t>0</w:t>
      </w:r>
      <w:r w:rsidR="00316FE5" w:rsidRPr="00675FB5">
        <w:rPr>
          <w:rFonts w:ascii="Arial" w:hAnsi="Arial"/>
          <w:spacing w:val="-2"/>
          <w:sz w:val="24"/>
          <w:lang w:val="fr-CA"/>
        </w:rPr>
        <w:t>)</w:t>
      </w:r>
      <w:r w:rsidR="00675FB5" w:rsidRPr="00675FB5">
        <w:rPr>
          <w:rFonts w:ascii="Arial" w:hAnsi="Arial"/>
          <w:spacing w:val="-2"/>
          <w:sz w:val="24"/>
          <w:lang w:val="fr-CA"/>
        </w:rPr>
        <w:t xml:space="preserve">, du même </w:t>
      </w:r>
      <w:r w:rsidR="005A19ED">
        <w:rPr>
          <w:rFonts w:ascii="Arial" w:hAnsi="Arial"/>
          <w:spacing w:val="-2"/>
          <w:sz w:val="24"/>
          <w:lang w:val="fr-CA"/>
        </w:rPr>
        <w:t>statut</w:t>
      </w:r>
      <w:r w:rsidR="00675FB5" w:rsidRPr="00675FB5">
        <w:rPr>
          <w:rFonts w:ascii="Arial" w:hAnsi="Arial"/>
          <w:spacing w:val="-2"/>
          <w:sz w:val="24"/>
          <w:lang w:val="fr-CA"/>
        </w:rPr>
        <w:t xml:space="preserve"> Rh et 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Jk</w:t>
      </w:r>
      <w:proofErr w:type="spellEnd"/>
      <w:r w:rsidR="00675FB5" w:rsidRPr="00675FB5">
        <w:rPr>
          <w:rFonts w:ascii="Arial" w:hAnsi="Arial"/>
          <w:spacing w:val="-2"/>
          <w:sz w:val="24"/>
          <w:lang w:val="fr-CA"/>
        </w:rPr>
        <w:t xml:space="preserve"> que celles du patient </w:t>
      </w:r>
      <w:r w:rsidR="00316FE5" w:rsidRPr="00675FB5">
        <w:rPr>
          <w:rFonts w:ascii="Arial" w:hAnsi="Arial"/>
          <w:spacing w:val="-2"/>
          <w:sz w:val="24"/>
          <w:lang w:val="fr-CA"/>
        </w:rPr>
        <w:t>(2</w:t>
      </w:r>
      <w:r w:rsidR="00675FB5" w:rsidRPr="00675FB5">
        <w:rPr>
          <w:rFonts w:ascii="Arial" w:hAnsi="Arial"/>
          <w:spacing w:val="-2"/>
          <w:sz w:val="24"/>
          <w:lang w:val="fr-CA"/>
        </w:rPr>
        <w:t> 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mL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>)</w:t>
      </w:r>
    </w:p>
    <w:p w:rsidR="00430F5F" w:rsidRPr="00430F5F" w:rsidRDefault="00430F5F" w:rsidP="00675FB5">
      <w:pPr>
        <w:spacing w:line="228" w:lineRule="auto"/>
        <w:ind w:left="2880" w:hanging="216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>Cellules réactives de dépistage de groupe O</w:t>
      </w:r>
    </w:p>
    <w:p w:rsidR="00316FE5" w:rsidRPr="000620E1" w:rsidRDefault="00316FE5" w:rsidP="00675FB5">
      <w:pPr>
        <w:ind w:left="2880" w:hanging="2160"/>
        <w:rPr>
          <w:rFonts w:ascii="Arial" w:hAnsi="Arial"/>
          <w:sz w:val="24"/>
          <w:lang w:val="fr-CA"/>
        </w:rPr>
      </w:pPr>
    </w:p>
    <w:p w:rsidR="00316FE5" w:rsidRPr="00675FB5" w:rsidRDefault="000620E1" w:rsidP="000620E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75FB5">
        <w:rPr>
          <w:rFonts w:ascii="Arial" w:hAnsi="Arial"/>
          <w:b/>
          <w:sz w:val="28"/>
          <w:lang w:val="fr-CA"/>
        </w:rPr>
        <w:t xml:space="preserve"> Contrôle de la qualité – S.O.</w:t>
      </w:r>
    </w:p>
    <w:p w:rsidR="00316FE5" w:rsidRPr="00675FB5" w:rsidRDefault="00316FE5">
      <w:pPr>
        <w:rPr>
          <w:rFonts w:ascii="Arial" w:hAnsi="Arial"/>
          <w:b/>
          <w:sz w:val="28"/>
          <w:lang w:val="fr-CA"/>
        </w:rPr>
      </w:pPr>
    </w:p>
    <w:p w:rsidR="00316FE5" w:rsidRPr="00675FB5" w:rsidRDefault="00316FE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75FB5">
        <w:rPr>
          <w:rFonts w:ascii="Arial" w:hAnsi="Arial"/>
          <w:b/>
          <w:sz w:val="28"/>
          <w:lang w:val="fr-CA"/>
        </w:rPr>
        <w:t>Proc</w:t>
      </w:r>
      <w:r w:rsidR="006806BE" w:rsidRPr="00675FB5">
        <w:rPr>
          <w:rFonts w:ascii="Arial" w:hAnsi="Arial"/>
          <w:b/>
          <w:sz w:val="28"/>
          <w:lang w:val="fr-CA"/>
        </w:rPr>
        <w:t>é</w:t>
      </w:r>
      <w:r w:rsidRPr="00675FB5">
        <w:rPr>
          <w:rFonts w:ascii="Arial" w:hAnsi="Arial"/>
          <w:b/>
          <w:sz w:val="28"/>
          <w:lang w:val="fr-CA"/>
        </w:rPr>
        <w:t>dure</w:t>
      </w:r>
    </w:p>
    <w:p w:rsidR="00316FE5" w:rsidRPr="00675FB5" w:rsidRDefault="00316FE5">
      <w:pPr>
        <w:rPr>
          <w:rFonts w:ascii="Arial" w:hAnsi="Arial"/>
          <w:b/>
          <w:sz w:val="24"/>
          <w:lang w:val="fr-CA"/>
        </w:rPr>
      </w:pPr>
    </w:p>
    <w:p w:rsidR="00316FE5" w:rsidRPr="00675FB5" w:rsidRDefault="00675FB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spacing w:val="-2"/>
          <w:sz w:val="24"/>
          <w:lang w:val="fr-CA"/>
        </w:rPr>
        <w:t xml:space="preserve">Pipetter </w:t>
      </w:r>
      <w:r w:rsidR="00316FE5" w:rsidRPr="00675FB5">
        <w:rPr>
          <w:rFonts w:ascii="Arial" w:hAnsi="Arial"/>
          <w:spacing w:val="-2"/>
          <w:sz w:val="24"/>
          <w:lang w:val="fr-CA"/>
        </w:rPr>
        <w:t>1</w:t>
      </w:r>
      <w:r w:rsidRPr="00675FB5">
        <w:rPr>
          <w:rFonts w:ascii="Arial" w:hAnsi="Arial"/>
          <w:spacing w:val="-2"/>
          <w:sz w:val="24"/>
          <w:lang w:val="fr-CA"/>
        </w:rPr>
        <w:t> 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mL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Pr="00675FB5">
        <w:rPr>
          <w:rFonts w:ascii="Arial" w:hAnsi="Arial"/>
          <w:spacing w:val="-2"/>
          <w:sz w:val="24"/>
          <w:lang w:val="fr-CA"/>
        </w:rPr>
        <w:t xml:space="preserve">de chaque type de cellules lavées et traitées par 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ZZAP </w:t>
      </w:r>
      <w:r w:rsidRPr="00675FB5">
        <w:rPr>
          <w:rFonts w:ascii="Arial" w:hAnsi="Arial"/>
          <w:spacing w:val="-2"/>
          <w:sz w:val="24"/>
          <w:lang w:val="fr-CA"/>
        </w:rPr>
        <w:t xml:space="preserve">dans </w:t>
      </w:r>
      <w:r w:rsidR="00430F5F">
        <w:rPr>
          <w:rFonts w:ascii="Arial" w:hAnsi="Arial"/>
          <w:spacing w:val="-2"/>
          <w:sz w:val="24"/>
          <w:lang w:val="fr-CA"/>
        </w:rPr>
        <w:t>3</w:t>
      </w:r>
      <w:r w:rsidRPr="00675FB5">
        <w:rPr>
          <w:rFonts w:ascii="Arial" w:hAnsi="Arial"/>
          <w:spacing w:val="-2"/>
          <w:sz w:val="24"/>
          <w:lang w:val="fr-CA"/>
        </w:rPr>
        <w:t xml:space="preserve"> tubes de 10</w:t>
      </w:r>
      <w:r w:rsidR="005C7697">
        <w:rPr>
          <w:rFonts w:ascii="Arial" w:hAnsi="Arial"/>
          <w:spacing w:val="-2"/>
          <w:sz w:val="24"/>
          <w:lang w:val="fr-CA"/>
        </w:rPr>
        <w:t> </w:t>
      </w:r>
      <w:proofErr w:type="spellStart"/>
      <w:r w:rsidRPr="00675FB5">
        <w:rPr>
          <w:rFonts w:ascii="Arial" w:hAnsi="Arial"/>
          <w:spacing w:val="-2"/>
          <w:sz w:val="24"/>
          <w:lang w:val="fr-CA"/>
        </w:rPr>
        <w:t>mL</w:t>
      </w:r>
      <w:proofErr w:type="spellEnd"/>
      <w:r w:rsidRPr="00675FB5">
        <w:rPr>
          <w:rFonts w:ascii="Arial" w:hAnsi="Arial"/>
          <w:spacing w:val="-2"/>
          <w:sz w:val="24"/>
          <w:lang w:val="fr-CA"/>
        </w:rPr>
        <w:t xml:space="preserve"> bien étiquetés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. </w:t>
      </w:r>
    </w:p>
    <w:p w:rsidR="00316FE5" w:rsidRPr="00675FB5" w:rsidRDefault="00316FE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316FE5" w:rsidRPr="00675FB5" w:rsidRDefault="00675FB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spacing w:val="-2"/>
          <w:sz w:val="24"/>
          <w:lang w:val="fr-CA"/>
        </w:rPr>
        <w:t xml:space="preserve">À 1 tube de chaque type de cellules, ajouter </w:t>
      </w:r>
      <w:r w:rsidR="00316FE5" w:rsidRPr="00675FB5">
        <w:rPr>
          <w:rFonts w:ascii="Arial" w:hAnsi="Arial"/>
          <w:spacing w:val="-2"/>
          <w:sz w:val="24"/>
          <w:lang w:val="fr-CA"/>
        </w:rPr>
        <w:t>1</w:t>
      </w:r>
      <w:r w:rsidRPr="00675FB5">
        <w:rPr>
          <w:rFonts w:ascii="Arial" w:hAnsi="Arial"/>
          <w:spacing w:val="-2"/>
          <w:sz w:val="24"/>
          <w:lang w:val="fr-CA"/>
        </w:rPr>
        <w:t> 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mL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Pr="00675FB5">
        <w:rPr>
          <w:rFonts w:ascii="Arial" w:hAnsi="Arial"/>
          <w:spacing w:val="-2"/>
          <w:sz w:val="24"/>
          <w:lang w:val="fr-CA"/>
        </w:rPr>
        <w:t>de plasma du patient et mélanger</w:t>
      </w:r>
      <w:r w:rsidR="00316FE5" w:rsidRPr="00675FB5">
        <w:rPr>
          <w:rFonts w:ascii="Arial" w:hAnsi="Arial"/>
          <w:spacing w:val="-2"/>
          <w:sz w:val="24"/>
          <w:lang w:val="fr-CA"/>
        </w:rPr>
        <w:t>.</w:t>
      </w:r>
    </w:p>
    <w:p w:rsidR="00316FE5" w:rsidRPr="00675FB5" w:rsidRDefault="00316FE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16FE5" w:rsidRPr="00675FB5" w:rsidRDefault="00316FE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spacing w:val="-2"/>
          <w:sz w:val="24"/>
          <w:lang w:val="fr-CA"/>
        </w:rPr>
        <w:t>Incub</w:t>
      </w:r>
      <w:r w:rsidR="006806BE" w:rsidRPr="00675FB5">
        <w:rPr>
          <w:rFonts w:ascii="Arial" w:hAnsi="Arial"/>
          <w:spacing w:val="-2"/>
          <w:sz w:val="24"/>
          <w:lang w:val="fr-CA"/>
        </w:rPr>
        <w:t xml:space="preserve">er à </w:t>
      </w:r>
      <w:r w:rsidRPr="00675FB5">
        <w:rPr>
          <w:rFonts w:ascii="Arial" w:hAnsi="Arial"/>
          <w:spacing w:val="-2"/>
          <w:sz w:val="24"/>
          <w:lang w:val="fr-CA"/>
        </w:rPr>
        <w:t>37</w:t>
      </w:r>
      <w:r w:rsidR="00D42886">
        <w:rPr>
          <w:rFonts w:ascii="Arial" w:hAnsi="Arial" w:cs="Arial"/>
          <w:sz w:val="24"/>
          <w:lang w:val="fr-CA"/>
        </w:rPr>
        <w:t>º</w:t>
      </w:r>
      <w:r w:rsidRPr="00675FB5">
        <w:rPr>
          <w:rFonts w:ascii="Arial" w:hAnsi="Arial"/>
          <w:spacing w:val="-2"/>
          <w:sz w:val="24"/>
          <w:lang w:val="fr-CA"/>
        </w:rPr>
        <w:t xml:space="preserve">C </w:t>
      </w:r>
      <w:r w:rsidR="006806BE" w:rsidRPr="00675FB5">
        <w:rPr>
          <w:rFonts w:ascii="Arial" w:hAnsi="Arial"/>
          <w:spacing w:val="-2"/>
          <w:sz w:val="24"/>
          <w:lang w:val="fr-CA"/>
        </w:rPr>
        <w:t>pendant</w:t>
      </w:r>
      <w:r w:rsidRPr="00675FB5">
        <w:rPr>
          <w:rFonts w:ascii="Arial" w:hAnsi="Arial"/>
          <w:spacing w:val="-2"/>
          <w:sz w:val="24"/>
          <w:lang w:val="fr-CA"/>
        </w:rPr>
        <w:t xml:space="preserve"> 30 minutes.</w:t>
      </w:r>
      <w:r w:rsidR="0034506E">
        <w:rPr>
          <w:rFonts w:ascii="Arial" w:hAnsi="Arial"/>
          <w:spacing w:val="-2"/>
          <w:sz w:val="24"/>
          <w:lang w:val="fr-CA"/>
        </w:rPr>
        <w:t xml:space="preserve"> Mélanger délicatement </w:t>
      </w:r>
      <w:r w:rsidR="005C7697">
        <w:rPr>
          <w:rFonts w:ascii="Arial" w:hAnsi="Arial"/>
          <w:spacing w:val="-2"/>
          <w:sz w:val="24"/>
          <w:lang w:val="fr-CA"/>
        </w:rPr>
        <w:t>toutes les</w:t>
      </w:r>
      <w:r w:rsidR="0034506E">
        <w:rPr>
          <w:rFonts w:ascii="Arial" w:hAnsi="Arial"/>
          <w:spacing w:val="-2"/>
          <w:sz w:val="24"/>
          <w:lang w:val="fr-CA"/>
        </w:rPr>
        <w:t xml:space="preserve"> 10 minutes.</w:t>
      </w:r>
    </w:p>
    <w:p w:rsidR="00316FE5" w:rsidRPr="00675FB5" w:rsidRDefault="00316FE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16FE5" w:rsidRPr="00675FB5" w:rsidRDefault="00316FE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spacing w:val="-2"/>
          <w:sz w:val="24"/>
          <w:lang w:val="fr-CA"/>
        </w:rPr>
        <w:t>Centrifuge</w:t>
      </w:r>
      <w:r w:rsidR="006806BE" w:rsidRPr="00675FB5">
        <w:rPr>
          <w:rFonts w:ascii="Arial" w:hAnsi="Arial"/>
          <w:spacing w:val="-2"/>
          <w:sz w:val="24"/>
          <w:lang w:val="fr-CA"/>
        </w:rPr>
        <w:t xml:space="preserve">r à </w:t>
      </w:r>
      <w:r w:rsidRPr="00675FB5">
        <w:rPr>
          <w:rFonts w:ascii="Arial" w:hAnsi="Arial"/>
          <w:spacing w:val="-2"/>
          <w:sz w:val="24"/>
          <w:lang w:val="fr-CA"/>
        </w:rPr>
        <w:t xml:space="preserve">3000 </w:t>
      </w:r>
      <w:proofErr w:type="spellStart"/>
      <w:r w:rsidRPr="00675FB5">
        <w:rPr>
          <w:rFonts w:ascii="Arial" w:hAnsi="Arial"/>
          <w:spacing w:val="-2"/>
          <w:sz w:val="24"/>
          <w:lang w:val="fr-CA"/>
        </w:rPr>
        <w:t>rpm</w:t>
      </w:r>
      <w:proofErr w:type="spellEnd"/>
      <w:r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="006806BE" w:rsidRPr="00675FB5">
        <w:rPr>
          <w:rFonts w:ascii="Arial" w:hAnsi="Arial"/>
          <w:spacing w:val="-2"/>
          <w:sz w:val="24"/>
          <w:lang w:val="fr-CA"/>
        </w:rPr>
        <w:t xml:space="preserve">pendant </w:t>
      </w:r>
      <w:r w:rsidRPr="00675FB5">
        <w:rPr>
          <w:rFonts w:ascii="Arial" w:hAnsi="Arial"/>
          <w:spacing w:val="-2"/>
          <w:sz w:val="24"/>
          <w:lang w:val="fr-CA"/>
        </w:rPr>
        <w:t>5 minutes.</w:t>
      </w:r>
    </w:p>
    <w:p w:rsidR="00316FE5" w:rsidRPr="000620E1" w:rsidRDefault="00316FE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16FE5" w:rsidRPr="005A19ED" w:rsidRDefault="00316FE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5A19ED">
        <w:rPr>
          <w:rFonts w:ascii="Arial" w:hAnsi="Arial"/>
          <w:spacing w:val="-2"/>
          <w:sz w:val="24"/>
          <w:lang w:val="fr-CA"/>
        </w:rPr>
        <w:t>Transf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érer le </w:t>
      </w:r>
      <w:r w:rsidRPr="005A19ED">
        <w:rPr>
          <w:rFonts w:ascii="Arial" w:hAnsi="Arial"/>
          <w:spacing w:val="-2"/>
          <w:sz w:val="24"/>
          <w:lang w:val="fr-CA"/>
        </w:rPr>
        <w:t xml:space="preserve">plasma </w:t>
      </w:r>
      <w:r w:rsidR="005A19ED" w:rsidRPr="005A19ED">
        <w:rPr>
          <w:rFonts w:ascii="Arial" w:hAnsi="Arial"/>
          <w:spacing w:val="-2"/>
          <w:sz w:val="24"/>
          <w:lang w:val="fr-CA"/>
        </w:rPr>
        <w:t>à l’aliquote suivant des cellules correspondantes et répéter les étapes</w:t>
      </w:r>
      <w:r w:rsidR="005C7697">
        <w:rPr>
          <w:rFonts w:ascii="Arial" w:hAnsi="Arial"/>
          <w:spacing w:val="-2"/>
          <w:sz w:val="24"/>
          <w:lang w:val="fr-CA"/>
        </w:rPr>
        <w:t> </w:t>
      </w:r>
      <w:r w:rsidRPr="005A19ED">
        <w:rPr>
          <w:rFonts w:ascii="Arial" w:hAnsi="Arial"/>
          <w:spacing w:val="-2"/>
          <w:sz w:val="24"/>
          <w:lang w:val="fr-CA"/>
        </w:rPr>
        <w:t xml:space="preserve">6.3 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et </w:t>
      </w:r>
      <w:r w:rsidRPr="005A19ED">
        <w:rPr>
          <w:rFonts w:ascii="Arial" w:hAnsi="Arial"/>
          <w:spacing w:val="-2"/>
          <w:sz w:val="24"/>
          <w:lang w:val="fr-CA"/>
        </w:rPr>
        <w:t>6. 4.</w:t>
      </w:r>
    </w:p>
    <w:p w:rsidR="00316FE5" w:rsidRPr="005A19ED" w:rsidRDefault="00316FE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16FE5" w:rsidRPr="005A19ED" w:rsidRDefault="00316FE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5A19ED">
        <w:rPr>
          <w:rFonts w:ascii="Arial" w:hAnsi="Arial"/>
          <w:spacing w:val="-2"/>
          <w:sz w:val="24"/>
          <w:lang w:val="fr-CA"/>
        </w:rPr>
        <w:t>Transf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érer chaque plasma absorbé </w:t>
      </w:r>
      <w:r w:rsidR="00135522">
        <w:rPr>
          <w:rFonts w:ascii="Arial" w:hAnsi="Arial"/>
          <w:spacing w:val="-2"/>
          <w:sz w:val="24"/>
          <w:lang w:val="fr-CA"/>
        </w:rPr>
        <w:t>2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 fois dans </w:t>
      </w:r>
      <w:r w:rsidR="00B31AD3">
        <w:rPr>
          <w:rFonts w:ascii="Arial" w:hAnsi="Arial"/>
          <w:spacing w:val="-2"/>
          <w:sz w:val="24"/>
          <w:lang w:val="fr-CA"/>
        </w:rPr>
        <w:t>un</w:t>
      </w:r>
      <w:r w:rsidR="00B31AD3" w:rsidRPr="005A19ED">
        <w:rPr>
          <w:rFonts w:ascii="Arial" w:hAnsi="Arial"/>
          <w:spacing w:val="-2"/>
          <w:sz w:val="24"/>
          <w:lang w:val="fr-CA"/>
        </w:rPr>
        <w:t xml:space="preserve"> </w:t>
      </w:r>
      <w:r w:rsidR="005A19ED" w:rsidRPr="005A19ED">
        <w:rPr>
          <w:rFonts w:ascii="Arial" w:hAnsi="Arial"/>
          <w:spacing w:val="-2"/>
          <w:sz w:val="24"/>
          <w:lang w:val="fr-CA"/>
        </w:rPr>
        <w:t>tube propre et étiqueté</w:t>
      </w:r>
      <w:r w:rsidR="00430F5F">
        <w:rPr>
          <w:rFonts w:ascii="Arial" w:hAnsi="Arial"/>
          <w:spacing w:val="-2"/>
          <w:sz w:val="24"/>
          <w:lang w:val="fr-CA"/>
        </w:rPr>
        <w:t xml:space="preserve"> et répéter les étapes</w:t>
      </w:r>
      <w:r w:rsidR="005C7697">
        <w:rPr>
          <w:rFonts w:ascii="Arial" w:hAnsi="Arial"/>
          <w:spacing w:val="-2"/>
          <w:sz w:val="24"/>
          <w:lang w:val="fr-CA"/>
        </w:rPr>
        <w:t> </w:t>
      </w:r>
      <w:r w:rsidR="00430F5F">
        <w:rPr>
          <w:rFonts w:ascii="Arial" w:hAnsi="Arial"/>
          <w:spacing w:val="-2"/>
          <w:sz w:val="24"/>
          <w:lang w:val="fr-CA"/>
        </w:rPr>
        <w:t>6.3 et 6.4</w:t>
      </w:r>
      <w:r w:rsidRPr="005A19ED">
        <w:rPr>
          <w:rFonts w:ascii="Arial" w:hAnsi="Arial"/>
          <w:spacing w:val="-2"/>
          <w:sz w:val="24"/>
          <w:lang w:val="fr-CA"/>
        </w:rPr>
        <w:t>.</w:t>
      </w:r>
    </w:p>
    <w:p w:rsidR="00316FE5" w:rsidRPr="005A19ED" w:rsidRDefault="00316FE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16FE5" w:rsidRPr="005A19ED" w:rsidRDefault="00B31AD3" w:rsidP="001940FA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Tester 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par </w:t>
      </w:r>
      <w:r>
        <w:rPr>
          <w:rFonts w:ascii="Arial" w:hAnsi="Arial"/>
          <w:spacing w:val="-2"/>
          <w:sz w:val="24"/>
          <w:lang w:val="fr-CA"/>
        </w:rPr>
        <w:t>TIA</w:t>
      </w:r>
      <w:r w:rsidRPr="005A19ED">
        <w:rPr>
          <w:rFonts w:ascii="Arial" w:hAnsi="Arial"/>
          <w:spacing w:val="-2"/>
          <w:sz w:val="24"/>
          <w:lang w:val="fr-CA"/>
        </w:rPr>
        <w:t xml:space="preserve"> 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chaque </w:t>
      </w:r>
      <w:r w:rsidR="00316FE5" w:rsidRPr="005A19ED">
        <w:rPr>
          <w:rFonts w:ascii="Arial" w:hAnsi="Arial"/>
          <w:spacing w:val="-2"/>
          <w:sz w:val="24"/>
          <w:lang w:val="fr-CA"/>
        </w:rPr>
        <w:t>aliquot</w:t>
      </w:r>
      <w:r w:rsidR="005A19ED" w:rsidRPr="005A19ED">
        <w:rPr>
          <w:rFonts w:ascii="Arial" w:hAnsi="Arial"/>
          <w:spacing w:val="-2"/>
          <w:sz w:val="24"/>
          <w:lang w:val="fr-CA"/>
        </w:rPr>
        <w:t>e</w:t>
      </w:r>
      <w:r w:rsidR="00316FE5" w:rsidRPr="005A19ED">
        <w:rPr>
          <w:rFonts w:ascii="Arial" w:hAnsi="Arial"/>
          <w:spacing w:val="-2"/>
          <w:sz w:val="24"/>
          <w:lang w:val="fr-CA"/>
        </w:rPr>
        <w:t xml:space="preserve"> </w:t>
      </w:r>
      <w:r>
        <w:rPr>
          <w:rFonts w:ascii="Arial" w:hAnsi="Arial"/>
          <w:spacing w:val="-2"/>
          <w:sz w:val="24"/>
          <w:lang w:val="fr-CA"/>
        </w:rPr>
        <w:t>avec des</w:t>
      </w:r>
      <w:r w:rsidRPr="005A19ED">
        <w:rPr>
          <w:rFonts w:ascii="Arial" w:hAnsi="Arial"/>
          <w:spacing w:val="-2"/>
          <w:sz w:val="24"/>
          <w:lang w:val="fr-CA"/>
        </w:rPr>
        <w:t xml:space="preserve"> </w:t>
      </w:r>
      <w:r w:rsidR="005A19ED" w:rsidRPr="005A19ED">
        <w:rPr>
          <w:rFonts w:ascii="Arial" w:hAnsi="Arial"/>
          <w:spacing w:val="-2"/>
          <w:sz w:val="24"/>
          <w:lang w:val="fr-CA"/>
        </w:rPr>
        <w:t xml:space="preserve">cellules de dépistage pour déterminer la présence d’un </w:t>
      </w:r>
      <w:proofErr w:type="spellStart"/>
      <w:r w:rsidR="00316FE5" w:rsidRPr="005A19ED">
        <w:rPr>
          <w:rFonts w:ascii="Arial" w:hAnsi="Arial"/>
          <w:spacing w:val="-2"/>
          <w:sz w:val="24"/>
          <w:lang w:val="fr-CA"/>
        </w:rPr>
        <w:t>allo</w:t>
      </w:r>
      <w:r w:rsidR="001940FA" w:rsidRPr="005A19ED">
        <w:rPr>
          <w:rFonts w:ascii="Arial" w:hAnsi="Arial"/>
          <w:spacing w:val="-2"/>
          <w:sz w:val="24"/>
          <w:lang w:val="fr-CA"/>
        </w:rPr>
        <w:t>anticorps</w:t>
      </w:r>
      <w:proofErr w:type="spellEnd"/>
      <w:r w:rsidR="005A19ED" w:rsidRPr="005A19ED">
        <w:rPr>
          <w:rFonts w:ascii="Arial" w:hAnsi="Arial"/>
          <w:spacing w:val="-2"/>
          <w:sz w:val="24"/>
          <w:lang w:val="fr-CA"/>
        </w:rPr>
        <w:t xml:space="preserve"> quelconque</w:t>
      </w:r>
      <w:r w:rsidR="00316FE5" w:rsidRPr="005A19ED">
        <w:rPr>
          <w:rFonts w:ascii="Arial" w:hAnsi="Arial"/>
          <w:spacing w:val="-2"/>
          <w:sz w:val="24"/>
          <w:lang w:val="fr-CA"/>
        </w:rPr>
        <w:t xml:space="preserve">. </w:t>
      </w:r>
      <w:r w:rsidR="001940FA" w:rsidRPr="005A19ED">
        <w:rPr>
          <w:rFonts w:ascii="Arial" w:hAnsi="Arial"/>
          <w:spacing w:val="-2"/>
          <w:sz w:val="24"/>
          <w:lang w:val="fr-CA"/>
        </w:rPr>
        <w:t>Voir la Remarque</w:t>
      </w:r>
      <w:r w:rsidR="005C7697">
        <w:rPr>
          <w:rFonts w:ascii="Arial" w:hAnsi="Arial"/>
          <w:spacing w:val="-2"/>
          <w:sz w:val="24"/>
          <w:lang w:val="fr-CA"/>
        </w:rPr>
        <w:t> </w:t>
      </w:r>
      <w:r w:rsidR="001940FA" w:rsidRPr="005A19ED">
        <w:rPr>
          <w:rFonts w:ascii="Arial" w:hAnsi="Arial"/>
          <w:spacing w:val="-2"/>
          <w:sz w:val="24"/>
          <w:lang w:val="fr-CA"/>
        </w:rPr>
        <w:t>8.1.</w:t>
      </w:r>
    </w:p>
    <w:p w:rsidR="00316FE5" w:rsidRPr="000620E1" w:rsidRDefault="00316FE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16FE5" w:rsidRPr="000620E1" w:rsidRDefault="005A19ED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814787">
        <w:rPr>
          <w:rFonts w:ascii="Arial" w:hAnsi="Arial"/>
          <w:spacing w:val="-2"/>
          <w:sz w:val="24"/>
          <w:lang w:val="fr-CA"/>
        </w:rPr>
        <w:t xml:space="preserve">Si </w:t>
      </w:r>
      <w:r w:rsidR="00B31AD3">
        <w:rPr>
          <w:rFonts w:ascii="Arial" w:hAnsi="Arial"/>
          <w:spacing w:val="-2"/>
          <w:sz w:val="24"/>
          <w:lang w:val="fr-CA"/>
        </w:rPr>
        <w:t>la technique d’absorption</w:t>
      </w:r>
      <w:r w:rsidRPr="00814787">
        <w:rPr>
          <w:rFonts w:ascii="Arial" w:hAnsi="Arial"/>
          <w:spacing w:val="-2"/>
          <w:sz w:val="24"/>
          <w:lang w:val="fr-CA"/>
        </w:rPr>
        <w:t xml:space="preserve"> révèle la présence d’</w:t>
      </w:r>
      <w:proofErr w:type="spellStart"/>
      <w:r w:rsidR="00316FE5" w:rsidRPr="00814787">
        <w:rPr>
          <w:rFonts w:ascii="Arial" w:hAnsi="Arial"/>
          <w:spacing w:val="-2"/>
          <w:sz w:val="24"/>
          <w:lang w:val="fr-CA"/>
        </w:rPr>
        <w:t>allo</w:t>
      </w:r>
      <w:r w:rsidR="001940FA" w:rsidRPr="00814787">
        <w:rPr>
          <w:rFonts w:ascii="Arial" w:hAnsi="Arial"/>
          <w:spacing w:val="-2"/>
          <w:sz w:val="24"/>
          <w:lang w:val="fr-CA"/>
        </w:rPr>
        <w:t>anticorp</w:t>
      </w:r>
      <w:r w:rsidR="00B31AD3">
        <w:rPr>
          <w:rFonts w:ascii="Arial" w:hAnsi="Arial"/>
          <w:spacing w:val="-2"/>
          <w:sz w:val="24"/>
          <w:lang w:val="fr-CA"/>
        </w:rPr>
        <w:t>s</w:t>
      </w:r>
      <w:proofErr w:type="spellEnd"/>
      <w:r w:rsidRPr="00814787">
        <w:rPr>
          <w:rFonts w:ascii="Arial" w:hAnsi="Arial"/>
          <w:spacing w:val="-2"/>
          <w:sz w:val="24"/>
          <w:lang w:val="fr-CA"/>
        </w:rPr>
        <w:t xml:space="preserve">, procéder à une </w:t>
      </w:r>
      <w:r w:rsidR="00B31AD3">
        <w:rPr>
          <w:rFonts w:ascii="Arial" w:hAnsi="Arial"/>
          <w:spacing w:val="-2"/>
          <w:sz w:val="24"/>
          <w:lang w:val="fr-CA"/>
        </w:rPr>
        <w:t>investigation</w:t>
      </w:r>
      <w:r w:rsidR="00B31AD3" w:rsidRPr="00814787">
        <w:rPr>
          <w:rFonts w:ascii="Arial" w:hAnsi="Arial"/>
          <w:spacing w:val="-2"/>
          <w:sz w:val="24"/>
          <w:lang w:val="fr-CA"/>
        </w:rPr>
        <w:t xml:space="preserve"> </w:t>
      </w:r>
      <w:r w:rsidRPr="00814787">
        <w:rPr>
          <w:rFonts w:ascii="Arial" w:hAnsi="Arial"/>
          <w:spacing w:val="-2"/>
          <w:sz w:val="24"/>
          <w:lang w:val="fr-CA"/>
        </w:rPr>
        <w:t>d’</w:t>
      </w:r>
      <w:r w:rsidR="001940FA" w:rsidRPr="00814787">
        <w:rPr>
          <w:rFonts w:ascii="Arial" w:hAnsi="Arial"/>
          <w:spacing w:val="-2"/>
          <w:sz w:val="24"/>
          <w:lang w:val="fr-CA"/>
        </w:rPr>
        <w:t>anticorps</w:t>
      </w:r>
      <w:r w:rsidR="00316FE5" w:rsidRPr="000620E1">
        <w:rPr>
          <w:rFonts w:ascii="Arial" w:hAnsi="Arial"/>
          <w:spacing w:val="-2"/>
          <w:sz w:val="24"/>
          <w:lang w:val="fr-CA"/>
        </w:rPr>
        <w:t xml:space="preserve"> (</w:t>
      </w:r>
      <w:r>
        <w:rPr>
          <w:rFonts w:ascii="Arial" w:hAnsi="Arial"/>
          <w:spacing w:val="-2"/>
          <w:sz w:val="24"/>
          <w:lang w:val="fr-CA"/>
        </w:rPr>
        <w:t>voir P</w:t>
      </w:r>
      <w:r w:rsidR="00F138F1">
        <w:rPr>
          <w:rFonts w:ascii="Arial" w:hAnsi="Arial"/>
          <w:spacing w:val="-2"/>
          <w:sz w:val="24"/>
          <w:lang w:val="fr-CA"/>
        </w:rPr>
        <w:t>S</w:t>
      </w:r>
      <w:r>
        <w:rPr>
          <w:rFonts w:ascii="Arial" w:hAnsi="Arial"/>
          <w:spacing w:val="-2"/>
          <w:sz w:val="24"/>
          <w:lang w:val="fr-CA"/>
        </w:rPr>
        <w:t xml:space="preserve">.001 - </w:t>
      </w:r>
      <w:r w:rsidRPr="00814787">
        <w:rPr>
          <w:rFonts w:ascii="Arial" w:hAnsi="Arial"/>
          <w:spacing w:val="-2"/>
          <w:sz w:val="24"/>
          <w:lang w:val="fr-CA"/>
        </w:rPr>
        <w:t>Directives sur la poursuite des investigations</w:t>
      </w:r>
      <w:r w:rsidR="00316FE5" w:rsidRPr="000620E1">
        <w:rPr>
          <w:rFonts w:ascii="Arial" w:hAnsi="Arial"/>
          <w:spacing w:val="-2"/>
          <w:sz w:val="24"/>
          <w:lang w:val="fr-CA"/>
        </w:rPr>
        <w:t>).</w:t>
      </w:r>
    </w:p>
    <w:p w:rsidR="00316FE5" w:rsidRPr="00675FB5" w:rsidRDefault="00316FE5">
      <w:pPr>
        <w:ind w:left="720"/>
        <w:rPr>
          <w:rFonts w:ascii="Arial" w:hAnsi="Arial"/>
          <w:sz w:val="24"/>
          <w:lang w:val="fr-CA"/>
        </w:rPr>
      </w:pPr>
    </w:p>
    <w:p w:rsidR="00316FE5" w:rsidRPr="00675FB5" w:rsidRDefault="001940FA" w:rsidP="001940F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75FB5">
        <w:rPr>
          <w:rFonts w:ascii="Arial" w:hAnsi="Arial"/>
          <w:b/>
          <w:sz w:val="28"/>
          <w:lang w:val="fr-CA"/>
        </w:rPr>
        <w:t>Documentation – S.O.</w:t>
      </w:r>
    </w:p>
    <w:p w:rsidR="00316FE5" w:rsidRPr="00675FB5" w:rsidRDefault="00316FE5">
      <w:pPr>
        <w:ind w:left="720"/>
        <w:rPr>
          <w:rFonts w:ascii="Arial" w:hAnsi="Arial"/>
          <w:sz w:val="24"/>
          <w:lang w:val="fr-CA"/>
        </w:rPr>
      </w:pPr>
    </w:p>
    <w:p w:rsidR="00316FE5" w:rsidRPr="00675FB5" w:rsidRDefault="001940FA" w:rsidP="001940F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75FB5">
        <w:rPr>
          <w:rFonts w:ascii="Arial" w:hAnsi="Arial"/>
          <w:b/>
          <w:sz w:val="28"/>
          <w:lang w:val="fr-CA"/>
        </w:rPr>
        <w:t>Remarques</w:t>
      </w:r>
    </w:p>
    <w:p w:rsidR="00316FE5" w:rsidRPr="00675FB5" w:rsidRDefault="00316FE5">
      <w:pPr>
        <w:rPr>
          <w:rFonts w:ascii="Arial" w:hAnsi="Arial"/>
          <w:sz w:val="24"/>
          <w:lang w:val="fr-CA"/>
        </w:rPr>
      </w:pPr>
    </w:p>
    <w:p w:rsidR="00316FE5" w:rsidRPr="00675FB5" w:rsidRDefault="00675FB5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675FB5">
        <w:rPr>
          <w:rFonts w:ascii="Arial" w:hAnsi="Arial"/>
          <w:sz w:val="24"/>
          <w:lang w:val="fr-CA"/>
        </w:rPr>
        <w:t xml:space="preserve">Il faut tester </w:t>
      </w:r>
      <w:r>
        <w:rPr>
          <w:rFonts w:ascii="Arial" w:hAnsi="Arial"/>
          <w:sz w:val="24"/>
          <w:lang w:val="fr-CA"/>
        </w:rPr>
        <w:t xml:space="preserve">de nouveau </w:t>
      </w:r>
      <w:r w:rsidRPr="00675FB5">
        <w:rPr>
          <w:rFonts w:ascii="Arial" w:hAnsi="Arial"/>
          <w:sz w:val="24"/>
          <w:lang w:val="fr-CA"/>
        </w:rPr>
        <w:t>le plasma a</w:t>
      </w:r>
      <w:r w:rsidR="00135522">
        <w:rPr>
          <w:rFonts w:ascii="Arial" w:hAnsi="Arial"/>
          <w:sz w:val="24"/>
          <w:lang w:val="fr-CA"/>
        </w:rPr>
        <w:t>d</w:t>
      </w:r>
      <w:r w:rsidRPr="00675FB5">
        <w:rPr>
          <w:rFonts w:ascii="Arial" w:hAnsi="Arial"/>
          <w:sz w:val="24"/>
          <w:lang w:val="fr-CA"/>
        </w:rPr>
        <w:t>sorbé</w:t>
      </w:r>
      <w:r w:rsidR="00316FE5" w:rsidRPr="00675FB5">
        <w:rPr>
          <w:rFonts w:ascii="Arial" w:hAnsi="Arial"/>
          <w:sz w:val="24"/>
          <w:lang w:val="fr-CA"/>
        </w:rPr>
        <w:t xml:space="preserve"> </w:t>
      </w:r>
      <w:r w:rsidRPr="00675FB5">
        <w:rPr>
          <w:rFonts w:ascii="Arial" w:hAnsi="Arial"/>
          <w:sz w:val="24"/>
          <w:lang w:val="fr-CA"/>
        </w:rPr>
        <w:t>en suivant la procédure utilisée pour dépister l’</w:t>
      </w:r>
      <w:r w:rsidR="001940FA" w:rsidRPr="00675FB5">
        <w:rPr>
          <w:rFonts w:ascii="Arial" w:hAnsi="Arial"/>
          <w:sz w:val="24"/>
          <w:lang w:val="fr-CA"/>
        </w:rPr>
        <w:t>anticorps</w:t>
      </w:r>
      <w:r w:rsidR="00430F5F">
        <w:rPr>
          <w:rFonts w:ascii="Arial" w:hAnsi="Arial"/>
          <w:sz w:val="24"/>
          <w:lang w:val="fr-CA"/>
        </w:rPr>
        <w:t xml:space="preserve"> pour s’assurer que l’adsorption a été totale</w:t>
      </w:r>
      <w:r w:rsidR="00316FE5" w:rsidRPr="00675FB5">
        <w:rPr>
          <w:rFonts w:ascii="Arial" w:hAnsi="Arial"/>
          <w:sz w:val="24"/>
          <w:lang w:val="fr-CA"/>
        </w:rPr>
        <w:t>.</w:t>
      </w:r>
    </w:p>
    <w:p w:rsidR="00316FE5" w:rsidRPr="000620E1" w:rsidRDefault="00316FE5">
      <w:pPr>
        <w:ind w:left="720"/>
        <w:rPr>
          <w:rFonts w:ascii="Arial" w:hAnsi="Arial"/>
          <w:sz w:val="24"/>
          <w:lang w:val="fr-CA"/>
        </w:rPr>
      </w:pPr>
    </w:p>
    <w:p w:rsidR="00D42886" w:rsidRDefault="00675FB5" w:rsidP="00D42886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spacing w:val="-2"/>
          <w:sz w:val="24"/>
          <w:lang w:val="fr-CA"/>
        </w:rPr>
        <w:t xml:space="preserve">Si le groupe Rh et le phénotype 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Jk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Pr="00675FB5">
        <w:rPr>
          <w:rFonts w:ascii="Arial" w:hAnsi="Arial"/>
          <w:spacing w:val="-2"/>
          <w:sz w:val="24"/>
          <w:lang w:val="fr-CA"/>
        </w:rPr>
        <w:t xml:space="preserve">du patient ne peuvent être déterminés, il faut se servir de globules rouges de groupe 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O </w:t>
      </w:r>
      <w:r w:rsidRPr="00675FB5">
        <w:rPr>
          <w:rFonts w:ascii="Arial" w:hAnsi="Arial"/>
          <w:spacing w:val="-2"/>
          <w:sz w:val="24"/>
          <w:lang w:val="fr-CA"/>
        </w:rPr>
        <w:t>et de phénotype</w:t>
      </w:r>
      <w:r w:rsidR="005C7697">
        <w:rPr>
          <w:rFonts w:ascii="Arial" w:hAnsi="Arial"/>
          <w:spacing w:val="-2"/>
          <w:sz w:val="24"/>
          <w:lang w:val="fr-CA"/>
        </w:rPr>
        <w:t> 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R1R1, R2R2 </w:t>
      </w:r>
      <w:r w:rsidR="00715FBB">
        <w:rPr>
          <w:rFonts w:ascii="Arial" w:hAnsi="Arial"/>
          <w:spacing w:val="-2"/>
          <w:sz w:val="24"/>
          <w:lang w:val="fr-CA"/>
        </w:rPr>
        <w:t>et</w:t>
      </w:r>
      <w:r w:rsidR="00715FBB" w:rsidRPr="00675FB5">
        <w:rPr>
          <w:rFonts w:ascii="Arial" w:hAnsi="Arial"/>
          <w:spacing w:val="-2"/>
          <w:sz w:val="24"/>
          <w:lang w:val="fr-CA"/>
        </w:rPr>
        <w:t xml:space="preserve"> 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rr.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[</w:t>
      </w:r>
      <w:r w:rsidRPr="00675FB5">
        <w:rPr>
          <w:rFonts w:ascii="Arial" w:hAnsi="Arial"/>
          <w:spacing w:val="-2"/>
          <w:sz w:val="24"/>
          <w:lang w:val="fr-CA"/>
        </w:rPr>
        <w:t xml:space="preserve">Une de ces </w:t>
      </w:r>
      <w:r w:rsidR="005C7697">
        <w:rPr>
          <w:rFonts w:ascii="Arial" w:hAnsi="Arial"/>
          <w:spacing w:val="-2"/>
          <w:sz w:val="24"/>
          <w:lang w:val="fr-CA"/>
        </w:rPr>
        <w:t>hématies</w:t>
      </w:r>
      <w:r w:rsidRPr="00675FB5">
        <w:rPr>
          <w:rFonts w:ascii="Arial" w:hAnsi="Arial"/>
          <w:spacing w:val="-2"/>
          <w:sz w:val="24"/>
          <w:lang w:val="fr-CA"/>
        </w:rPr>
        <w:t xml:space="preserve"> doit être </w:t>
      </w:r>
      <w:proofErr w:type="spellStart"/>
      <w:r w:rsidRPr="00675FB5">
        <w:rPr>
          <w:rFonts w:ascii="Arial" w:hAnsi="Arial"/>
          <w:spacing w:val="-2"/>
          <w:sz w:val="24"/>
          <w:lang w:val="fr-CA"/>
        </w:rPr>
        <w:t>J</w:t>
      </w:r>
      <w:r w:rsidR="00316FE5" w:rsidRPr="00675FB5">
        <w:rPr>
          <w:rFonts w:ascii="Arial" w:hAnsi="Arial"/>
          <w:spacing w:val="-2"/>
          <w:sz w:val="24"/>
          <w:lang w:val="fr-CA"/>
        </w:rPr>
        <w:t>k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(a-b+) </w:t>
      </w:r>
      <w:r w:rsidRPr="00675FB5">
        <w:rPr>
          <w:rFonts w:ascii="Arial" w:hAnsi="Arial"/>
          <w:spacing w:val="-2"/>
          <w:sz w:val="24"/>
          <w:lang w:val="fr-CA"/>
        </w:rPr>
        <w:t xml:space="preserve">et une autre 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Jk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>(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a+b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>-)]</w:t>
      </w:r>
      <w:r w:rsidR="00430F5F">
        <w:rPr>
          <w:rFonts w:ascii="Arial" w:hAnsi="Arial"/>
          <w:spacing w:val="-2"/>
          <w:sz w:val="24"/>
          <w:lang w:val="fr-CA"/>
        </w:rPr>
        <w:t>.</w:t>
      </w:r>
    </w:p>
    <w:p w:rsidR="00D42886" w:rsidRPr="00D42886" w:rsidRDefault="00D42886" w:rsidP="00D42886">
      <w:pPr>
        <w:suppressAutoHyphens/>
        <w:spacing w:after="120"/>
        <w:rPr>
          <w:rFonts w:ascii="Arial" w:hAnsi="Arial"/>
          <w:spacing w:val="-2"/>
          <w:sz w:val="24"/>
          <w:lang w:val="fr-CA"/>
        </w:rPr>
      </w:pPr>
    </w:p>
    <w:p w:rsidR="00316FE5" w:rsidRPr="00675FB5" w:rsidRDefault="00430F5F" w:rsidP="001940FA">
      <w:pPr>
        <w:numPr>
          <w:ilvl w:val="1"/>
          <w:numId w:val="1"/>
        </w:numPr>
        <w:suppressAutoHyphens/>
        <w:spacing w:after="12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Trois</w:t>
      </w:r>
      <w:r w:rsidR="001940FA" w:rsidRPr="001940FA">
        <w:rPr>
          <w:rFonts w:ascii="Arial" w:hAnsi="Arial"/>
          <w:spacing w:val="-2"/>
          <w:sz w:val="24"/>
          <w:lang w:val="fr-CA"/>
        </w:rPr>
        <w:t xml:space="preserve"> </w:t>
      </w:r>
      <w:r w:rsidR="00316FE5" w:rsidRPr="001940FA">
        <w:rPr>
          <w:rFonts w:ascii="Arial" w:hAnsi="Arial"/>
          <w:spacing w:val="-2"/>
          <w:sz w:val="24"/>
          <w:lang w:val="fr-CA"/>
        </w:rPr>
        <w:t>a</w:t>
      </w:r>
      <w:r w:rsidR="0034506E">
        <w:rPr>
          <w:rFonts w:ascii="Arial" w:hAnsi="Arial"/>
          <w:spacing w:val="-2"/>
          <w:sz w:val="24"/>
          <w:lang w:val="fr-CA"/>
        </w:rPr>
        <w:t>d</w:t>
      </w:r>
      <w:r w:rsidR="00316FE5" w:rsidRPr="001940FA">
        <w:rPr>
          <w:rFonts w:ascii="Arial" w:hAnsi="Arial"/>
          <w:spacing w:val="-2"/>
          <w:sz w:val="24"/>
          <w:lang w:val="fr-CA"/>
        </w:rPr>
        <w:t xml:space="preserve">sorptions </w:t>
      </w:r>
      <w:r>
        <w:rPr>
          <w:rFonts w:ascii="Arial" w:hAnsi="Arial"/>
          <w:spacing w:val="-2"/>
          <w:sz w:val="24"/>
          <w:lang w:val="fr-CA"/>
        </w:rPr>
        <w:t xml:space="preserve">devraient suffire </w:t>
      </w:r>
      <w:r w:rsidR="001940FA" w:rsidRPr="001940FA">
        <w:rPr>
          <w:rFonts w:ascii="Arial" w:hAnsi="Arial"/>
          <w:spacing w:val="-2"/>
          <w:sz w:val="24"/>
          <w:lang w:val="fr-CA"/>
        </w:rPr>
        <w:t xml:space="preserve">à éliminer toute activité du ou des </w:t>
      </w:r>
      <w:r w:rsidR="00316FE5" w:rsidRPr="001940FA">
        <w:rPr>
          <w:rFonts w:ascii="Arial" w:hAnsi="Arial"/>
          <w:spacing w:val="-2"/>
          <w:sz w:val="24"/>
          <w:lang w:val="fr-CA"/>
        </w:rPr>
        <w:t>autoanti</w:t>
      </w:r>
      <w:r w:rsidR="001940FA" w:rsidRPr="001940FA">
        <w:rPr>
          <w:rFonts w:ascii="Arial" w:hAnsi="Arial"/>
          <w:spacing w:val="-2"/>
          <w:sz w:val="24"/>
          <w:lang w:val="fr-CA"/>
        </w:rPr>
        <w:t>corps</w:t>
      </w:r>
      <w:r w:rsidR="00316FE5" w:rsidRPr="001940FA">
        <w:rPr>
          <w:rFonts w:ascii="Arial" w:hAnsi="Arial"/>
          <w:spacing w:val="-2"/>
          <w:sz w:val="24"/>
          <w:lang w:val="fr-CA"/>
        </w:rPr>
        <w:t xml:space="preserve">. </w:t>
      </w:r>
      <w:r>
        <w:rPr>
          <w:rFonts w:ascii="Arial" w:hAnsi="Arial"/>
          <w:spacing w:val="-2"/>
          <w:sz w:val="24"/>
          <w:lang w:val="fr-CA"/>
        </w:rPr>
        <w:t>Si ce n’est pas le cas</w:t>
      </w:r>
      <w:r w:rsidR="001940FA" w:rsidRPr="001940FA">
        <w:rPr>
          <w:rFonts w:ascii="Arial" w:hAnsi="Arial"/>
          <w:spacing w:val="-2"/>
          <w:sz w:val="24"/>
          <w:lang w:val="fr-CA"/>
        </w:rPr>
        <w:t xml:space="preserve">, préparer </w:t>
      </w:r>
      <w:r w:rsidR="00715FBB">
        <w:rPr>
          <w:rFonts w:ascii="Arial" w:hAnsi="Arial"/>
          <w:spacing w:val="-2"/>
          <w:sz w:val="24"/>
          <w:lang w:val="fr-CA"/>
        </w:rPr>
        <w:t>d’autres</w:t>
      </w:r>
      <w:r w:rsidR="001940FA" w:rsidRPr="001940FA">
        <w:rPr>
          <w:rFonts w:ascii="Arial" w:hAnsi="Arial"/>
          <w:spacing w:val="-2"/>
          <w:sz w:val="24"/>
          <w:lang w:val="fr-CA"/>
        </w:rPr>
        <w:t xml:space="preserve"> aliquotes </w:t>
      </w:r>
      <w:r w:rsidR="00715FBB" w:rsidRPr="001940FA">
        <w:rPr>
          <w:rFonts w:ascii="Arial" w:hAnsi="Arial"/>
          <w:spacing w:val="-2"/>
          <w:sz w:val="24"/>
          <w:lang w:val="fr-CA"/>
        </w:rPr>
        <w:t>d</w:t>
      </w:r>
      <w:r w:rsidR="00715FBB">
        <w:rPr>
          <w:rFonts w:ascii="Arial" w:hAnsi="Arial"/>
          <w:spacing w:val="-2"/>
          <w:sz w:val="24"/>
          <w:lang w:val="fr-CA"/>
        </w:rPr>
        <w:t>’</w:t>
      </w:r>
      <w:r w:rsidR="001940FA" w:rsidRPr="001940FA">
        <w:rPr>
          <w:rFonts w:ascii="Arial" w:hAnsi="Arial"/>
          <w:spacing w:val="-2"/>
          <w:sz w:val="24"/>
          <w:lang w:val="fr-CA"/>
        </w:rPr>
        <w:t xml:space="preserve">hématies traitées par </w:t>
      </w:r>
      <w:r w:rsidR="00316FE5" w:rsidRPr="001940FA">
        <w:rPr>
          <w:rFonts w:ascii="Arial" w:hAnsi="Arial"/>
          <w:spacing w:val="-2"/>
          <w:sz w:val="24"/>
          <w:lang w:val="fr-CA"/>
        </w:rPr>
        <w:t xml:space="preserve">ZZAP </w:t>
      </w:r>
      <w:r w:rsidR="001940FA" w:rsidRPr="001940FA">
        <w:rPr>
          <w:rFonts w:ascii="Arial" w:hAnsi="Arial"/>
          <w:spacing w:val="-2"/>
          <w:sz w:val="24"/>
          <w:lang w:val="fr-CA"/>
        </w:rPr>
        <w:t>et répéter les étapes</w:t>
      </w:r>
      <w:r w:rsidR="005C7697">
        <w:rPr>
          <w:rFonts w:ascii="Arial" w:hAnsi="Arial"/>
          <w:spacing w:val="-2"/>
          <w:sz w:val="24"/>
          <w:lang w:val="fr-CA"/>
        </w:rPr>
        <w:t> </w:t>
      </w:r>
      <w:r w:rsidR="00316FE5" w:rsidRPr="001940FA">
        <w:rPr>
          <w:rFonts w:ascii="Arial" w:hAnsi="Arial"/>
          <w:spacing w:val="-2"/>
          <w:sz w:val="24"/>
          <w:lang w:val="fr-CA"/>
        </w:rPr>
        <w:t xml:space="preserve">6.1 </w:t>
      </w:r>
      <w:r w:rsidR="001940FA" w:rsidRPr="001940FA">
        <w:rPr>
          <w:rFonts w:ascii="Arial" w:hAnsi="Arial"/>
          <w:spacing w:val="-2"/>
          <w:sz w:val="24"/>
          <w:lang w:val="fr-CA"/>
        </w:rPr>
        <w:t>à</w:t>
      </w:r>
      <w:r w:rsidR="00316FE5" w:rsidRPr="001940FA">
        <w:rPr>
          <w:rFonts w:ascii="Arial" w:hAnsi="Arial"/>
          <w:spacing w:val="-2"/>
          <w:sz w:val="24"/>
          <w:lang w:val="fr-CA"/>
        </w:rPr>
        <w:t xml:space="preserve"> 6.7</w:t>
      </w:r>
      <w:r w:rsidR="001940FA" w:rsidRPr="001940FA">
        <w:rPr>
          <w:rFonts w:ascii="Arial" w:hAnsi="Arial"/>
          <w:spacing w:val="-2"/>
          <w:sz w:val="24"/>
          <w:lang w:val="fr-CA"/>
        </w:rPr>
        <w:t xml:space="preserve"> de la procédure</w:t>
      </w:r>
      <w:r w:rsidR="00316FE5" w:rsidRPr="001940FA">
        <w:rPr>
          <w:rFonts w:ascii="Arial" w:hAnsi="Arial"/>
          <w:spacing w:val="-2"/>
          <w:sz w:val="24"/>
          <w:lang w:val="fr-CA"/>
        </w:rPr>
        <w:t>.</w:t>
      </w:r>
      <w:r w:rsidR="001940FA" w:rsidRPr="001940FA">
        <w:rPr>
          <w:rFonts w:ascii="Arial" w:hAnsi="Arial"/>
          <w:spacing w:val="-2"/>
          <w:sz w:val="24"/>
          <w:lang w:val="fr-CA"/>
        </w:rPr>
        <w:br/>
      </w:r>
    </w:p>
    <w:p w:rsidR="00316FE5" w:rsidRPr="000620E1" w:rsidRDefault="00675FB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75FB5">
        <w:rPr>
          <w:rFonts w:ascii="Arial" w:hAnsi="Arial"/>
          <w:spacing w:val="-2"/>
          <w:sz w:val="24"/>
          <w:lang w:val="fr-CA"/>
        </w:rPr>
        <w:t xml:space="preserve">Cette procédure ne servira qu’à dépister ou identifier des 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allo</w:t>
      </w:r>
      <w:r w:rsidR="001940FA" w:rsidRPr="00675FB5">
        <w:rPr>
          <w:rFonts w:ascii="Arial" w:hAnsi="Arial"/>
          <w:spacing w:val="-2"/>
          <w:sz w:val="24"/>
          <w:lang w:val="fr-CA"/>
        </w:rPr>
        <w:t>anticorps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Pr="00675FB5">
        <w:rPr>
          <w:rFonts w:ascii="Arial" w:hAnsi="Arial"/>
          <w:spacing w:val="-2"/>
          <w:sz w:val="24"/>
          <w:lang w:val="fr-CA"/>
        </w:rPr>
        <w:t>ayant les spécifi</w:t>
      </w:r>
      <w:r w:rsidR="005A19ED">
        <w:rPr>
          <w:rFonts w:ascii="Arial" w:hAnsi="Arial"/>
          <w:spacing w:val="-2"/>
          <w:sz w:val="24"/>
          <w:lang w:val="fr-CA"/>
        </w:rPr>
        <w:t>ci</w:t>
      </w:r>
      <w:r w:rsidRPr="00675FB5">
        <w:rPr>
          <w:rFonts w:ascii="Arial" w:hAnsi="Arial"/>
          <w:spacing w:val="-2"/>
          <w:sz w:val="24"/>
          <w:lang w:val="fr-CA"/>
        </w:rPr>
        <w:t>tés habituelles des systèmes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 Rh, Duffy, MNSs</w:t>
      </w:r>
      <w:r w:rsidRPr="00675FB5">
        <w:rPr>
          <w:rFonts w:ascii="Arial" w:hAnsi="Arial"/>
          <w:spacing w:val="-2"/>
          <w:sz w:val="24"/>
          <w:lang w:val="fr-CA"/>
        </w:rPr>
        <w:t xml:space="preserve"> et 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Kidd. </w:t>
      </w:r>
      <w:r w:rsidR="001940FA" w:rsidRPr="00675FB5">
        <w:rPr>
          <w:rFonts w:ascii="Arial" w:hAnsi="Arial"/>
          <w:spacing w:val="-2"/>
          <w:sz w:val="24"/>
          <w:lang w:val="fr-CA"/>
        </w:rPr>
        <w:t xml:space="preserve">Les </w:t>
      </w:r>
      <w:proofErr w:type="spellStart"/>
      <w:r w:rsidR="001940FA" w:rsidRPr="00675FB5">
        <w:rPr>
          <w:rFonts w:ascii="Arial" w:hAnsi="Arial"/>
          <w:spacing w:val="-2"/>
          <w:sz w:val="24"/>
          <w:lang w:val="fr-CA"/>
        </w:rPr>
        <w:t>a</w:t>
      </w:r>
      <w:r w:rsidR="00316FE5" w:rsidRPr="00675FB5">
        <w:rPr>
          <w:rFonts w:ascii="Arial" w:hAnsi="Arial"/>
          <w:spacing w:val="-2"/>
          <w:sz w:val="24"/>
          <w:lang w:val="fr-CA"/>
        </w:rPr>
        <w:t>llo</w:t>
      </w:r>
      <w:r w:rsidR="001940FA" w:rsidRPr="00675FB5">
        <w:rPr>
          <w:rFonts w:ascii="Arial" w:hAnsi="Arial"/>
          <w:spacing w:val="-2"/>
          <w:sz w:val="24"/>
          <w:lang w:val="fr-CA"/>
        </w:rPr>
        <w:t>anticorps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="001940FA" w:rsidRPr="00675FB5">
        <w:rPr>
          <w:rFonts w:ascii="Arial" w:hAnsi="Arial"/>
          <w:spacing w:val="-2"/>
          <w:sz w:val="24"/>
          <w:lang w:val="fr-CA"/>
        </w:rPr>
        <w:t xml:space="preserve">à des antigènes très fréquents ou les </w:t>
      </w:r>
      <w:proofErr w:type="spellStart"/>
      <w:r w:rsidR="00316FE5" w:rsidRPr="00675FB5">
        <w:rPr>
          <w:rFonts w:ascii="Arial" w:hAnsi="Arial"/>
          <w:spacing w:val="-2"/>
          <w:sz w:val="24"/>
          <w:lang w:val="fr-CA"/>
        </w:rPr>
        <w:t>allo</w:t>
      </w:r>
      <w:r w:rsidR="001940FA" w:rsidRPr="00675FB5">
        <w:rPr>
          <w:rFonts w:ascii="Arial" w:hAnsi="Arial"/>
          <w:spacing w:val="-2"/>
          <w:sz w:val="24"/>
          <w:lang w:val="fr-CA"/>
        </w:rPr>
        <w:t>anticorps</w:t>
      </w:r>
      <w:proofErr w:type="spellEnd"/>
      <w:r w:rsidR="00316FE5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="001940FA" w:rsidRPr="00675FB5">
        <w:rPr>
          <w:rFonts w:ascii="Arial" w:hAnsi="Arial"/>
          <w:spacing w:val="-2"/>
          <w:sz w:val="24"/>
          <w:lang w:val="fr-CA"/>
        </w:rPr>
        <w:t xml:space="preserve">à tout antigène présent sur les cellules </w:t>
      </w:r>
      <w:proofErr w:type="spellStart"/>
      <w:r w:rsidR="001940FA" w:rsidRPr="00675FB5">
        <w:rPr>
          <w:rFonts w:ascii="Arial" w:hAnsi="Arial"/>
          <w:spacing w:val="-2"/>
          <w:sz w:val="24"/>
          <w:lang w:val="fr-CA"/>
        </w:rPr>
        <w:t>a</w:t>
      </w:r>
      <w:r w:rsidR="0034506E">
        <w:rPr>
          <w:rFonts w:ascii="Arial" w:hAnsi="Arial"/>
          <w:spacing w:val="-2"/>
          <w:sz w:val="24"/>
          <w:lang w:val="fr-CA"/>
        </w:rPr>
        <w:t>d</w:t>
      </w:r>
      <w:r w:rsidR="001940FA" w:rsidRPr="00675FB5">
        <w:rPr>
          <w:rFonts w:ascii="Arial" w:hAnsi="Arial"/>
          <w:spacing w:val="-2"/>
          <w:sz w:val="24"/>
          <w:lang w:val="fr-CA"/>
        </w:rPr>
        <w:t>sorbantes</w:t>
      </w:r>
      <w:proofErr w:type="spellEnd"/>
      <w:r w:rsidR="001940FA" w:rsidRPr="00675FB5">
        <w:rPr>
          <w:rFonts w:ascii="Arial" w:hAnsi="Arial"/>
          <w:spacing w:val="-2"/>
          <w:sz w:val="24"/>
          <w:lang w:val="fr-CA"/>
        </w:rPr>
        <w:t xml:space="preserve"> </w:t>
      </w:r>
      <w:r w:rsidR="00316FE5" w:rsidRPr="00675FB5">
        <w:rPr>
          <w:rFonts w:ascii="Arial" w:hAnsi="Arial"/>
          <w:spacing w:val="-2"/>
          <w:sz w:val="24"/>
          <w:lang w:val="fr-CA"/>
        </w:rPr>
        <w:t>(</w:t>
      </w:r>
      <w:r w:rsidR="001940FA" w:rsidRPr="00675FB5">
        <w:rPr>
          <w:rFonts w:ascii="Arial" w:hAnsi="Arial"/>
          <w:spacing w:val="-2"/>
          <w:sz w:val="24"/>
          <w:lang w:val="fr-CA"/>
        </w:rPr>
        <w:t>et non détruit</w:t>
      </w:r>
      <w:r w:rsidR="00430F5F">
        <w:rPr>
          <w:rFonts w:ascii="Arial" w:hAnsi="Arial"/>
          <w:spacing w:val="-2"/>
          <w:sz w:val="24"/>
          <w:lang w:val="fr-CA"/>
        </w:rPr>
        <w:t>s</w:t>
      </w:r>
      <w:r w:rsidR="001940FA" w:rsidRPr="00675FB5">
        <w:rPr>
          <w:rFonts w:ascii="Arial" w:hAnsi="Arial"/>
          <w:spacing w:val="-2"/>
          <w:sz w:val="24"/>
          <w:lang w:val="fr-CA"/>
        </w:rPr>
        <w:t xml:space="preserve"> par le réactif 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ZZAP) </w:t>
      </w:r>
      <w:r w:rsidR="001940FA" w:rsidRPr="00675FB5">
        <w:rPr>
          <w:rFonts w:ascii="Arial" w:hAnsi="Arial"/>
          <w:spacing w:val="-2"/>
          <w:sz w:val="24"/>
          <w:lang w:val="fr-CA"/>
        </w:rPr>
        <w:t>peuvent être a</w:t>
      </w:r>
      <w:r w:rsidR="0034506E">
        <w:rPr>
          <w:rFonts w:ascii="Arial" w:hAnsi="Arial"/>
          <w:spacing w:val="-2"/>
          <w:sz w:val="24"/>
          <w:lang w:val="fr-CA"/>
        </w:rPr>
        <w:t>d</w:t>
      </w:r>
      <w:r w:rsidR="001940FA" w:rsidRPr="00675FB5">
        <w:rPr>
          <w:rFonts w:ascii="Arial" w:hAnsi="Arial"/>
          <w:spacing w:val="-2"/>
          <w:sz w:val="24"/>
          <w:lang w:val="fr-CA"/>
        </w:rPr>
        <w:t>sorbés avec les autoanticorps</w:t>
      </w:r>
      <w:r w:rsidR="00316FE5" w:rsidRPr="00675FB5">
        <w:rPr>
          <w:rFonts w:ascii="Arial" w:hAnsi="Arial"/>
          <w:spacing w:val="-2"/>
          <w:sz w:val="24"/>
          <w:lang w:val="fr-CA"/>
        </w:rPr>
        <w:t xml:space="preserve">.  </w:t>
      </w:r>
      <w:r w:rsidR="001940FA" w:rsidRPr="00675FB5">
        <w:rPr>
          <w:rFonts w:ascii="Arial" w:hAnsi="Arial"/>
          <w:spacing w:val="-2"/>
          <w:sz w:val="24"/>
          <w:lang w:val="fr-CA"/>
        </w:rPr>
        <w:t xml:space="preserve">Il faut donc analyser les </w:t>
      </w:r>
      <w:proofErr w:type="spellStart"/>
      <w:r w:rsidR="001940FA" w:rsidRPr="00675FB5">
        <w:rPr>
          <w:rFonts w:ascii="Arial" w:hAnsi="Arial"/>
          <w:spacing w:val="-2"/>
          <w:sz w:val="24"/>
          <w:lang w:val="fr-CA"/>
        </w:rPr>
        <w:t>éluats</w:t>
      </w:r>
      <w:proofErr w:type="spellEnd"/>
      <w:r w:rsidR="001940FA" w:rsidRPr="00675FB5">
        <w:rPr>
          <w:rFonts w:ascii="Arial" w:hAnsi="Arial"/>
          <w:spacing w:val="-2"/>
          <w:sz w:val="24"/>
          <w:lang w:val="fr-CA"/>
        </w:rPr>
        <w:t xml:space="preserve"> préparés à partir de</w:t>
      </w:r>
      <w:r w:rsidR="00535C17">
        <w:rPr>
          <w:rFonts w:ascii="Arial" w:hAnsi="Arial"/>
          <w:spacing w:val="-2"/>
          <w:sz w:val="24"/>
          <w:lang w:val="fr-CA"/>
        </w:rPr>
        <w:t>s</w:t>
      </w:r>
      <w:r w:rsidR="001940FA" w:rsidRPr="00675FB5">
        <w:rPr>
          <w:rFonts w:ascii="Arial" w:hAnsi="Arial"/>
          <w:spacing w:val="-2"/>
          <w:sz w:val="24"/>
          <w:lang w:val="fr-CA"/>
        </w:rPr>
        <w:t xml:space="preserve"> cellules après l’a</w:t>
      </w:r>
      <w:r w:rsidR="0034506E">
        <w:rPr>
          <w:rFonts w:ascii="Arial" w:hAnsi="Arial"/>
          <w:spacing w:val="-2"/>
          <w:sz w:val="24"/>
          <w:lang w:val="fr-CA"/>
        </w:rPr>
        <w:t>d</w:t>
      </w:r>
      <w:r w:rsidR="001940FA" w:rsidRPr="00675FB5">
        <w:rPr>
          <w:rFonts w:ascii="Arial" w:hAnsi="Arial"/>
          <w:spacing w:val="-2"/>
          <w:sz w:val="24"/>
          <w:lang w:val="fr-CA"/>
        </w:rPr>
        <w:t>sorption pour identifier des spécificités particulières</w:t>
      </w:r>
      <w:r w:rsidR="00316FE5" w:rsidRPr="000620E1">
        <w:rPr>
          <w:rFonts w:ascii="Arial" w:hAnsi="Arial"/>
          <w:spacing w:val="-2"/>
          <w:sz w:val="24"/>
          <w:lang w:val="fr-CA"/>
        </w:rPr>
        <w:t>.</w:t>
      </w:r>
    </w:p>
    <w:p w:rsidR="00316FE5" w:rsidRPr="001940FA" w:rsidRDefault="00316FE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316FE5" w:rsidRPr="001940FA" w:rsidRDefault="00316FE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1940FA">
        <w:rPr>
          <w:rFonts w:ascii="Arial" w:hAnsi="Arial"/>
          <w:b/>
          <w:sz w:val="28"/>
          <w:lang w:val="fr-CA"/>
        </w:rPr>
        <w:t>R</w:t>
      </w:r>
      <w:r w:rsidR="001940FA" w:rsidRPr="001940FA">
        <w:rPr>
          <w:rFonts w:ascii="Arial" w:hAnsi="Arial"/>
          <w:b/>
          <w:sz w:val="28"/>
          <w:lang w:val="fr-CA"/>
        </w:rPr>
        <w:t>é</w:t>
      </w:r>
      <w:r w:rsidRPr="001940FA">
        <w:rPr>
          <w:rFonts w:ascii="Arial" w:hAnsi="Arial"/>
          <w:b/>
          <w:sz w:val="28"/>
          <w:lang w:val="fr-CA"/>
        </w:rPr>
        <w:t>f</w:t>
      </w:r>
      <w:r w:rsidR="001940FA" w:rsidRPr="001940FA">
        <w:rPr>
          <w:rFonts w:ascii="Arial" w:hAnsi="Arial"/>
          <w:b/>
          <w:sz w:val="28"/>
          <w:lang w:val="fr-CA"/>
        </w:rPr>
        <w:t>é</w:t>
      </w:r>
      <w:r w:rsidRPr="001940FA">
        <w:rPr>
          <w:rFonts w:ascii="Arial" w:hAnsi="Arial"/>
          <w:b/>
          <w:sz w:val="28"/>
          <w:lang w:val="fr-CA"/>
        </w:rPr>
        <w:t>rences</w:t>
      </w:r>
    </w:p>
    <w:p w:rsidR="00316FE5" w:rsidRPr="001940FA" w:rsidRDefault="00316FE5">
      <w:pPr>
        <w:rPr>
          <w:rFonts w:ascii="Arial" w:hAnsi="Arial"/>
          <w:sz w:val="24"/>
          <w:lang w:val="fr-CA"/>
        </w:rPr>
      </w:pPr>
    </w:p>
    <w:p w:rsidR="00316FE5" w:rsidRPr="00D42886" w:rsidRDefault="0034506E">
      <w:pPr>
        <w:numPr>
          <w:ilvl w:val="1"/>
          <w:numId w:val="1"/>
        </w:numPr>
        <w:rPr>
          <w:rFonts w:ascii="Arial" w:hAnsi="Arial"/>
          <w:sz w:val="24"/>
          <w:lang w:val="en-CA"/>
        </w:rPr>
      </w:pPr>
      <w:r w:rsidRPr="00D42886">
        <w:rPr>
          <w:rFonts w:ascii="Arial" w:hAnsi="Arial"/>
          <w:spacing w:val="-2"/>
          <w:sz w:val="24"/>
          <w:lang w:val="en-CA"/>
        </w:rPr>
        <w:t>JUDD, WJ</w:t>
      </w:r>
      <w:r w:rsidR="005C7697" w:rsidRPr="00D42886">
        <w:rPr>
          <w:rFonts w:ascii="Arial" w:hAnsi="Arial"/>
          <w:spacing w:val="-2"/>
          <w:sz w:val="24"/>
          <w:lang w:val="en-CA"/>
        </w:rPr>
        <w:t xml:space="preserve">, </w:t>
      </w:r>
      <w:proofErr w:type="spellStart"/>
      <w:r w:rsidR="005C7697" w:rsidRPr="00D42886">
        <w:rPr>
          <w:rFonts w:ascii="Arial" w:hAnsi="Arial"/>
          <w:spacing w:val="-2"/>
          <w:sz w:val="24"/>
          <w:lang w:val="en-CA"/>
        </w:rPr>
        <w:t>éd</w:t>
      </w:r>
      <w:proofErr w:type="spellEnd"/>
      <w:r w:rsidR="005C7697" w:rsidRPr="00D42886">
        <w:rPr>
          <w:rFonts w:ascii="Arial" w:hAnsi="Arial"/>
          <w:spacing w:val="-2"/>
          <w:sz w:val="24"/>
          <w:lang w:val="en-CA"/>
        </w:rPr>
        <w:t>.</w:t>
      </w:r>
      <w:r w:rsidRPr="00D42886">
        <w:rPr>
          <w:rFonts w:ascii="Arial" w:hAnsi="Arial"/>
          <w:spacing w:val="-2"/>
          <w:sz w:val="24"/>
          <w:lang w:val="en-CA"/>
        </w:rPr>
        <w:t xml:space="preserve"> </w:t>
      </w:r>
      <w:r w:rsidRPr="00D42886">
        <w:rPr>
          <w:rFonts w:ascii="Arial" w:hAnsi="Arial"/>
          <w:i/>
          <w:spacing w:val="-2"/>
          <w:sz w:val="24"/>
          <w:lang w:val="en-CA"/>
        </w:rPr>
        <w:t>Judd’s Methods in Immunohematology</w:t>
      </w:r>
      <w:r w:rsidRPr="00D42886">
        <w:rPr>
          <w:rFonts w:ascii="Arial" w:hAnsi="Arial"/>
          <w:spacing w:val="-2"/>
          <w:sz w:val="24"/>
          <w:lang w:val="en-CA"/>
        </w:rPr>
        <w:t>, 3</w:t>
      </w:r>
      <w:r w:rsidRPr="00D42886">
        <w:rPr>
          <w:rFonts w:ascii="Arial" w:hAnsi="Arial"/>
          <w:spacing w:val="-2"/>
          <w:sz w:val="24"/>
          <w:vertAlign w:val="superscript"/>
          <w:lang w:val="en-CA"/>
        </w:rPr>
        <w:t>e</w:t>
      </w:r>
      <w:r w:rsidRPr="00D42886">
        <w:rPr>
          <w:rFonts w:ascii="Arial" w:hAnsi="Arial"/>
          <w:spacing w:val="-2"/>
          <w:sz w:val="24"/>
          <w:lang w:val="en-CA"/>
        </w:rPr>
        <w:t xml:space="preserve"> </w:t>
      </w:r>
      <w:proofErr w:type="spellStart"/>
      <w:r w:rsidRPr="00D42886">
        <w:rPr>
          <w:rFonts w:ascii="Arial" w:hAnsi="Arial"/>
          <w:spacing w:val="-2"/>
          <w:sz w:val="24"/>
          <w:lang w:val="en-CA"/>
        </w:rPr>
        <w:t>éd</w:t>
      </w:r>
      <w:proofErr w:type="spellEnd"/>
      <w:r w:rsidRPr="00D42886">
        <w:rPr>
          <w:rFonts w:ascii="Arial" w:hAnsi="Arial"/>
          <w:spacing w:val="-2"/>
          <w:sz w:val="24"/>
          <w:lang w:val="en-CA"/>
        </w:rPr>
        <w:t>. Bethesda, MD: American Association of Bloo</w:t>
      </w:r>
      <w:r w:rsidR="005C7697" w:rsidRPr="00D42886">
        <w:rPr>
          <w:rFonts w:ascii="Arial" w:hAnsi="Arial"/>
          <w:spacing w:val="-2"/>
          <w:sz w:val="24"/>
          <w:lang w:val="en-CA"/>
        </w:rPr>
        <w:t>d Banks</w:t>
      </w:r>
      <w:r w:rsidRPr="00D42886">
        <w:rPr>
          <w:rFonts w:ascii="Arial" w:hAnsi="Arial"/>
          <w:spacing w:val="-2"/>
          <w:sz w:val="24"/>
          <w:lang w:val="en-CA"/>
        </w:rPr>
        <w:t>, p. 469-471</w:t>
      </w:r>
      <w:r w:rsidR="00316FE5" w:rsidRPr="00D42886">
        <w:rPr>
          <w:rFonts w:ascii="Arial" w:hAnsi="Arial"/>
          <w:spacing w:val="-2"/>
          <w:sz w:val="24"/>
          <w:lang w:val="en-CA"/>
        </w:rPr>
        <w:t>.</w:t>
      </w:r>
      <w:r w:rsidRPr="00D42886">
        <w:rPr>
          <w:rFonts w:ascii="Arial" w:hAnsi="Arial"/>
          <w:spacing w:val="-2"/>
          <w:sz w:val="24"/>
          <w:lang w:val="en-CA"/>
        </w:rPr>
        <w:br/>
      </w:r>
    </w:p>
    <w:p w:rsidR="0034506E" w:rsidRDefault="0034506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42886">
        <w:rPr>
          <w:rFonts w:ascii="Arial" w:hAnsi="Arial"/>
          <w:sz w:val="24"/>
          <w:lang w:val="en-CA"/>
        </w:rPr>
        <w:t xml:space="preserve">ROBACK, JD, </w:t>
      </w:r>
      <w:proofErr w:type="spellStart"/>
      <w:r w:rsidRPr="00D42886">
        <w:rPr>
          <w:rFonts w:ascii="Arial" w:hAnsi="Arial"/>
          <w:sz w:val="24"/>
          <w:lang w:val="en-CA"/>
        </w:rPr>
        <w:t>éd</w:t>
      </w:r>
      <w:proofErr w:type="spellEnd"/>
      <w:r w:rsidRPr="00D42886">
        <w:rPr>
          <w:rFonts w:ascii="Arial" w:hAnsi="Arial"/>
          <w:sz w:val="24"/>
          <w:lang w:val="en-CA"/>
        </w:rPr>
        <w:t xml:space="preserve">. </w:t>
      </w:r>
      <w:r w:rsidRPr="00D42886">
        <w:rPr>
          <w:rFonts w:ascii="Arial" w:hAnsi="Arial"/>
          <w:i/>
          <w:sz w:val="24"/>
          <w:lang w:val="en-CA"/>
        </w:rPr>
        <w:t>American Association of Blood Banks Technical Manua</w:t>
      </w:r>
      <w:r w:rsidRPr="00D42886">
        <w:rPr>
          <w:rFonts w:ascii="Arial" w:hAnsi="Arial"/>
          <w:sz w:val="24"/>
          <w:lang w:val="en-CA"/>
        </w:rPr>
        <w:t>l, 1</w:t>
      </w:r>
      <w:r w:rsidR="00430F5F" w:rsidRPr="00D42886">
        <w:rPr>
          <w:rFonts w:ascii="Arial" w:hAnsi="Arial"/>
          <w:sz w:val="24"/>
          <w:lang w:val="en-CA"/>
        </w:rPr>
        <w:t>7</w:t>
      </w:r>
      <w:r w:rsidRPr="00D42886">
        <w:rPr>
          <w:rFonts w:ascii="Arial" w:hAnsi="Arial"/>
          <w:sz w:val="24"/>
          <w:vertAlign w:val="superscript"/>
          <w:lang w:val="en-CA"/>
        </w:rPr>
        <w:t>e</w:t>
      </w:r>
      <w:r w:rsidRPr="00D42886">
        <w:rPr>
          <w:rFonts w:ascii="Arial" w:hAnsi="Arial"/>
          <w:sz w:val="24"/>
          <w:lang w:val="en-CA"/>
        </w:rPr>
        <w:t xml:space="preserve"> </w:t>
      </w:r>
      <w:proofErr w:type="spellStart"/>
      <w:r w:rsidRPr="00D42886">
        <w:rPr>
          <w:rFonts w:ascii="Arial" w:hAnsi="Arial"/>
          <w:sz w:val="24"/>
          <w:lang w:val="en-CA"/>
        </w:rPr>
        <w:t>éd</w:t>
      </w:r>
      <w:proofErr w:type="spellEnd"/>
      <w:r w:rsidRPr="00D42886">
        <w:rPr>
          <w:rFonts w:ascii="Arial" w:hAnsi="Arial"/>
          <w:sz w:val="24"/>
          <w:lang w:val="en-CA"/>
        </w:rPr>
        <w:t xml:space="preserve">. </w:t>
      </w:r>
      <w:r w:rsidRPr="0034506E">
        <w:rPr>
          <w:rFonts w:ascii="Arial" w:hAnsi="Arial"/>
          <w:sz w:val="24"/>
          <w:lang w:val="fr-CA"/>
        </w:rPr>
        <w:t xml:space="preserve">Bethesda, MD: American </w:t>
      </w:r>
      <w:r w:rsidR="00430F5F">
        <w:rPr>
          <w:rFonts w:ascii="Arial" w:hAnsi="Arial"/>
          <w:sz w:val="24"/>
          <w:lang w:val="fr-CA"/>
        </w:rPr>
        <w:t>Association of Blood Banks (201</w:t>
      </w:r>
      <w:r w:rsidR="005C7697">
        <w:rPr>
          <w:rFonts w:ascii="Arial" w:hAnsi="Arial"/>
          <w:sz w:val="24"/>
          <w:lang w:val="fr-CA"/>
        </w:rPr>
        <w:t>1</w:t>
      </w:r>
      <w:r w:rsidRPr="0034506E">
        <w:rPr>
          <w:rFonts w:ascii="Arial" w:hAnsi="Arial"/>
          <w:sz w:val="24"/>
          <w:lang w:val="fr-CA"/>
        </w:rPr>
        <w:t xml:space="preserve">), p. </w:t>
      </w:r>
      <w:r>
        <w:rPr>
          <w:rFonts w:ascii="Arial" w:hAnsi="Arial"/>
          <w:sz w:val="24"/>
          <w:lang w:val="fr-CA"/>
        </w:rPr>
        <w:t>92</w:t>
      </w:r>
      <w:r w:rsidR="00430F5F">
        <w:rPr>
          <w:rFonts w:ascii="Arial" w:hAnsi="Arial"/>
          <w:sz w:val="24"/>
          <w:lang w:val="fr-CA"/>
        </w:rPr>
        <w:t>5-926</w:t>
      </w:r>
      <w:r w:rsidRPr="0034506E">
        <w:rPr>
          <w:rFonts w:ascii="Arial" w:hAnsi="Arial"/>
          <w:sz w:val="24"/>
          <w:lang w:val="fr-CA"/>
        </w:rPr>
        <w:t>.</w:t>
      </w:r>
    </w:p>
    <w:p w:rsidR="002C400E" w:rsidRDefault="002C400E" w:rsidP="002C400E">
      <w:pPr>
        <w:rPr>
          <w:rFonts w:ascii="Arial" w:hAnsi="Arial"/>
          <w:sz w:val="24"/>
          <w:lang w:val="fr-CA"/>
        </w:rPr>
      </w:pPr>
    </w:p>
    <w:p w:rsidR="002C400E" w:rsidRPr="00AA3396" w:rsidRDefault="002C400E" w:rsidP="002C400E">
      <w:pPr>
        <w:pStyle w:val="ListParagraph"/>
        <w:numPr>
          <w:ilvl w:val="0"/>
          <w:numId w:val="15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  <w:r>
        <w:rPr>
          <w:rFonts w:ascii="Arial" w:hAnsi="Arial"/>
          <w:b/>
          <w:sz w:val="28"/>
          <w:lang w:val="fr-CA"/>
        </w:rPr>
        <w:softHyphen/>
      </w:r>
    </w:p>
    <w:p w:rsidR="002C400E" w:rsidRPr="00AA3396" w:rsidRDefault="002C400E" w:rsidP="002C400E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753"/>
      </w:tblGrid>
      <w:tr w:rsidR="002C400E" w:rsidRPr="00AA3396" w:rsidTr="00A46094">
        <w:trPr>
          <w:cantSplit/>
        </w:trPr>
        <w:tc>
          <w:tcPr>
            <w:tcW w:w="2943" w:type="dxa"/>
            <w:shd w:val="clear" w:color="auto" w:fill="F2F2F2"/>
          </w:tcPr>
          <w:p w:rsidR="002C400E" w:rsidRPr="004050E8" w:rsidRDefault="002C400E" w:rsidP="00A460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2C400E" w:rsidRPr="004050E8" w:rsidRDefault="002C400E" w:rsidP="00A460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2C400E" w:rsidRPr="00AA3396" w:rsidTr="00A46094">
        <w:trPr>
          <w:cantSplit/>
          <w:trHeight w:val="2068"/>
        </w:trPr>
        <w:tc>
          <w:tcPr>
            <w:tcW w:w="2943" w:type="dxa"/>
          </w:tcPr>
          <w:p w:rsidR="002C400E" w:rsidRPr="00AA3396" w:rsidRDefault="002C400E" w:rsidP="00A46094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913" w:type="dxa"/>
          </w:tcPr>
          <w:p w:rsidR="002C400E" w:rsidRPr="008C1F46" w:rsidRDefault="002C400E" w:rsidP="002C40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430F5F" w:rsidRDefault="00430F5F" w:rsidP="002C400E">
            <w:pPr>
              <w:pStyle w:val="BodyTextIndent2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de la section</w:t>
            </w:r>
            <w:r w:rsidR="005C769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2.0</w:t>
            </w:r>
          </w:p>
          <w:p w:rsidR="00430F5F" w:rsidRPr="008C1F46" w:rsidRDefault="00430F5F" w:rsidP="00430F5F">
            <w:pPr>
              <w:pStyle w:val="BodyTextIndent2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Ajout de cellules de dépistage réactives de groupe O</w:t>
            </w:r>
            <w:r w:rsidR="002C400E" w:rsidRPr="008C1F4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à</w:t>
            </w:r>
          </w:p>
          <w:p w:rsidR="002C400E" w:rsidRDefault="002C400E" w:rsidP="00430F5F">
            <w:pPr>
              <w:pStyle w:val="BodyTextIndent2"/>
              <w:keepLines/>
              <w:widowControl w:val="0"/>
              <w:spacing w:after="0" w:line="240" w:lineRule="auto"/>
              <w:ind w:left="170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>la</w:t>
            </w:r>
            <w:proofErr w:type="gramEnd"/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 xml:space="preserve"> section</w:t>
            </w:r>
            <w:r w:rsidR="005C769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 xml:space="preserve">4 – </w:t>
            </w:r>
            <w:r w:rsidRPr="005C7697">
              <w:rPr>
                <w:rFonts w:ascii="Arial" w:hAnsi="Arial" w:cs="Arial"/>
                <w:i/>
                <w:sz w:val="22"/>
                <w:szCs w:val="22"/>
                <w:lang w:val="fr-CA"/>
              </w:rPr>
              <w:t>Réactifs</w:t>
            </w:r>
          </w:p>
          <w:p w:rsidR="00430F5F" w:rsidRDefault="00430F5F" w:rsidP="002C400E">
            <w:pPr>
              <w:pStyle w:val="BodyTextIndent2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Modification du libellé de la section</w:t>
            </w:r>
            <w:r w:rsidR="005C769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6.6 par l’ajout de «</w:t>
            </w:r>
            <w:r w:rsidR="005C7697"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à la troisième aliquote de chaque tube correspondant et répéter les étapes</w:t>
            </w:r>
            <w:r w:rsidR="005C769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6.3 et 6.4.</w:t>
            </w:r>
          </w:p>
          <w:p w:rsidR="002C400E" w:rsidRDefault="002C400E" w:rsidP="002C400E">
            <w:pPr>
              <w:pStyle w:val="BodyTextIndent2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</w:t>
            </w:r>
            <w:r w:rsidR="00430F5F">
              <w:rPr>
                <w:rFonts w:ascii="Arial" w:hAnsi="Arial" w:cs="Arial"/>
                <w:sz w:val="22"/>
                <w:szCs w:val="22"/>
                <w:lang w:val="fr-CA"/>
              </w:rPr>
              <w:t xml:space="preserve">du libellé de la </w:t>
            </w:r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>section</w:t>
            </w:r>
            <w:r w:rsidR="005C769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8C1F46">
              <w:rPr>
                <w:rFonts w:ascii="Arial" w:hAnsi="Arial" w:cs="Arial"/>
                <w:sz w:val="22"/>
                <w:szCs w:val="22"/>
                <w:lang w:val="fr-CA"/>
              </w:rPr>
              <w:t>8.0</w:t>
            </w:r>
          </w:p>
          <w:p w:rsidR="002C400E" w:rsidRPr="00D42886" w:rsidRDefault="00430F5F" w:rsidP="00D42886">
            <w:pPr>
              <w:pStyle w:val="BodyTextIndent2"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2C400E" w:rsidRPr="00581432" w:rsidRDefault="002C400E" w:rsidP="002C400E">
      <w:pPr>
        <w:rPr>
          <w:lang w:val="fr-CA"/>
        </w:rPr>
      </w:pPr>
    </w:p>
    <w:p w:rsidR="002C400E" w:rsidRPr="0007131B" w:rsidRDefault="002C400E" w:rsidP="00E36EA9">
      <w:pPr>
        <w:rPr>
          <w:rFonts w:ascii="Arial" w:hAnsi="Arial"/>
          <w:sz w:val="24"/>
          <w:lang w:val="fr-CA"/>
        </w:rPr>
      </w:pPr>
    </w:p>
    <w:p w:rsidR="002C400E" w:rsidRPr="001940FA" w:rsidRDefault="002C400E" w:rsidP="002C400E">
      <w:pPr>
        <w:rPr>
          <w:rFonts w:ascii="Arial" w:hAnsi="Arial"/>
          <w:sz w:val="24"/>
          <w:lang w:val="fr-CA"/>
        </w:rPr>
      </w:pPr>
    </w:p>
    <w:p w:rsidR="00316FE5" w:rsidRPr="000620E1" w:rsidRDefault="00316FE5">
      <w:pPr>
        <w:rPr>
          <w:lang w:val="fr-CA"/>
        </w:rPr>
      </w:pPr>
    </w:p>
    <w:sectPr w:rsidR="00316FE5" w:rsidRPr="000620E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A2" w:rsidRDefault="00A66CA2">
      <w:r>
        <w:separator/>
      </w:r>
    </w:p>
  </w:endnote>
  <w:endnote w:type="continuationSeparator" w:id="0">
    <w:p w:rsidR="00A66CA2" w:rsidRDefault="00A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16FE5">
      <w:trPr>
        <w:trHeight w:val="720"/>
      </w:trPr>
      <w:tc>
        <w:tcPr>
          <w:tcW w:w="1368" w:type="dxa"/>
        </w:tcPr>
        <w:p w:rsidR="00316FE5" w:rsidRDefault="00316FE5">
          <w:pPr>
            <w:pStyle w:val="Footer"/>
            <w:jc w:val="center"/>
            <w:rPr>
              <w:sz w:val="8"/>
            </w:rPr>
          </w:pPr>
        </w:p>
        <w:p w:rsidR="00316FE5" w:rsidRDefault="00D01F0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16FE5" w:rsidRDefault="00316FE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216D3" w:rsidRPr="00942CDA" w:rsidRDefault="000216D3" w:rsidP="000216D3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</w:p>
        <w:p w:rsidR="000216D3" w:rsidRPr="00942CDA" w:rsidRDefault="000216D3" w:rsidP="000216D3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316FE5" w:rsidRPr="00D42886" w:rsidRDefault="00316FE5" w:rsidP="007E62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316FE5" w:rsidRPr="00D42886" w:rsidRDefault="00316FE5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316FE5" w:rsidRDefault="001940FA" w:rsidP="001940FA">
          <w:pPr>
            <w:pStyle w:val="Footer"/>
            <w:jc w:val="right"/>
            <w:rPr>
              <w:rFonts w:ascii="Arial" w:hAnsi="Arial"/>
              <w:sz w:val="18"/>
            </w:rPr>
          </w:pPr>
          <w:r w:rsidRPr="001940FA">
            <w:rPr>
              <w:rFonts w:ascii="Arial" w:hAnsi="Arial"/>
              <w:color w:val="000000"/>
              <w:sz w:val="18"/>
            </w:rPr>
            <w:t>PS.015</w:t>
          </w:r>
        </w:p>
        <w:p w:rsidR="00316FE5" w:rsidRDefault="001940FA" w:rsidP="001940FA">
          <w:pPr>
            <w:pStyle w:val="Footer"/>
            <w:jc w:val="right"/>
            <w:rPr>
              <w:rFonts w:ascii="Arial" w:hAnsi="Arial"/>
              <w:sz w:val="18"/>
            </w:rPr>
          </w:pPr>
          <w:r w:rsidRPr="001940FA">
            <w:rPr>
              <w:rFonts w:ascii="Arial" w:hAnsi="Arial"/>
              <w:snapToGrid w:val="0"/>
              <w:color w:val="000000"/>
              <w:sz w:val="18"/>
            </w:rPr>
            <w:t>Page</w:t>
          </w:r>
          <w:r w:rsidR="00316FE5">
            <w:rPr>
              <w:rFonts w:ascii="Arial" w:hAnsi="Arial"/>
              <w:snapToGrid w:val="0"/>
              <w:sz w:val="18"/>
            </w:rPr>
            <w:t xml:space="preserve"> </w:t>
          </w:r>
          <w:r w:rsidR="00316FE5">
            <w:rPr>
              <w:rFonts w:ascii="Arial" w:hAnsi="Arial"/>
              <w:snapToGrid w:val="0"/>
              <w:sz w:val="18"/>
            </w:rPr>
            <w:fldChar w:fldCharType="begin"/>
          </w:r>
          <w:r w:rsidR="00316FE5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316FE5">
            <w:rPr>
              <w:rFonts w:ascii="Arial" w:hAnsi="Arial"/>
              <w:snapToGrid w:val="0"/>
              <w:sz w:val="18"/>
            </w:rPr>
            <w:fldChar w:fldCharType="separate"/>
          </w:r>
          <w:r w:rsidR="00D42886">
            <w:rPr>
              <w:rFonts w:ascii="Arial" w:hAnsi="Arial"/>
              <w:noProof/>
              <w:snapToGrid w:val="0"/>
              <w:sz w:val="18"/>
            </w:rPr>
            <w:t>3</w:t>
          </w:r>
          <w:r w:rsidR="00316FE5">
            <w:rPr>
              <w:rFonts w:ascii="Arial" w:hAnsi="Arial"/>
              <w:snapToGrid w:val="0"/>
              <w:sz w:val="18"/>
            </w:rPr>
            <w:fldChar w:fldCharType="end"/>
          </w:r>
          <w:r w:rsidR="00316FE5">
            <w:rPr>
              <w:rFonts w:ascii="Arial" w:hAnsi="Arial"/>
              <w:snapToGrid w:val="0"/>
              <w:sz w:val="18"/>
            </w:rPr>
            <w:t xml:space="preserve"> </w:t>
          </w:r>
          <w:r w:rsidRPr="001940FA">
            <w:rPr>
              <w:rFonts w:ascii="Arial" w:hAnsi="Arial"/>
              <w:snapToGrid w:val="0"/>
              <w:color w:val="000000"/>
              <w:sz w:val="18"/>
            </w:rPr>
            <w:t>de</w:t>
          </w:r>
          <w:r w:rsidR="00316FE5">
            <w:rPr>
              <w:rFonts w:ascii="Arial" w:hAnsi="Arial"/>
              <w:snapToGrid w:val="0"/>
              <w:sz w:val="18"/>
            </w:rPr>
            <w:t xml:space="preserve"> </w:t>
          </w:r>
          <w:r w:rsidR="00316FE5">
            <w:rPr>
              <w:rFonts w:ascii="Arial" w:hAnsi="Arial"/>
              <w:snapToGrid w:val="0"/>
              <w:sz w:val="18"/>
            </w:rPr>
            <w:fldChar w:fldCharType="begin"/>
          </w:r>
          <w:r w:rsidR="00316FE5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316FE5">
            <w:rPr>
              <w:rFonts w:ascii="Arial" w:hAnsi="Arial"/>
              <w:snapToGrid w:val="0"/>
              <w:sz w:val="18"/>
            </w:rPr>
            <w:fldChar w:fldCharType="separate"/>
          </w:r>
          <w:r w:rsidR="00D42886">
            <w:rPr>
              <w:rFonts w:ascii="Arial" w:hAnsi="Arial"/>
              <w:noProof/>
              <w:snapToGrid w:val="0"/>
              <w:sz w:val="18"/>
            </w:rPr>
            <w:t>3</w:t>
          </w:r>
          <w:r w:rsidR="00316FE5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16FE5" w:rsidRDefault="00316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16FE5">
      <w:trPr>
        <w:trHeight w:val="720"/>
      </w:trPr>
      <w:tc>
        <w:tcPr>
          <w:tcW w:w="1368" w:type="dxa"/>
        </w:tcPr>
        <w:p w:rsidR="00316FE5" w:rsidRDefault="00316FE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16FE5" w:rsidRDefault="00D01F0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16FE5" w:rsidRDefault="00316FE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216D3" w:rsidRPr="00942CDA" w:rsidRDefault="000216D3" w:rsidP="000216D3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</w:p>
        <w:p w:rsidR="000216D3" w:rsidRPr="00942CDA" w:rsidRDefault="000216D3" w:rsidP="000216D3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316FE5" w:rsidRPr="00D42886" w:rsidRDefault="00316FE5" w:rsidP="007E62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316FE5" w:rsidRPr="00D42886" w:rsidRDefault="00316FE5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316FE5" w:rsidRDefault="00316FE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</w:t>
          </w:r>
          <w:r w:rsidR="003D60BF">
            <w:rPr>
              <w:rFonts w:ascii="Arial" w:hAnsi="Arial"/>
              <w:sz w:val="18"/>
            </w:rPr>
            <w:t>S</w:t>
          </w:r>
          <w:r w:rsidR="000216D3">
            <w:rPr>
              <w:rFonts w:ascii="Arial" w:hAnsi="Arial"/>
              <w:sz w:val="18"/>
            </w:rPr>
            <w:t xml:space="preserve">.015 </w:t>
          </w:r>
        </w:p>
        <w:p w:rsidR="00316FE5" w:rsidRDefault="00316FE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42886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3D60BF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42886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16FE5" w:rsidRDefault="0031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A2" w:rsidRDefault="00A66CA2">
      <w:r>
        <w:separator/>
      </w:r>
    </w:p>
  </w:footnote>
  <w:footnote w:type="continuationSeparator" w:id="0">
    <w:p w:rsidR="00A66CA2" w:rsidRDefault="00A6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E5" w:rsidRPr="007203D4" w:rsidRDefault="001940FA" w:rsidP="001940FA">
    <w:pPr>
      <w:suppressAutoHyphens/>
      <w:jc w:val="center"/>
      <w:rPr>
        <w:rFonts w:ascii="Arial" w:hAnsi="Arial"/>
        <w:b/>
        <w:spacing w:val="-2"/>
        <w:sz w:val="28"/>
        <w:lang w:val="fr-CA"/>
      </w:rPr>
    </w:pPr>
    <w:r w:rsidRPr="007203D4">
      <w:rPr>
        <w:rFonts w:ascii="Arial" w:hAnsi="Arial"/>
        <w:b/>
        <w:color w:val="000000"/>
        <w:spacing w:val="-2"/>
        <w:sz w:val="28"/>
        <w:lang w:val="fr-CA"/>
      </w:rPr>
      <w:t>Absorption – Autoanticorps chauds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D3" w:rsidRDefault="00D01F0A" w:rsidP="000216D3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6BE" w:rsidRPr="00814787" w:rsidRDefault="006806BE" w:rsidP="006806BE">
    <w:pPr>
      <w:pStyle w:val="Header"/>
      <w:rPr>
        <w:rFonts w:ascii="Arial" w:hAnsi="Arial" w:cs="Arial"/>
        <w:b/>
        <w:bCs/>
        <w:sz w:val="22"/>
        <w:lang w:val="fr-CA"/>
      </w:rPr>
    </w:pPr>
  </w:p>
  <w:p w:rsidR="000216D3" w:rsidRPr="000C64D0" w:rsidRDefault="000216D3" w:rsidP="000216D3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0216D3" w:rsidRDefault="000216D3" w:rsidP="000216D3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</w:t>
    </w:r>
    <w:r>
      <w:rPr>
        <w:rFonts w:ascii="Arial" w:hAnsi="Arial" w:cs="Arial"/>
        <w:b/>
        <w:bCs/>
        <w:sz w:val="28"/>
        <w:szCs w:val="28"/>
        <w:lang w:val="fr-CA"/>
      </w:rPr>
      <w:t>ues en transfusion de l’Ontario</w:t>
    </w:r>
  </w:p>
  <w:p w:rsidR="000216D3" w:rsidRPr="002B08A9" w:rsidRDefault="000216D3" w:rsidP="000216D3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</w:p>
  <w:p w:rsidR="00316FE5" w:rsidRPr="00814787" w:rsidRDefault="00316FE5">
    <w:pPr>
      <w:pStyle w:val="Header"/>
      <w:jc w:val="center"/>
      <w:rPr>
        <w:rFonts w:ascii="Arial" w:hAnsi="Arial" w:cs="Arial"/>
        <w:b/>
        <w:bCs/>
        <w:sz w:val="28"/>
        <w:lang w:val="fr-CA"/>
      </w:rPr>
    </w:pPr>
    <w:r w:rsidRPr="00814787">
      <w:rPr>
        <w:rFonts w:ascii="Arial" w:hAnsi="Arial"/>
        <w:b/>
        <w:spacing w:val="-2"/>
        <w:sz w:val="28"/>
        <w:lang w:val="fr-CA"/>
      </w:rPr>
      <w:t>A</w:t>
    </w:r>
    <w:r w:rsidR="0034506E">
      <w:rPr>
        <w:rFonts w:ascii="Arial" w:hAnsi="Arial"/>
        <w:b/>
        <w:spacing w:val="-2"/>
        <w:sz w:val="28"/>
        <w:lang w:val="fr-CA"/>
      </w:rPr>
      <w:t>d</w:t>
    </w:r>
    <w:r w:rsidRPr="00814787">
      <w:rPr>
        <w:rFonts w:ascii="Arial" w:hAnsi="Arial"/>
        <w:b/>
        <w:spacing w:val="-2"/>
        <w:sz w:val="28"/>
        <w:lang w:val="fr-CA"/>
      </w:rPr>
      <w:t xml:space="preserve">sorption – </w:t>
    </w:r>
    <w:r w:rsidR="006806BE" w:rsidRPr="00814787">
      <w:rPr>
        <w:rFonts w:ascii="Arial" w:hAnsi="Arial"/>
        <w:b/>
        <w:spacing w:val="-2"/>
        <w:sz w:val="28"/>
        <w:lang w:val="fr-CA"/>
      </w:rPr>
      <w:t>Autoanticorps chauds</w:t>
    </w:r>
    <w:r w:rsidR="0034506E">
      <w:rPr>
        <w:rFonts w:ascii="Arial" w:hAnsi="Arial"/>
        <w:b/>
        <w:spacing w:val="-2"/>
        <w:sz w:val="28"/>
        <w:lang w:val="fr-CA"/>
      </w:rPr>
      <w:t xml:space="preserve"> et cellules traitées par ZZAP</w:t>
    </w:r>
    <w:r w:rsidR="006806BE" w:rsidRPr="00814787">
      <w:rPr>
        <w:rFonts w:ascii="Arial" w:hAnsi="Arial"/>
        <w:b/>
        <w:spacing w:val="-2"/>
        <w:sz w:val="28"/>
        <w:lang w:val="fr-CA"/>
      </w:rPr>
      <w:br/>
    </w:r>
  </w:p>
  <w:p w:rsidR="00316FE5" w:rsidRPr="00814787" w:rsidRDefault="00D01F0A">
    <w:pPr>
      <w:pStyle w:val="Header"/>
      <w:jc w:val="center"/>
      <w:rPr>
        <w:rFonts w:ascii="Arial" w:hAnsi="Arial" w:cs="Arial"/>
        <w:b/>
        <w:bCs/>
        <w:lang w:val="fr-CA"/>
      </w:rPr>
    </w:pPr>
    <w:r w:rsidRPr="00814787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FFAC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6806BE" w:rsidRPr="00814787">
      <w:tc>
        <w:tcPr>
          <w:tcW w:w="4428" w:type="dxa"/>
        </w:tcPr>
        <w:p w:rsidR="006806BE" w:rsidRPr="00814787" w:rsidRDefault="007E62E8" w:rsidP="00430F5F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Pr="00F94C01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6806BE" w:rsidRPr="00814787" w:rsidRDefault="006806BE" w:rsidP="00316FE5">
          <w:pPr>
            <w:pStyle w:val="Header"/>
            <w:rPr>
              <w:rFonts w:ascii="Arial" w:hAnsi="Arial" w:cs="Arial"/>
              <w:lang w:val="fr-CA"/>
            </w:rPr>
          </w:pPr>
          <w:r w:rsidRPr="00814787">
            <w:rPr>
              <w:rFonts w:ascii="Arial" w:hAnsi="Arial" w:cs="Arial"/>
              <w:lang w:val="fr-CA"/>
            </w:rPr>
            <w:t>Document n</w:t>
          </w:r>
          <w:r w:rsidRPr="00814787">
            <w:rPr>
              <w:rFonts w:ascii="Arial" w:hAnsi="Arial" w:cs="Arial"/>
              <w:vertAlign w:val="superscript"/>
              <w:lang w:val="fr-CA"/>
            </w:rPr>
            <w:t>o</w:t>
          </w:r>
          <w:r w:rsidRPr="00814787">
            <w:rPr>
              <w:rFonts w:ascii="Arial" w:hAnsi="Arial" w:cs="Arial"/>
              <w:lang w:val="fr-CA"/>
            </w:rPr>
            <w:t xml:space="preserve"> : PS.015</w:t>
          </w:r>
        </w:p>
      </w:tc>
    </w:tr>
    <w:tr w:rsidR="006806BE" w:rsidRPr="00814787">
      <w:tc>
        <w:tcPr>
          <w:tcW w:w="4428" w:type="dxa"/>
        </w:tcPr>
        <w:p w:rsidR="006806BE" w:rsidRPr="00814787" w:rsidRDefault="006806BE" w:rsidP="00316FE5">
          <w:pPr>
            <w:pStyle w:val="Header"/>
            <w:rPr>
              <w:rFonts w:ascii="Arial" w:hAnsi="Arial" w:cs="Arial"/>
              <w:lang w:val="fr-CA"/>
            </w:rPr>
          </w:pPr>
          <w:r w:rsidRPr="00814787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6806BE" w:rsidRPr="00814787" w:rsidRDefault="006806BE" w:rsidP="00316FE5">
          <w:pPr>
            <w:pStyle w:val="Header"/>
            <w:rPr>
              <w:rFonts w:ascii="Arial" w:hAnsi="Arial" w:cs="Arial"/>
              <w:lang w:val="fr-CA"/>
            </w:rPr>
          </w:pPr>
          <w:r w:rsidRPr="00814787">
            <w:rPr>
              <w:rFonts w:ascii="Arial" w:hAnsi="Arial" w:cs="Arial"/>
              <w:lang w:val="fr-CA"/>
            </w:rPr>
            <w:t>Catégorie : Procédures spéciales</w:t>
          </w:r>
        </w:p>
      </w:tc>
    </w:tr>
    <w:tr w:rsidR="00316FE5" w:rsidRPr="00814787">
      <w:tc>
        <w:tcPr>
          <w:tcW w:w="4428" w:type="dxa"/>
        </w:tcPr>
        <w:p w:rsidR="00316FE5" w:rsidRPr="00814787" w:rsidRDefault="007E62E8">
          <w:pPr>
            <w:pStyle w:val="Header"/>
            <w:rPr>
              <w:rFonts w:ascii="Arial" w:hAnsi="Arial" w:cs="Arial"/>
              <w:lang w:val="fr-CA"/>
            </w:rPr>
          </w:pPr>
          <w:r w:rsidRPr="00F94C01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révision </w:t>
          </w:r>
          <w:r w:rsidRPr="00F94C01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2009/12/31</w:t>
          </w:r>
          <w:r w:rsidR="00430F5F">
            <w:rPr>
              <w:rFonts w:ascii="Arial" w:hAnsi="Arial" w:cs="Arial"/>
              <w:lang w:val="fr-CA"/>
            </w:rPr>
            <w:t>; 2014/09/01</w:t>
          </w:r>
        </w:p>
      </w:tc>
      <w:tc>
        <w:tcPr>
          <w:tcW w:w="4428" w:type="dxa"/>
        </w:tcPr>
        <w:p w:rsidR="00316FE5" w:rsidRPr="00814787" w:rsidRDefault="00316FE5">
          <w:pPr>
            <w:pStyle w:val="Header"/>
            <w:rPr>
              <w:rFonts w:ascii="Arial" w:hAnsi="Arial" w:cs="Arial"/>
              <w:lang w:val="fr-CA"/>
            </w:rPr>
          </w:pPr>
          <w:r w:rsidRPr="00814787">
            <w:rPr>
              <w:rFonts w:ascii="Arial" w:hAnsi="Arial" w:cs="Arial"/>
              <w:lang w:val="fr-CA"/>
            </w:rPr>
            <w:t>Page</w:t>
          </w:r>
          <w:r w:rsidR="006806BE" w:rsidRPr="00814787">
            <w:rPr>
              <w:rFonts w:ascii="Arial" w:hAnsi="Arial" w:cs="Arial"/>
              <w:lang w:val="fr-CA"/>
            </w:rPr>
            <w:t>s :</w:t>
          </w:r>
          <w:r w:rsidR="00430F5F">
            <w:rPr>
              <w:rFonts w:ascii="Arial" w:hAnsi="Arial" w:cs="Arial"/>
              <w:lang w:val="fr-CA"/>
            </w:rPr>
            <w:t xml:space="preserve"> </w:t>
          </w:r>
          <w:r w:rsidRPr="00814787">
            <w:rPr>
              <w:rFonts w:ascii="Arial" w:hAnsi="Arial" w:cs="Arial"/>
              <w:lang w:val="fr-CA"/>
            </w:rPr>
            <w:fldChar w:fldCharType="begin"/>
          </w:r>
          <w:r w:rsidRPr="00814787">
            <w:rPr>
              <w:rFonts w:ascii="Arial" w:hAnsi="Arial" w:cs="Arial"/>
              <w:lang w:val="fr-CA"/>
            </w:rPr>
            <w:instrText xml:space="preserve"> NUMPAGES </w:instrText>
          </w:r>
          <w:r w:rsidRPr="00814787">
            <w:rPr>
              <w:rFonts w:ascii="Arial" w:hAnsi="Arial" w:cs="Arial"/>
              <w:lang w:val="fr-CA"/>
            </w:rPr>
            <w:fldChar w:fldCharType="separate"/>
          </w:r>
          <w:r w:rsidR="00D42886">
            <w:rPr>
              <w:rFonts w:ascii="Arial" w:hAnsi="Arial" w:cs="Arial"/>
              <w:noProof/>
              <w:lang w:val="fr-CA"/>
            </w:rPr>
            <w:t>3</w:t>
          </w:r>
          <w:r w:rsidRPr="00814787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316FE5" w:rsidRPr="000620E1" w:rsidRDefault="00D01F0A">
    <w:pPr>
      <w:pStyle w:val="Header"/>
      <w:rPr>
        <w:rFonts w:ascii="Arial" w:hAnsi="Arial" w:cs="Arial"/>
      </w:rPr>
    </w:pPr>
    <w:r w:rsidRPr="000620E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4F61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316FE5" w:rsidRPr="000620E1">
      <w:rPr>
        <w:rFonts w:ascii="Arial" w:hAnsi="Arial" w:cs="Arial"/>
      </w:rPr>
      <w:tab/>
    </w:r>
  </w:p>
  <w:p w:rsidR="00316FE5" w:rsidRDefault="00316FE5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6507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6AD20E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5300BFB"/>
    <w:multiLevelType w:val="hybridMultilevel"/>
    <w:tmpl w:val="0DF01D30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BE"/>
    <w:rsid w:val="000216D3"/>
    <w:rsid w:val="000620E1"/>
    <w:rsid w:val="00135522"/>
    <w:rsid w:val="001819B8"/>
    <w:rsid w:val="001940FA"/>
    <w:rsid w:val="001C5BFD"/>
    <w:rsid w:val="002818AE"/>
    <w:rsid w:val="002C400E"/>
    <w:rsid w:val="00316FE5"/>
    <w:rsid w:val="0034506E"/>
    <w:rsid w:val="003D60BF"/>
    <w:rsid w:val="00430F5F"/>
    <w:rsid w:val="00452391"/>
    <w:rsid w:val="004578B9"/>
    <w:rsid w:val="004A548E"/>
    <w:rsid w:val="004B09B5"/>
    <w:rsid w:val="00527C2E"/>
    <w:rsid w:val="00535C17"/>
    <w:rsid w:val="005A19ED"/>
    <w:rsid w:val="005C7697"/>
    <w:rsid w:val="00675FB5"/>
    <w:rsid w:val="006806BE"/>
    <w:rsid w:val="006944CF"/>
    <w:rsid w:val="00715FBB"/>
    <w:rsid w:val="007203D4"/>
    <w:rsid w:val="00726E71"/>
    <w:rsid w:val="00745A06"/>
    <w:rsid w:val="00772867"/>
    <w:rsid w:val="007E62E8"/>
    <w:rsid w:val="00814787"/>
    <w:rsid w:val="0084409F"/>
    <w:rsid w:val="00943E15"/>
    <w:rsid w:val="009C2E4B"/>
    <w:rsid w:val="00A46094"/>
    <w:rsid w:val="00A66CA2"/>
    <w:rsid w:val="00AB4D31"/>
    <w:rsid w:val="00B31AD3"/>
    <w:rsid w:val="00CA3BAD"/>
    <w:rsid w:val="00CA4FF3"/>
    <w:rsid w:val="00D01F0A"/>
    <w:rsid w:val="00D42886"/>
    <w:rsid w:val="00D51E00"/>
    <w:rsid w:val="00DB1969"/>
    <w:rsid w:val="00E36EA9"/>
    <w:rsid w:val="00F138F1"/>
    <w:rsid w:val="00F901DF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9304A-B5E2-494D-9C0C-B928934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A19ED"/>
    <w:rPr>
      <w:sz w:val="16"/>
      <w:szCs w:val="16"/>
    </w:rPr>
  </w:style>
  <w:style w:type="paragraph" w:styleId="CommentText">
    <w:name w:val="annotation text"/>
    <w:basedOn w:val="Normal"/>
    <w:semiHidden/>
    <w:rsid w:val="005A19ED"/>
  </w:style>
  <w:style w:type="paragraph" w:styleId="CommentSubject">
    <w:name w:val="annotation subject"/>
    <w:basedOn w:val="CommentText"/>
    <w:next w:val="CommentText"/>
    <w:semiHidden/>
    <w:rsid w:val="005A19ED"/>
    <w:rPr>
      <w:b/>
      <w:bCs/>
    </w:rPr>
  </w:style>
  <w:style w:type="paragraph" w:styleId="BalloonText">
    <w:name w:val="Balloon Text"/>
    <w:basedOn w:val="Normal"/>
    <w:semiHidden/>
    <w:rsid w:val="005A19E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400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C400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C40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SP.015 -  Absorption - Warm Allogeneic</vt:lpstr>
      <vt:lpstr>SP.015 -  Absorption - Warm Allogeneic</vt:lpstr>
    </vt:vector>
  </TitlesOfParts>
  <Company>The Ottawa Hospital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SP.015 -  Absorption - Warm Allogeneic</dc:title>
  <dc:subject/>
  <dc:creator>TOPO</dc:creator>
  <cp:keywords/>
  <cp:lastModifiedBy>Nesrallah, Heather</cp:lastModifiedBy>
  <cp:revision>2</cp:revision>
  <cp:lastPrinted>2016-04-07T21:00:00Z</cp:lastPrinted>
  <dcterms:created xsi:type="dcterms:W3CDTF">2020-08-11T15:36:00Z</dcterms:created>
  <dcterms:modified xsi:type="dcterms:W3CDTF">2020-08-11T15:36:00Z</dcterms:modified>
</cp:coreProperties>
</file>