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0B1" w:rsidRPr="00BF2802" w:rsidRDefault="001116AF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bookmarkStart w:id="0" w:name="_GoBack"/>
      <w:bookmarkEnd w:id="0"/>
      <w:r w:rsidRPr="00BF2802">
        <w:rPr>
          <w:rFonts w:ascii="Arial" w:hAnsi="Arial"/>
          <w:b/>
          <w:sz w:val="28"/>
          <w:lang w:val="fr-CA"/>
        </w:rPr>
        <w:t>Principe</w:t>
      </w:r>
    </w:p>
    <w:p w:rsidR="003C00B1" w:rsidRPr="00BF2802" w:rsidRDefault="003C00B1">
      <w:pPr>
        <w:rPr>
          <w:rFonts w:ascii="Arial" w:hAnsi="Arial"/>
          <w:sz w:val="24"/>
          <w:lang w:val="fr-CA"/>
        </w:rPr>
      </w:pPr>
    </w:p>
    <w:p w:rsidR="003C00B1" w:rsidRDefault="001116AF">
      <w:pPr>
        <w:ind w:left="720"/>
        <w:rPr>
          <w:rFonts w:ascii="Arial" w:hAnsi="Arial"/>
          <w:sz w:val="24"/>
          <w:lang w:val="fr-CA"/>
        </w:rPr>
      </w:pPr>
      <w:r w:rsidRPr="00BF2802">
        <w:rPr>
          <w:rFonts w:ascii="Arial" w:hAnsi="Arial"/>
          <w:sz w:val="24"/>
          <w:lang w:val="fr-CA"/>
        </w:rPr>
        <w:t>Le traitement des globules rouges par une solution à 6</w:t>
      </w:r>
      <w:r w:rsidR="00964356">
        <w:rPr>
          <w:rFonts w:ascii="Arial" w:hAnsi="Arial"/>
          <w:sz w:val="24"/>
          <w:lang w:val="fr-CA"/>
        </w:rPr>
        <w:t> </w:t>
      </w:r>
      <w:r w:rsidRPr="00BF2802">
        <w:rPr>
          <w:rFonts w:ascii="Arial" w:hAnsi="Arial"/>
          <w:sz w:val="24"/>
          <w:lang w:val="fr-CA"/>
        </w:rPr>
        <w:t xml:space="preserve">% d’AET </w:t>
      </w:r>
      <w:r w:rsidR="003C00B1" w:rsidRPr="00BF2802">
        <w:rPr>
          <w:rFonts w:ascii="Arial" w:hAnsi="Arial"/>
          <w:sz w:val="24"/>
          <w:lang w:val="fr-CA"/>
        </w:rPr>
        <w:t>(</w:t>
      </w:r>
      <w:r w:rsidRPr="00BF2802">
        <w:rPr>
          <w:rFonts w:ascii="Arial" w:hAnsi="Arial"/>
          <w:sz w:val="24"/>
          <w:lang w:val="fr-CA"/>
        </w:rPr>
        <w:t>bromure de 2-aminoéthylisothirouronium</w:t>
      </w:r>
      <w:r w:rsidR="003C00B1" w:rsidRPr="00BF2802">
        <w:rPr>
          <w:rFonts w:ascii="Arial" w:hAnsi="Arial"/>
          <w:sz w:val="24"/>
          <w:lang w:val="fr-CA"/>
        </w:rPr>
        <w:t>) inactiv</w:t>
      </w:r>
      <w:r w:rsidRPr="00BF2802">
        <w:rPr>
          <w:rFonts w:ascii="Arial" w:hAnsi="Arial"/>
          <w:sz w:val="24"/>
          <w:lang w:val="fr-CA"/>
        </w:rPr>
        <w:t xml:space="preserve">e les antigènes </w:t>
      </w:r>
      <w:r w:rsidR="003C00B1" w:rsidRPr="00BF2802">
        <w:rPr>
          <w:rFonts w:ascii="Arial" w:hAnsi="Arial"/>
          <w:sz w:val="24"/>
          <w:lang w:val="fr-CA"/>
        </w:rPr>
        <w:t>Kel</w:t>
      </w:r>
      <w:r w:rsidRPr="00BF2802">
        <w:rPr>
          <w:rFonts w:ascii="Arial" w:hAnsi="Arial"/>
          <w:sz w:val="24"/>
          <w:lang w:val="fr-CA"/>
        </w:rPr>
        <w:t>l</w:t>
      </w:r>
      <w:r w:rsidR="003C00B1" w:rsidRPr="00BF2802">
        <w:rPr>
          <w:rFonts w:ascii="Arial" w:hAnsi="Arial"/>
          <w:sz w:val="24"/>
          <w:lang w:val="fr-CA"/>
        </w:rPr>
        <w:t xml:space="preserve"> (</w:t>
      </w:r>
      <w:r w:rsidRPr="00BF2802">
        <w:rPr>
          <w:rFonts w:ascii="Arial" w:hAnsi="Arial"/>
          <w:sz w:val="24"/>
          <w:lang w:val="fr-CA"/>
        </w:rPr>
        <w:t>sauf</w:t>
      </w:r>
      <w:r w:rsidR="003C00B1" w:rsidRPr="00BF2802">
        <w:rPr>
          <w:rFonts w:ascii="Arial" w:hAnsi="Arial"/>
          <w:sz w:val="24"/>
          <w:lang w:val="fr-CA"/>
        </w:rPr>
        <w:t xml:space="preserve"> K</w:t>
      </w:r>
      <w:r w:rsidR="003C00B1" w:rsidRPr="00BF2802">
        <w:rPr>
          <w:rFonts w:ascii="Arial" w:hAnsi="Arial"/>
          <w:sz w:val="24"/>
          <w:vertAlign w:val="subscript"/>
          <w:lang w:val="fr-CA"/>
        </w:rPr>
        <w:t>X</w:t>
      </w:r>
      <w:r w:rsidR="003C00B1" w:rsidRPr="00BF2802">
        <w:rPr>
          <w:rFonts w:ascii="Arial" w:hAnsi="Arial"/>
          <w:sz w:val="24"/>
          <w:lang w:val="fr-CA"/>
        </w:rPr>
        <w:t xml:space="preserve">) </w:t>
      </w:r>
      <w:r w:rsidRPr="00BF2802">
        <w:rPr>
          <w:rFonts w:ascii="Arial" w:hAnsi="Arial"/>
          <w:sz w:val="24"/>
          <w:lang w:val="fr-CA"/>
        </w:rPr>
        <w:t xml:space="preserve">et crée artificiellement des hématies </w:t>
      </w:r>
      <w:r w:rsidR="003C00B1" w:rsidRPr="00BF2802">
        <w:rPr>
          <w:rFonts w:ascii="Arial" w:hAnsi="Arial"/>
          <w:sz w:val="24"/>
          <w:lang w:val="fr-CA"/>
        </w:rPr>
        <w:t xml:space="preserve">KoKo. </w:t>
      </w:r>
      <w:r w:rsidRPr="00BF2802">
        <w:rPr>
          <w:rFonts w:ascii="Arial" w:hAnsi="Arial"/>
          <w:sz w:val="24"/>
          <w:lang w:val="fr-CA"/>
        </w:rPr>
        <w:t>L’</w:t>
      </w:r>
      <w:r w:rsidR="003C00B1" w:rsidRPr="00BF2802">
        <w:rPr>
          <w:rFonts w:ascii="Arial" w:hAnsi="Arial"/>
          <w:sz w:val="24"/>
          <w:lang w:val="fr-CA"/>
        </w:rPr>
        <w:t xml:space="preserve">AET </w:t>
      </w:r>
      <w:r w:rsidRPr="00BF2802">
        <w:rPr>
          <w:rFonts w:ascii="Arial" w:hAnsi="Arial"/>
          <w:sz w:val="24"/>
          <w:lang w:val="fr-CA"/>
        </w:rPr>
        <w:t xml:space="preserve">peut aussi atténuer la concentration des antigènes de titre élevé et de faible avidité </w:t>
      </w:r>
      <w:r w:rsidR="003C00B1" w:rsidRPr="00BF2802">
        <w:rPr>
          <w:rFonts w:ascii="Arial" w:hAnsi="Arial"/>
          <w:sz w:val="24"/>
          <w:lang w:val="fr-CA"/>
        </w:rPr>
        <w:t xml:space="preserve">(HTLA) </w:t>
      </w:r>
      <w:r w:rsidRPr="00BF2802">
        <w:rPr>
          <w:rFonts w:ascii="Arial" w:hAnsi="Arial"/>
          <w:sz w:val="24"/>
          <w:lang w:val="fr-CA"/>
        </w:rPr>
        <w:t xml:space="preserve">suivants : </w:t>
      </w:r>
      <w:r w:rsidR="003C00B1" w:rsidRPr="00BF2802">
        <w:rPr>
          <w:rFonts w:ascii="Arial" w:hAnsi="Arial"/>
          <w:sz w:val="24"/>
          <w:lang w:val="fr-CA"/>
        </w:rPr>
        <w:t xml:space="preserve">JMH, Kn(a), McC(a), McC(d), Hy, Gy(a), Yk(a), </w:t>
      </w:r>
      <w:r w:rsidRPr="00BF2802">
        <w:rPr>
          <w:rFonts w:ascii="Arial" w:hAnsi="Arial"/>
          <w:sz w:val="24"/>
          <w:lang w:val="fr-CA"/>
        </w:rPr>
        <w:t xml:space="preserve">de même que les antigènes </w:t>
      </w:r>
      <w:r w:rsidR="003C00B1" w:rsidRPr="00BF2802">
        <w:rPr>
          <w:rFonts w:ascii="Arial" w:hAnsi="Arial"/>
          <w:sz w:val="24"/>
          <w:lang w:val="fr-CA"/>
        </w:rPr>
        <w:t>Yt(a), Yt(b),</w:t>
      </w:r>
      <w:r w:rsidR="00C8286B">
        <w:rPr>
          <w:rFonts w:ascii="Arial" w:hAnsi="Arial"/>
          <w:sz w:val="24"/>
          <w:lang w:val="fr-CA"/>
        </w:rPr>
        <w:t xml:space="preserve"> </w:t>
      </w:r>
      <w:r w:rsidR="003C00B1" w:rsidRPr="00BF2802">
        <w:rPr>
          <w:rFonts w:ascii="Arial" w:hAnsi="Arial"/>
          <w:sz w:val="24"/>
          <w:lang w:val="fr-CA"/>
        </w:rPr>
        <w:t xml:space="preserve">Vel </w:t>
      </w:r>
      <w:r w:rsidRPr="00BF2802">
        <w:rPr>
          <w:rFonts w:ascii="Arial" w:hAnsi="Arial"/>
          <w:sz w:val="24"/>
          <w:lang w:val="fr-CA"/>
        </w:rPr>
        <w:t xml:space="preserve">et </w:t>
      </w:r>
      <w:r w:rsidR="003C00B1" w:rsidRPr="00BF2802">
        <w:rPr>
          <w:rFonts w:ascii="Arial" w:hAnsi="Arial"/>
          <w:sz w:val="24"/>
          <w:lang w:val="fr-CA"/>
        </w:rPr>
        <w:t>LW(a)</w:t>
      </w:r>
      <w:r w:rsidR="003C00B1" w:rsidRPr="00BF2802">
        <w:rPr>
          <w:lang w:val="fr-CA"/>
        </w:rPr>
        <w:t>.</w:t>
      </w:r>
      <w:r w:rsidR="003C00B1" w:rsidRPr="00BF2802">
        <w:rPr>
          <w:rFonts w:ascii="Arial" w:hAnsi="Arial"/>
          <w:sz w:val="24"/>
          <w:lang w:val="fr-CA"/>
        </w:rPr>
        <w:t xml:space="preserve"> </w:t>
      </w:r>
    </w:p>
    <w:p w:rsidR="003D5582" w:rsidRPr="00BF2802" w:rsidRDefault="003D5582">
      <w:pPr>
        <w:ind w:left="720"/>
        <w:rPr>
          <w:lang w:val="fr-CA"/>
        </w:rPr>
      </w:pPr>
      <w:r>
        <w:rPr>
          <w:rFonts w:ascii="Arial" w:hAnsi="Arial"/>
          <w:sz w:val="24"/>
          <w:lang w:val="fr-CA"/>
        </w:rPr>
        <w:t>Les hématies traitées par AET peuvent contribuer à une investigation sur les anticorps.</w:t>
      </w:r>
    </w:p>
    <w:p w:rsidR="003C00B1" w:rsidRPr="00BF2802" w:rsidRDefault="003C00B1">
      <w:pPr>
        <w:rPr>
          <w:rFonts w:ascii="Arial" w:hAnsi="Arial"/>
          <w:sz w:val="24"/>
          <w:lang w:val="fr-CA"/>
        </w:rPr>
      </w:pPr>
    </w:p>
    <w:p w:rsidR="003C00B1" w:rsidRPr="00BF2802" w:rsidRDefault="001116AF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BF2802">
        <w:rPr>
          <w:rFonts w:ascii="Arial" w:hAnsi="Arial"/>
          <w:b/>
          <w:sz w:val="28"/>
          <w:lang w:val="fr-CA"/>
        </w:rPr>
        <w:t>Portée et politiques connexes</w:t>
      </w:r>
      <w:r w:rsidR="003C00B1" w:rsidRPr="00BF2802">
        <w:rPr>
          <w:rFonts w:ascii="Arial" w:hAnsi="Arial"/>
          <w:b/>
          <w:sz w:val="28"/>
          <w:lang w:val="fr-CA"/>
        </w:rPr>
        <w:t xml:space="preserve"> </w:t>
      </w:r>
    </w:p>
    <w:p w:rsidR="003C00B1" w:rsidRPr="00BF2802" w:rsidRDefault="003C00B1">
      <w:pPr>
        <w:rPr>
          <w:rFonts w:ascii="Arial" w:hAnsi="Arial"/>
          <w:sz w:val="24"/>
          <w:lang w:val="fr-CA"/>
        </w:rPr>
      </w:pPr>
    </w:p>
    <w:p w:rsidR="003C00B1" w:rsidRPr="00BF2802" w:rsidRDefault="001116AF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 w:rsidRPr="00BF2802">
        <w:rPr>
          <w:rFonts w:ascii="Arial" w:hAnsi="Arial"/>
          <w:spacing w:val="-2"/>
          <w:sz w:val="24"/>
          <w:lang w:val="fr-CA"/>
        </w:rPr>
        <w:t xml:space="preserve">Pour </w:t>
      </w:r>
      <w:r w:rsidR="00BF2802" w:rsidRPr="00BF2802">
        <w:rPr>
          <w:rFonts w:ascii="Arial" w:hAnsi="Arial"/>
          <w:spacing w:val="-2"/>
          <w:sz w:val="24"/>
          <w:lang w:val="fr-CA"/>
        </w:rPr>
        <w:t>déterminer</w:t>
      </w:r>
      <w:r w:rsidRPr="00BF2802">
        <w:rPr>
          <w:rFonts w:ascii="Arial" w:hAnsi="Arial"/>
          <w:spacing w:val="-2"/>
          <w:sz w:val="24"/>
          <w:lang w:val="fr-CA"/>
        </w:rPr>
        <w:t xml:space="preserve"> si les anticorps qui réagis</w:t>
      </w:r>
      <w:r w:rsidR="00BF2802" w:rsidRPr="00BF2802">
        <w:rPr>
          <w:rFonts w:ascii="Arial" w:hAnsi="Arial"/>
          <w:spacing w:val="-2"/>
          <w:sz w:val="24"/>
          <w:lang w:val="fr-CA"/>
        </w:rPr>
        <w:t>s</w:t>
      </w:r>
      <w:r w:rsidRPr="00BF2802">
        <w:rPr>
          <w:rFonts w:ascii="Arial" w:hAnsi="Arial"/>
          <w:spacing w:val="-2"/>
          <w:sz w:val="24"/>
          <w:lang w:val="fr-CA"/>
        </w:rPr>
        <w:t xml:space="preserve">ent à un antigène </w:t>
      </w:r>
      <w:r w:rsidR="00BF2802" w:rsidRPr="00BF2802">
        <w:rPr>
          <w:rFonts w:ascii="Arial" w:hAnsi="Arial"/>
          <w:spacing w:val="-2"/>
          <w:sz w:val="24"/>
          <w:lang w:val="fr-CA"/>
        </w:rPr>
        <w:t>fréquent</w:t>
      </w:r>
      <w:r w:rsidRPr="00BF2802">
        <w:rPr>
          <w:rFonts w:ascii="Arial" w:hAnsi="Arial"/>
          <w:spacing w:val="-2"/>
          <w:sz w:val="24"/>
          <w:lang w:val="fr-CA"/>
        </w:rPr>
        <w:t xml:space="preserve"> ont une spé</w:t>
      </w:r>
      <w:r w:rsidR="003C00B1" w:rsidRPr="00BF2802">
        <w:rPr>
          <w:rFonts w:ascii="Arial" w:hAnsi="Arial"/>
          <w:spacing w:val="-2"/>
          <w:sz w:val="24"/>
          <w:lang w:val="fr-CA"/>
        </w:rPr>
        <w:t>cificit</w:t>
      </w:r>
      <w:r w:rsidR="00BF2802" w:rsidRPr="00BF2802">
        <w:rPr>
          <w:rFonts w:ascii="Arial" w:hAnsi="Arial"/>
          <w:spacing w:val="-2"/>
          <w:sz w:val="24"/>
          <w:lang w:val="fr-CA"/>
        </w:rPr>
        <w:t xml:space="preserve">é dans le système </w:t>
      </w:r>
      <w:r w:rsidR="003C00B1" w:rsidRPr="00BF2802">
        <w:rPr>
          <w:rFonts w:ascii="Arial" w:hAnsi="Arial"/>
          <w:spacing w:val="-2"/>
          <w:sz w:val="24"/>
          <w:lang w:val="fr-CA"/>
        </w:rPr>
        <w:t>Kell.</w:t>
      </w:r>
    </w:p>
    <w:p w:rsidR="003C00B1" w:rsidRPr="00BF2802" w:rsidRDefault="003C00B1">
      <w:pPr>
        <w:suppressAutoHyphens/>
        <w:ind w:left="720"/>
        <w:rPr>
          <w:rFonts w:ascii="Arial" w:hAnsi="Arial"/>
          <w:spacing w:val="-2"/>
          <w:sz w:val="24"/>
          <w:lang w:val="fr-CA"/>
        </w:rPr>
      </w:pPr>
    </w:p>
    <w:p w:rsidR="003C00B1" w:rsidRPr="00BF2802" w:rsidRDefault="00BF2802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 w:rsidRPr="00BF2802">
        <w:rPr>
          <w:rFonts w:ascii="Arial" w:hAnsi="Arial"/>
          <w:spacing w:val="-2"/>
          <w:sz w:val="24"/>
          <w:lang w:val="fr-CA"/>
        </w:rPr>
        <w:t xml:space="preserve">Pour aider à identifier d’autres alloanticorps dans le plasma qui contient déjà des anticorps </w:t>
      </w:r>
      <w:r w:rsidR="003C00B1" w:rsidRPr="00BF2802">
        <w:rPr>
          <w:rFonts w:ascii="Arial" w:hAnsi="Arial"/>
          <w:spacing w:val="-2"/>
          <w:sz w:val="24"/>
          <w:lang w:val="fr-CA"/>
        </w:rPr>
        <w:t>HTLA o</w:t>
      </w:r>
      <w:r w:rsidRPr="00BF2802">
        <w:rPr>
          <w:rFonts w:ascii="Arial" w:hAnsi="Arial"/>
          <w:spacing w:val="-2"/>
          <w:sz w:val="24"/>
          <w:lang w:val="fr-CA"/>
        </w:rPr>
        <w:t>u</w:t>
      </w:r>
      <w:r w:rsidR="003C00B1" w:rsidRPr="00BF2802">
        <w:rPr>
          <w:rFonts w:ascii="Arial" w:hAnsi="Arial"/>
          <w:spacing w:val="-2"/>
          <w:sz w:val="24"/>
          <w:lang w:val="fr-CA"/>
        </w:rPr>
        <w:t xml:space="preserve"> Kell.</w:t>
      </w:r>
    </w:p>
    <w:p w:rsidR="003C00B1" w:rsidRPr="00BF2802" w:rsidRDefault="003C00B1">
      <w:pPr>
        <w:suppressAutoHyphens/>
        <w:rPr>
          <w:rFonts w:ascii="Arial" w:hAnsi="Arial"/>
          <w:spacing w:val="-2"/>
          <w:sz w:val="24"/>
          <w:lang w:val="fr-CA"/>
        </w:rPr>
      </w:pPr>
    </w:p>
    <w:p w:rsidR="003C00B1" w:rsidRPr="00BF2802" w:rsidRDefault="001116AF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BF2802">
        <w:rPr>
          <w:rFonts w:ascii="Arial" w:hAnsi="Arial"/>
          <w:b/>
          <w:sz w:val="28"/>
          <w:lang w:val="fr-CA"/>
        </w:rPr>
        <w:t>Échantillon</w:t>
      </w:r>
      <w:r w:rsidR="003C00B1" w:rsidRPr="00BF2802">
        <w:rPr>
          <w:rFonts w:ascii="Arial" w:hAnsi="Arial"/>
          <w:b/>
          <w:sz w:val="28"/>
          <w:lang w:val="fr-CA"/>
        </w:rPr>
        <w:t xml:space="preserve"> </w:t>
      </w:r>
    </w:p>
    <w:p w:rsidR="003C00B1" w:rsidRPr="00BF2802" w:rsidRDefault="003C00B1">
      <w:pPr>
        <w:rPr>
          <w:rFonts w:ascii="Arial" w:hAnsi="Arial"/>
          <w:b/>
          <w:sz w:val="24"/>
          <w:lang w:val="fr-CA"/>
        </w:rPr>
      </w:pPr>
    </w:p>
    <w:p w:rsidR="003C00B1" w:rsidRPr="00BF2802" w:rsidRDefault="003D5582">
      <w:pPr>
        <w:pStyle w:val="Heading9"/>
        <w:rPr>
          <w:lang w:val="fr-CA"/>
        </w:rPr>
      </w:pPr>
      <w:r>
        <w:rPr>
          <w:lang w:val="fr-CA"/>
        </w:rPr>
        <w:t>Sang total anticoagulé tube EDTA</w:t>
      </w:r>
    </w:p>
    <w:p w:rsidR="003C00B1" w:rsidRPr="00BF2802" w:rsidRDefault="003C00B1">
      <w:pPr>
        <w:rPr>
          <w:rFonts w:ascii="Arial" w:hAnsi="Arial"/>
          <w:sz w:val="24"/>
          <w:lang w:val="fr-CA"/>
        </w:rPr>
      </w:pPr>
    </w:p>
    <w:p w:rsidR="003C00B1" w:rsidRPr="00BF2802" w:rsidRDefault="001116AF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BF2802">
        <w:rPr>
          <w:rFonts w:ascii="Arial" w:hAnsi="Arial"/>
          <w:b/>
          <w:sz w:val="28"/>
          <w:lang w:val="fr-CA"/>
        </w:rPr>
        <w:t>Matériel</w:t>
      </w:r>
    </w:p>
    <w:p w:rsidR="003C00B1" w:rsidRPr="00BF2802" w:rsidRDefault="003C00B1">
      <w:pPr>
        <w:rPr>
          <w:rFonts w:ascii="Arial" w:hAnsi="Arial"/>
          <w:sz w:val="24"/>
          <w:lang w:val="fr-CA"/>
        </w:rPr>
      </w:pPr>
    </w:p>
    <w:p w:rsidR="003C00B1" w:rsidRPr="00BF2802" w:rsidRDefault="001116AF">
      <w:pPr>
        <w:ind w:left="720"/>
        <w:rPr>
          <w:rFonts w:ascii="Arial" w:hAnsi="Arial"/>
          <w:sz w:val="24"/>
          <w:lang w:val="fr-CA"/>
        </w:rPr>
      </w:pPr>
      <w:r w:rsidRPr="00BF2802">
        <w:rPr>
          <w:rFonts w:ascii="Arial" w:hAnsi="Arial"/>
          <w:b/>
          <w:sz w:val="24"/>
          <w:lang w:val="fr-CA"/>
        </w:rPr>
        <w:t>Équipement :</w:t>
      </w:r>
      <w:r w:rsidRPr="00BF2802">
        <w:rPr>
          <w:rFonts w:ascii="Arial" w:hAnsi="Arial"/>
          <w:sz w:val="24"/>
          <w:lang w:val="fr-CA"/>
        </w:rPr>
        <w:tab/>
        <w:t>laveur de cellules</w:t>
      </w:r>
    </w:p>
    <w:p w:rsidR="003C00B1" w:rsidRPr="00BF2802" w:rsidRDefault="003C00B1">
      <w:pPr>
        <w:ind w:left="720"/>
        <w:rPr>
          <w:rFonts w:ascii="Arial" w:hAnsi="Arial"/>
          <w:sz w:val="24"/>
          <w:lang w:val="fr-CA"/>
        </w:rPr>
      </w:pPr>
      <w:r w:rsidRPr="00BF2802">
        <w:rPr>
          <w:rFonts w:ascii="Arial" w:hAnsi="Arial"/>
          <w:sz w:val="24"/>
          <w:lang w:val="fr-CA"/>
        </w:rPr>
        <w:tab/>
      </w:r>
      <w:r w:rsidRPr="00BF2802">
        <w:rPr>
          <w:rFonts w:ascii="Arial" w:hAnsi="Arial"/>
          <w:sz w:val="24"/>
          <w:lang w:val="fr-CA"/>
        </w:rPr>
        <w:tab/>
      </w:r>
      <w:r w:rsidRPr="00BF2802">
        <w:rPr>
          <w:rFonts w:ascii="Arial" w:hAnsi="Arial"/>
          <w:sz w:val="24"/>
          <w:lang w:val="fr-CA"/>
        </w:rPr>
        <w:tab/>
      </w:r>
      <w:r w:rsidR="001116AF" w:rsidRPr="00BF2802">
        <w:rPr>
          <w:rFonts w:ascii="Arial" w:hAnsi="Arial"/>
          <w:sz w:val="24"/>
          <w:lang w:val="fr-CA"/>
        </w:rPr>
        <w:t>centrifugeuse sérologique</w:t>
      </w:r>
    </w:p>
    <w:p w:rsidR="003C00B1" w:rsidRPr="00BF2802" w:rsidRDefault="003C00B1">
      <w:pPr>
        <w:ind w:left="720"/>
        <w:rPr>
          <w:rFonts w:ascii="Arial" w:hAnsi="Arial"/>
          <w:sz w:val="24"/>
          <w:lang w:val="fr-CA"/>
        </w:rPr>
      </w:pPr>
      <w:r w:rsidRPr="00BF2802">
        <w:rPr>
          <w:rFonts w:ascii="Arial" w:hAnsi="Arial"/>
          <w:sz w:val="24"/>
          <w:lang w:val="fr-CA"/>
        </w:rPr>
        <w:tab/>
      </w:r>
      <w:r w:rsidRPr="00BF2802">
        <w:rPr>
          <w:rFonts w:ascii="Arial" w:hAnsi="Arial"/>
          <w:sz w:val="24"/>
          <w:lang w:val="fr-CA"/>
        </w:rPr>
        <w:tab/>
      </w:r>
      <w:r w:rsidRPr="00BF2802">
        <w:rPr>
          <w:rFonts w:ascii="Arial" w:hAnsi="Arial"/>
          <w:sz w:val="24"/>
          <w:lang w:val="fr-CA"/>
        </w:rPr>
        <w:tab/>
      </w:r>
      <w:r w:rsidR="001116AF" w:rsidRPr="00BF2802">
        <w:rPr>
          <w:rFonts w:ascii="Arial" w:hAnsi="Arial"/>
          <w:sz w:val="24"/>
          <w:lang w:val="fr-CA"/>
        </w:rPr>
        <w:t>support à tubes</w:t>
      </w:r>
    </w:p>
    <w:p w:rsidR="003C00B1" w:rsidRPr="00BF2802" w:rsidRDefault="001116AF">
      <w:pPr>
        <w:ind w:left="2880"/>
        <w:rPr>
          <w:rFonts w:ascii="Arial" w:hAnsi="Arial"/>
          <w:sz w:val="24"/>
          <w:lang w:val="fr-CA"/>
        </w:rPr>
      </w:pPr>
      <w:r w:rsidRPr="00BF2802">
        <w:rPr>
          <w:rFonts w:ascii="Arial" w:hAnsi="Arial"/>
          <w:sz w:val="24"/>
          <w:lang w:val="fr-CA"/>
        </w:rPr>
        <w:t>microscope</w:t>
      </w:r>
    </w:p>
    <w:p w:rsidR="003C00B1" w:rsidRPr="00BF2802" w:rsidRDefault="001116AF">
      <w:pPr>
        <w:ind w:left="2880"/>
        <w:rPr>
          <w:rFonts w:ascii="Arial" w:hAnsi="Arial"/>
          <w:sz w:val="24"/>
          <w:lang w:val="fr-CA"/>
        </w:rPr>
      </w:pPr>
      <w:r w:rsidRPr="00BF2802">
        <w:rPr>
          <w:rFonts w:ascii="Arial" w:hAnsi="Arial"/>
          <w:sz w:val="24"/>
          <w:lang w:val="fr-CA"/>
        </w:rPr>
        <w:t>bain-marie</w:t>
      </w:r>
      <w:r w:rsidR="00860541">
        <w:rPr>
          <w:rFonts w:ascii="Arial" w:hAnsi="Arial"/>
          <w:sz w:val="24"/>
          <w:lang w:val="fr-CA"/>
        </w:rPr>
        <w:t xml:space="preserve"> </w:t>
      </w:r>
      <w:r w:rsidRPr="00BF2802">
        <w:rPr>
          <w:rFonts w:ascii="Arial" w:hAnsi="Arial"/>
          <w:sz w:val="24"/>
          <w:lang w:val="fr-CA"/>
        </w:rPr>
        <w:t>/</w:t>
      </w:r>
      <w:r w:rsidR="00860541">
        <w:rPr>
          <w:rFonts w:ascii="Arial" w:hAnsi="Arial"/>
          <w:sz w:val="24"/>
          <w:lang w:val="fr-CA"/>
        </w:rPr>
        <w:t xml:space="preserve"> </w:t>
      </w:r>
      <w:r w:rsidRPr="00BF2802">
        <w:rPr>
          <w:rFonts w:ascii="Arial" w:hAnsi="Arial"/>
          <w:sz w:val="24"/>
          <w:lang w:val="fr-CA"/>
        </w:rPr>
        <w:t>bloc chauffant à 37</w:t>
      </w:r>
      <w:r w:rsidR="00F44642">
        <w:rPr>
          <w:rFonts w:ascii="Arial" w:hAnsi="Arial" w:cs="Arial"/>
          <w:sz w:val="24"/>
          <w:lang w:val="fr-CA"/>
        </w:rPr>
        <w:t>º</w:t>
      </w:r>
      <w:r w:rsidRPr="00BF2802">
        <w:rPr>
          <w:rFonts w:ascii="Arial" w:hAnsi="Arial"/>
          <w:sz w:val="24"/>
          <w:lang w:val="fr-CA"/>
        </w:rPr>
        <w:t>C</w:t>
      </w:r>
    </w:p>
    <w:p w:rsidR="003C00B1" w:rsidRPr="00BF2802" w:rsidRDefault="003C00B1">
      <w:pPr>
        <w:ind w:left="720"/>
        <w:rPr>
          <w:rFonts w:ascii="Arial" w:hAnsi="Arial"/>
          <w:sz w:val="24"/>
          <w:lang w:val="fr-CA"/>
        </w:rPr>
      </w:pPr>
      <w:r w:rsidRPr="00BF2802">
        <w:rPr>
          <w:rFonts w:ascii="Arial" w:hAnsi="Arial"/>
          <w:sz w:val="24"/>
          <w:lang w:val="fr-CA"/>
        </w:rPr>
        <w:tab/>
      </w:r>
      <w:r w:rsidRPr="00BF2802">
        <w:rPr>
          <w:rFonts w:ascii="Arial" w:hAnsi="Arial"/>
          <w:sz w:val="24"/>
          <w:lang w:val="fr-CA"/>
        </w:rPr>
        <w:tab/>
      </w:r>
      <w:r w:rsidRPr="00BF2802">
        <w:rPr>
          <w:rFonts w:ascii="Arial" w:hAnsi="Arial"/>
          <w:sz w:val="24"/>
          <w:lang w:val="fr-CA"/>
        </w:rPr>
        <w:tab/>
      </w:r>
    </w:p>
    <w:p w:rsidR="003C00B1" w:rsidRPr="00BF2802" w:rsidRDefault="001116AF">
      <w:pPr>
        <w:ind w:left="720"/>
        <w:rPr>
          <w:rFonts w:ascii="Arial" w:hAnsi="Arial"/>
          <w:sz w:val="24"/>
          <w:lang w:val="fr-CA"/>
        </w:rPr>
      </w:pPr>
      <w:r w:rsidRPr="00BF2802">
        <w:rPr>
          <w:rFonts w:ascii="Arial" w:hAnsi="Arial"/>
          <w:b/>
          <w:sz w:val="24"/>
          <w:lang w:val="fr-CA"/>
        </w:rPr>
        <w:t>Fournitures</w:t>
      </w:r>
      <w:r w:rsidRPr="00BF2802">
        <w:rPr>
          <w:rFonts w:ascii="Arial" w:hAnsi="Arial"/>
          <w:sz w:val="24"/>
          <w:lang w:val="fr-CA"/>
        </w:rPr>
        <w:t xml:space="preserve"> : </w:t>
      </w:r>
      <w:r w:rsidR="00BF2802" w:rsidRPr="00BF2802">
        <w:rPr>
          <w:rFonts w:ascii="Arial" w:hAnsi="Arial"/>
          <w:sz w:val="24"/>
          <w:lang w:val="fr-CA"/>
        </w:rPr>
        <w:tab/>
      </w:r>
      <w:r w:rsidRPr="00BF2802">
        <w:rPr>
          <w:rFonts w:ascii="Arial" w:hAnsi="Arial"/>
          <w:sz w:val="24"/>
          <w:lang w:val="fr-CA"/>
        </w:rPr>
        <w:t>tubes 10 x 75 mm</w:t>
      </w:r>
    </w:p>
    <w:p w:rsidR="003C00B1" w:rsidRPr="00BF2802" w:rsidRDefault="003C00B1">
      <w:pPr>
        <w:ind w:left="720"/>
        <w:rPr>
          <w:rFonts w:ascii="Arial" w:hAnsi="Arial"/>
          <w:sz w:val="24"/>
          <w:lang w:val="fr-CA"/>
        </w:rPr>
      </w:pPr>
      <w:r w:rsidRPr="00BF2802">
        <w:rPr>
          <w:rFonts w:ascii="Arial" w:hAnsi="Arial"/>
          <w:sz w:val="24"/>
          <w:lang w:val="fr-CA"/>
        </w:rPr>
        <w:tab/>
      </w:r>
      <w:r w:rsidR="00BF2802" w:rsidRPr="00BF2802">
        <w:rPr>
          <w:rFonts w:ascii="Arial" w:hAnsi="Arial"/>
          <w:sz w:val="24"/>
          <w:lang w:val="fr-CA"/>
        </w:rPr>
        <w:tab/>
      </w:r>
      <w:r w:rsidRPr="00BF2802">
        <w:rPr>
          <w:rFonts w:ascii="Arial" w:hAnsi="Arial"/>
          <w:sz w:val="24"/>
          <w:lang w:val="fr-CA"/>
        </w:rPr>
        <w:tab/>
      </w:r>
      <w:r w:rsidR="001116AF" w:rsidRPr="00BF2802">
        <w:rPr>
          <w:rFonts w:ascii="Arial" w:hAnsi="Arial"/>
          <w:sz w:val="24"/>
          <w:lang w:val="fr-CA"/>
        </w:rPr>
        <w:t>pipettes sérologiques</w:t>
      </w:r>
    </w:p>
    <w:p w:rsidR="003C00B1" w:rsidRPr="00BF2802" w:rsidRDefault="003C00B1">
      <w:pPr>
        <w:ind w:left="720"/>
        <w:rPr>
          <w:rFonts w:ascii="Arial" w:hAnsi="Arial"/>
          <w:sz w:val="24"/>
          <w:lang w:val="fr-CA"/>
        </w:rPr>
      </w:pPr>
      <w:r w:rsidRPr="00BF2802">
        <w:rPr>
          <w:rFonts w:ascii="Arial" w:hAnsi="Arial"/>
          <w:sz w:val="24"/>
          <w:lang w:val="fr-CA"/>
        </w:rPr>
        <w:tab/>
      </w:r>
      <w:r w:rsidRPr="00BF2802">
        <w:rPr>
          <w:rFonts w:ascii="Arial" w:hAnsi="Arial"/>
          <w:sz w:val="24"/>
          <w:lang w:val="fr-CA"/>
        </w:rPr>
        <w:tab/>
      </w:r>
      <w:r w:rsidRPr="00BF2802">
        <w:rPr>
          <w:rFonts w:ascii="Arial" w:hAnsi="Arial"/>
          <w:sz w:val="24"/>
          <w:lang w:val="fr-CA"/>
        </w:rPr>
        <w:tab/>
      </w:r>
    </w:p>
    <w:p w:rsidR="003C00B1" w:rsidRPr="00BF2802" w:rsidRDefault="00BF2802">
      <w:pPr>
        <w:ind w:left="720"/>
        <w:rPr>
          <w:rFonts w:ascii="Arial" w:hAnsi="Arial"/>
          <w:sz w:val="24"/>
          <w:lang w:val="fr-CA"/>
        </w:rPr>
      </w:pPr>
      <w:r w:rsidRPr="00BF2802">
        <w:rPr>
          <w:rFonts w:ascii="Arial" w:hAnsi="Arial"/>
          <w:b/>
          <w:sz w:val="24"/>
          <w:lang w:val="fr-CA"/>
        </w:rPr>
        <w:lastRenderedPageBreak/>
        <w:t>Réactifs</w:t>
      </w:r>
      <w:r w:rsidRPr="00BF2802">
        <w:rPr>
          <w:rFonts w:ascii="Arial" w:hAnsi="Arial"/>
          <w:sz w:val="24"/>
          <w:lang w:val="fr-CA"/>
        </w:rPr>
        <w:t> :</w:t>
      </w:r>
      <w:r w:rsidR="003C00B1" w:rsidRPr="00BF2802">
        <w:rPr>
          <w:rFonts w:ascii="Arial" w:hAnsi="Arial"/>
          <w:sz w:val="24"/>
          <w:lang w:val="fr-CA"/>
        </w:rPr>
        <w:tab/>
      </w:r>
      <w:r w:rsidR="003C00B1" w:rsidRPr="00BF2802">
        <w:rPr>
          <w:rFonts w:ascii="Arial" w:hAnsi="Arial"/>
          <w:sz w:val="24"/>
          <w:lang w:val="fr-CA"/>
        </w:rPr>
        <w:tab/>
      </w:r>
      <w:r w:rsidRPr="00BF2802">
        <w:rPr>
          <w:rFonts w:ascii="Arial" w:hAnsi="Arial"/>
          <w:sz w:val="24"/>
          <w:lang w:val="fr-CA"/>
        </w:rPr>
        <w:t>solution saline p</w:t>
      </w:r>
      <w:r w:rsidR="003C00B1" w:rsidRPr="00BF2802">
        <w:rPr>
          <w:rFonts w:ascii="Arial" w:hAnsi="Arial"/>
          <w:sz w:val="24"/>
          <w:lang w:val="fr-CA"/>
        </w:rPr>
        <w:t>hosphat</w:t>
      </w:r>
      <w:r w:rsidRPr="00BF2802">
        <w:rPr>
          <w:rFonts w:ascii="Arial" w:hAnsi="Arial"/>
          <w:sz w:val="24"/>
          <w:lang w:val="fr-CA"/>
        </w:rPr>
        <w:t>ée</w:t>
      </w:r>
    </w:p>
    <w:p w:rsidR="003C00B1" w:rsidRPr="00BF2802" w:rsidRDefault="003C00B1">
      <w:pPr>
        <w:ind w:left="720"/>
        <w:rPr>
          <w:rFonts w:ascii="Arial" w:hAnsi="Arial"/>
          <w:sz w:val="24"/>
          <w:lang w:val="fr-CA"/>
        </w:rPr>
      </w:pPr>
      <w:r w:rsidRPr="00BF2802">
        <w:rPr>
          <w:rFonts w:ascii="Arial" w:hAnsi="Arial"/>
          <w:b/>
          <w:sz w:val="24"/>
          <w:lang w:val="fr-CA"/>
        </w:rPr>
        <w:tab/>
      </w:r>
      <w:r w:rsidRPr="00BF2802">
        <w:rPr>
          <w:rFonts w:ascii="Arial" w:hAnsi="Arial"/>
          <w:b/>
          <w:sz w:val="24"/>
          <w:lang w:val="fr-CA"/>
        </w:rPr>
        <w:tab/>
      </w:r>
      <w:r w:rsidRPr="00BF2802">
        <w:rPr>
          <w:rFonts w:ascii="Arial" w:hAnsi="Arial"/>
          <w:b/>
          <w:sz w:val="24"/>
          <w:lang w:val="fr-CA"/>
        </w:rPr>
        <w:tab/>
      </w:r>
      <w:r w:rsidR="001116AF" w:rsidRPr="00BF2802">
        <w:rPr>
          <w:rFonts w:ascii="Arial" w:hAnsi="Arial"/>
          <w:sz w:val="24"/>
          <w:lang w:val="fr-CA"/>
        </w:rPr>
        <w:t>solution saline</w:t>
      </w:r>
      <w:r w:rsidR="009A05AC">
        <w:rPr>
          <w:rFonts w:ascii="Arial" w:hAnsi="Arial"/>
          <w:sz w:val="24"/>
          <w:lang w:val="fr-CA"/>
        </w:rPr>
        <w:t xml:space="preserve"> normale</w:t>
      </w:r>
    </w:p>
    <w:p w:rsidR="003C00B1" w:rsidRPr="00BF2802" w:rsidRDefault="00BF2802" w:rsidP="00BF2802">
      <w:pPr>
        <w:ind w:left="2880" w:hanging="2160"/>
        <w:rPr>
          <w:rFonts w:ascii="Arial" w:hAnsi="Arial"/>
          <w:sz w:val="24"/>
          <w:lang w:val="fr-CA"/>
        </w:rPr>
      </w:pPr>
      <w:r w:rsidRPr="00BF2802">
        <w:rPr>
          <w:rFonts w:ascii="Arial" w:hAnsi="Arial"/>
          <w:sz w:val="24"/>
          <w:lang w:val="fr-CA"/>
        </w:rPr>
        <w:tab/>
        <w:t xml:space="preserve">globules concentrés lavés à traiter </w:t>
      </w:r>
      <w:r w:rsidR="003C00B1" w:rsidRPr="00BF2802">
        <w:rPr>
          <w:rFonts w:ascii="Arial" w:hAnsi="Arial"/>
          <w:sz w:val="24"/>
          <w:lang w:val="fr-CA"/>
        </w:rPr>
        <w:t>(</w:t>
      </w:r>
      <w:r w:rsidRPr="00BF2802">
        <w:rPr>
          <w:rFonts w:ascii="Arial" w:hAnsi="Arial"/>
          <w:sz w:val="24"/>
          <w:lang w:val="fr-CA"/>
        </w:rPr>
        <w:t>ou cellule</w:t>
      </w:r>
      <w:r w:rsidR="003D5582">
        <w:rPr>
          <w:rFonts w:ascii="Arial" w:hAnsi="Arial"/>
          <w:sz w:val="24"/>
          <w:lang w:val="fr-CA"/>
        </w:rPr>
        <w:t>s</w:t>
      </w:r>
      <w:r w:rsidRPr="00BF2802">
        <w:rPr>
          <w:rFonts w:ascii="Arial" w:hAnsi="Arial"/>
          <w:sz w:val="24"/>
          <w:lang w:val="fr-CA"/>
        </w:rPr>
        <w:t xml:space="preserve"> de </w:t>
      </w:r>
      <w:r w:rsidR="003C00B1" w:rsidRPr="00BF2802">
        <w:rPr>
          <w:rFonts w:ascii="Arial" w:hAnsi="Arial"/>
          <w:sz w:val="24"/>
          <w:lang w:val="fr-CA"/>
        </w:rPr>
        <w:t>panel)</w:t>
      </w:r>
    </w:p>
    <w:p w:rsidR="003C00B1" w:rsidRPr="00BF2802" w:rsidRDefault="003C00B1">
      <w:pPr>
        <w:ind w:left="720"/>
        <w:rPr>
          <w:rFonts w:ascii="Arial" w:hAnsi="Arial"/>
          <w:sz w:val="24"/>
          <w:lang w:val="fr-CA"/>
        </w:rPr>
      </w:pPr>
      <w:r w:rsidRPr="00BF2802">
        <w:rPr>
          <w:rFonts w:ascii="Arial" w:hAnsi="Arial"/>
          <w:sz w:val="24"/>
          <w:lang w:val="fr-CA"/>
        </w:rPr>
        <w:tab/>
      </w:r>
      <w:r w:rsidRPr="00BF2802">
        <w:rPr>
          <w:rFonts w:ascii="Arial" w:hAnsi="Arial"/>
          <w:sz w:val="24"/>
          <w:lang w:val="fr-CA"/>
        </w:rPr>
        <w:tab/>
      </w:r>
      <w:r w:rsidRPr="00BF2802">
        <w:rPr>
          <w:rFonts w:ascii="Arial" w:hAnsi="Arial"/>
          <w:sz w:val="24"/>
          <w:lang w:val="fr-CA"/>
        </w:rPr>
        <w:tab/>
      </w:r>
      <w:r w:rsidR="001116AF" w:rsidRPr="00BF2802">
        <w:rPr>
          <w:rFonts w:ascii="Arial" w:hAnsi="Arial"/>
          <w:sz w:val="24"/>
          <w:lang w:val="fr-CA"/>
        </w:rPr>
        <w:t>anti-IgG</w:t>
      </w:r>
      <w:r w:rsidR="003D5582">
        <w:rPr>
          <w:rFonts w:ascii="Arial" w:hAnsi="Arial"/>
          <w:sz w:val="24"/>
          <w:lang w:val="fr-CA"/>
        </w:rPr>
        <w:t xml:space="preserve"> (voir Remarque 8.1)</w:t>
      </w:r>
    </w:p>
    <w:p w:rsidR="003C00B1" w:rsidRPr="00BF2802" w:rsidRDefault="003C00B1">
      <w:pPr>
        <w:ind w:left="720"/>
        <w:rPr>
          <w:rFonts w:ascii="Arial" w:hAnsi="Arial"/>
          <w:sz w:val="24"/>
          <w:lang w:val="fr-CA"/>
        </w:rPr>
      </w:pPr>
      <w:r w:rsidRPr="00BF2802">
        <w:rPr>
          <w:rFonts w:ascii="Arial" w:hAnsi="Arial"/>
          <w:sz w:val="24"/>
          <w:lang w:val="fr-CA"/>
        </w:rPr>
        <w:tab/>
      </w:r>
      <w:r w:rsidRPr="00BF2802">
        <w:rPr>
          <w:rFonts w:ascii="Arial" w:hAnsi="Arial"/>
          <w:sz w:val="24"/>
          <w:lang w:val="fr-CA"/>
        </w:rPr>
        <w:tab/>
      </w:r>
      <w:r w:rsidRPr="00BF2802">
        <w:rPr>
          <w:rFonts w:ascii="Arial" w:hAnsi="Arial"/>
          <w:sz w:val="24"/>
          <w:lang w:val="fr-CA"/>
        </w:rPr>
        <w:tab/>
      </w:r>
      <w:r w:rsidR="001116AF" w:rsidRPr="00BF2802">
        <w:rPr>
          <w:rFonts w:ascii="Arial" w:hAnsi="Arial"/>
          <w:sz w:val="24"/>
          <w:lang w:val="fr-CA"/>
        </w:rPr>
        <w:t>cellules recouvertes d</w:t>
      </w:r>
      <w:r w:rsidR="00964356">
        <w:rPr>
          <w:rFonts w:ascii="Arial" w:hAnsi="Arial"/>
          <w:sz w:val="24"/>
          <w:lang w:val="fr-CA"/>
        </w:rPr>
        <w:t>’</w:t>
      </w:r>
      <w:r w:rsidR="001116AF" w:rsidRPr="00BF2802">
        <w:rPr>
          <w:rFonts w:ascii="Arial" w:hAnsi="Arial"/>
          <w:sz w:val="24"/>
          <w:lang w:val="fr-CA"/>
        </w:rPr>
        <w:t>IgG</w:t>
      </w:r>
    </w:p>
    <w:p w:rsidR="003C00B1" w:rsidRPr="00BF2802" w:rsidRDefault="003C00B1">
      <w:pPr>
        <w:ind w:left="720"/>
        <w:rPr>
          <w:rFonts w:ascii="Arial" w:hAnsi="Arial"/>
          <w:sz w:val="24"/>
          <w:lang w:val="fr-CA"/>
        </w:rPr>
      </w:pPr>
      <w:r w:rsidRPr="00BF2802">
        <w:rPr>
          <w:rFonts w:ascii="Arial" w:hAnsi="Arial"/>
          <w:sz w:val="24"/>
          <w:lang w:val="fr-CA"/>
        </w:rPr>
        <w:tab/>
      </w:r>
      <w:r w:rsidRPr="00BF2802">
        <w:rPr>
          <w:rFonts w:ascii="Arial" w:hAnsi="Arial"/>
          <w:sz w:val="24"/>
          <w:lang w:val="fr-CA"/>
        </w:rPr>
        <w:tab/>
      </w:r>
      <w:r w:rsidRPr="00BF2802">
        <w:rPr>
          <w:rFonts w:ascii="Arial" w:hAnsi="Arial"/>
          <w:sz w:val="24"/>
          <w:lang w:val="fr-CA"/>
        </w:rPr>
        <w:tab/>
      </w:r>
      <w:r w:rsidR="001116AF" w:rsidRPr="00BF2802">
        <w:rPr>
          <w:rFonts w:ascii="Arial" w:hAnsi="Arial"/>
          <w:sz w:val="24"/>
          <w:lang w:val="fr-CA"/>
        </w:rPr>
        <w:t>solution d</w:t>
      </w:r>
      <w:r w:rsidR="00964356">
        <w:rPr>
          <w:rFonts w:ascii="Arial" w:hAnsi="Arial"/>
          <w:sz w:val="24"/>
          <w:lang w:val="fr-CA"/>
        </w:rPr>
        <w:t>’</w:t>
      </w:r>
      <w:r w:rsidR="001116AF" w:rsidRPr="00BF2802">
        <w:rPr>
          <w:rFonts w:ascii="Arial" w:hAnsi="Arial"/>
          <w:sz w:val="24"/>
          <w:lang w:val="fr-CA"/>
        </w:rPr>
        <w:t>AET à 6 %</w:t>
      </w:r>
    </w:p>
    <w:p w:rsidR="003C00B1" w:rsidRDefault="003C00B1">
      <w:pPr>
        <w:ind w:left="720"/>
        <w:rPr>
          <w:rFonts w:ascii="Arial" w:hAnsi="Arial"/>
          <w:sz w:val="24"/>
          <w:lang w:val="fr-CA"/>
        </w:rPr>
      </w:pPr>
      <w:r w:rsidRPr="00BF2802">
        <w:rPr>
          <w:rFonts w:ascii="Arial" w:hAnsi="Arial"/>
          <w:sz w:val="24"/>
          <w:lang w:val="fr-CA"/>
        </w:rPr>
        <w:tab/>
      </w:r>
      <w:r w:rsidRPr="00BF2802">
        <w:rPr>
          <w:rFonts w:ascii="Arial" w:hAnsi="Arial"/>
          <w:sz w:val="24"/>
          <w:lang w:val="fr-CA"/>
        </w:rPr>
        <w:tab/>
      </w:r>
      <w:r w:rsidRPr="00BF2802">
        <w:rPr>
          <w:rFonts w:ascii="Arial" w:hAnsi="Arial"/>
          <w:sz w:val="24"/>
          <w:lang w:val="fr-CA"/>
        </w:rPr>
        <w:tab/>
      </w:r>
      <w:r w:rsidR="00BF2802" w:rsidRPr="00BF2802">
        <w:rPr>
          <w:rFonts w:ascii="Arial" w:hAnsi="Arial"/>
          <w:sz w:val="24"/>
          <w:lang w:val="fr-CA"/>
        </w:rPr>
        <w:t>réactif a</w:t>
      </w:r>
      <w:r w:rsidRPr="00BF2802">
        <w:rPr>
          <w:rFonts w:ascii="Arial" w:hAnsi="Arial"/>
          <w:sz w:val="24"/>
          <w:lang w:val="fr-CA"/>
        </w:rPr>
        <w:t>nti-K o</w:t>
      </w:r>
      <w:r w:rsidR="00BF2802" w:rsidRPr="00BF2802">
        <w:rPr>
          <w:rFonts w:ascii="Arial" w:hAnsi="Arial"/>
          <w:sz w:val="24"/>
          <w:lang w:val="fr-CA"/>
        </w:rPr>
        <w:t>u</w:t>
      </w:r>
      <w:r w:rsidRPr="00BF2802">
        <w:rPr>
          <w:rFonts w:ascii="Arial" w:hAnsi="Arial"/>
          <w:sz w:val="24"/>
          <w:lang w:val="fr-CA"/>
        </w:rPr>
        <w:t xml:space="preserve"> anti</w:t>
      </w:r>
      <w:r w:rsidR="00BF2802" w:rsidRPr="00BF2802">
        <w:rPr>
          <w:rFonts w:ascii="Arial" w:hAnsi="Arial"/>
          <w:sz w:val="24"/>
          <w:lang w:val="fr-CA"/>
        </w:rPr>
        <w:t>-</w:t>
      </w:r>
      <w:r w:rsidR="009271D1">
        <w:rPr>
          <w:rFonts w:ascii="Arial" w:hAnsi="Arial"/>
          <w:sz w:val="24"/>
          <w:lang w:val="fr-CA"/>
        </w:rPr>
        <w:t>c</w:t>
      </w:r>
      <w:r w:rsidR="009271D1" w:rsidRPr="00BF2802">
        <w:rPr>
          <w:rFonts w:ascii="Arial" w:hAnsi="Arial"/>
          <w:sz w:val="24"/>
          <w:lang w:val="fr-CA"/>
        </w:rPr>
        <w:t>ellano</w:t>
      </w:r>
    </w:p>
    <w:p w:rsidR="003D5582" w:rsidRPr="00BF2802" w:rsidRDefault="003D5582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  <w:t>solution Alsevers</w:t>
      </w:r>
    </w:p>
    <w:p w:rsidR="003C00B1" w:rsidRPr="00BF2802" w:rsidRDefault="003C00B1">
      <w:pPr>
        <w:rPr>
          <w:rFonts w:ascii="Arial" w:hAnsi="Arial"/>
          <w:sz w:val="24"/>
          <w:lang w:val="fr-CA"/>
        </w:rPr>
      </w:pPr>
    </w:p>
    <w:p w:rsidR="003C00B1" w:rsidRPr="00DA6EAD" w:rsidRDefault="001116AF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DA6EAD">
        <w:rPr>
          <w:rFonts w:ascii="Arial" w:hAnsi="Arial"/>
          <w:b/>
          <w:sz w:val="28"/>
          <w:lang w:val="fr-CA"/>
        </w:rPr>
        <w:t>Contrôle de la qualité</w:t>
      </w:r>
    </w:p>
    <w:p w:rsidR="003C00B1" w:rsidRPr="00DA6EAD" w:rsidRDefault="003C00B1">
      <w:pPr>
        <w:rPr>
          <w:rFonts w:ascii="Arial" w:hAnsi="Arial"/>
          <w:b/>
          <w:sz w:val="28"/>
          <w:lang w:val="fr-CA"/>
        </w:rPr>
      </w:pPr>
    </w:p>
    <w:p w:rsidR="003C00B1" w:rsidRPr="00DA6EAD" w:rsidRDefault="00DA6EAD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DA6EAD">
        <w:rPr>
          <w:rFonts w:ascii="Arial" w:hAnsi="Arial"/>
          <w:sz w:val="24"/>
          <w:lang w:val="fr-CA"/>
        </w:rPr>
        <w:t xml:space="preserve">Tester les cellules traitées par </w:t>
      </w:r>
      <w:r w:rsidR="003C00B1" w:rsidRPr="00DA6EAD">
        <w:rPr>
          <w:rFonts w:ascii="Arial" w:hAnsi="Arial"/>
          <w:sz w:val="24"/>
          <w:lang w:val="fr-CA"/>
        </w:rPr>
        <w:t xml:space="preserve">AET </w:t>
      </w:r>
      <w:r w:rsidRPr="00DA6EAD">
        <w:rPr>
          <w:rFonts w:ascii="Arial" w:hAnsi="Arial"/>
          <w:sz w:val="24"/>
          <w:lang w:val="fr-CA"/>
        </w:rPr>
        <w:t xml:space="preserve">avec un anti-K connu </w:t>
      </w:r>
      <w:r w:rsidR="003C00B1" w:rsidRPr="00DA6EAD">
        <w:rPr>
          <w:rFonts w:ascii="Arial" w:hAnsi="Arial"/>
          <w:sz w:val="24"/>
          <w:lang w:val="fr-CA"/>
        </w:rPr>
        <w:t>(</w:t>
      </w:r>
      <w:r w:rsidRPr="00DA6EAD">
        <w:rPr>
          <w:rFonts w:ascii="Arial" w:hAnsi="Arial"/>
          <w:sz w:val="24"/>
          <w:lang w:val="fr-CA"/>
        </w:rPr>
        <w:t xml:space="preserve">cellules traitées </w:t>
      </w:r>
      <w:r w:rsidR="003C00B1" w:rsidRPr="00DA6EAD">
        <w:rPr>
          <w:rFonts w:ascii="Arial" w:hAnsi="Arial"/>
          <w:sz w:val="24"/>
          <w:lang w:val="fr-CA"/>
        </w:rPr>
        <w:t>K+) o</w:t>
      </w:r>
      <w:r w:rsidRPr="00DA6EAD">
        <w:rPr>
          <w:rFonts w:ascii="Arial" w:hAnsi="Arial"/>
          <w:sz w:val="24"/>
          <w:lang w:val="fr-CA"/>
        </w:rPr>
        <w:t xml:space="preserve">u avec un </w:t>
      </w:r>
      <w:r w:rsidR="003C00B1" w:rsidRPr="00DA6EAD">
        <w:rPr>
          <w:rFonts w:ascii="Arial" w:hAnsi="Arial"/>
          <w:sz w:val="24"/>
          <w:lang w:val="fr-CA"/>
        </w:rPr>
        <w:t xml:space="preserve">anti-k </w:t>
      </w:r>
      <w:r w:rsidRPr="00DA6EAD">
        <w:rPr>
          <w:rFonts w:ascii="Arial" w:hAnsi="Arial"/>
          <w:sz w:val="24"/>
          <w:lang w:val="fr-CA"/>
        </w:rPr>
        <w:t xml:space="preserve">connu </w:t>
      </w:r>
      <w:r w:rsidR="003C00B1" w:rsidRPr="00DA6EAD">
        <w:rPr>
          <w:rFonts w:ascii="Arial" w:hAnsi="Arial"/>
          <w:sz w:val="24"/>
          <w:lang w:val="fr-CA"/>
        </w:rPr>
        <w:t>(</w:t>
      </w:r>
      <w:r w:rsidRPr="00DA6EAD">
        <w:rPr>
          <w:rFonts w:ascii="Arial" w:hAnsi="Arial"/>
          <w:sz w:val="24"/>
          <w:lang w:val="fr-CA"/>
        </w:rPr>
        <w:t xml:space="preserve">cellules </w:t>
      </w:r>
      <w:r w:rsidR="003C00B1" w:rsidRPr="00DA6EAD">
        <w:rPr>
          <w:rFonts w:ascii="Arial" w:hAnsi="Arial"/>
          <w:sz w:val="24"/>
          <w:lang w:val="fr-CA"/>
        </w:rPr>
        <w:t xml:space="preserve">k+) </w:t>
      </w:r>
      <w:r w:rsidRPr="00DA6EAD">
        <w:rPr>
          <w:rFonts w:ascii="Arial" w:hAnsi="Arial"/>
          <w:sz w:val="24"/>
          <w:lang w:val="fr-CA"/>
        </w:rPr>
        <w:t xml:space="preserve">pour s’assurer de la destruction des antigènes </w:t>
      </w:r>
      <w:r w:rsidR="003C00B1" w:rsidRPr="00DA6EAD">
        <w:rPr>
          <w:rFonts w:ascii="Arial" w:hAnsi="Arial"/>
          <w:sz w:val="24"/>
          <w:lang w:val="fr-CA"/>
        </w:rPr>
        <w:t>Kell.</w:t>
      </w:r>
    </w:p>
    <w:p w:rsidR="003C00B1" w:rsidRPr="00DA6EAD" w:rsidRDefault="003C00B1">
      <w:pPr>
        <w:rPr>
          <w:rFonts w:ascii="Arial" w:hAnsi="Arial"/>
          <w:b/>
          <w:sz w:val="24"/>
          <w:lang w:val="fr-CA"/>
        </w:rPr>
      </w:pPr>
    </w:p>
    <w:p w:rsidR="003C00B1" w:rsidRPr="00DA6EAD" w:rsidRDefault="001116AF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DA6EAD">
        <w:rPr>
          <w:rFonts w:ascii="Arial" w:hAnsi="Arial"/>
          <w:b/>
          <w:sz w:val="28"/>
          <w:lang w:val="fr-CA"/>
        </w:rPr>
        <w:t>Procédure</w:t>
      </w:r>
    </w:p>
    <w:p w:rsidR="003C00B1" w:rsidRPr="00DA6EAD" w:rsidRDefault="003C00B1">
      <w:pPr>
        <w:ind w:left="720"/>
        <w:rPr>
          <w:rFonts w:ascii="Arial" w:hAnsi="Arial"/>
          <w:b/>
          <w:sz w:val="24"/>
          <w:lang w:val="fr-CA"/>
        </w:rPr>
      </w:pPr>
    </w:p>
    <w:p w:rsidR="003C00B1" w:rsidRPr="003D5582" w:rsidRDefault="003C00B1">
      <w:pPr>
        <w:pStyle w:val="BodyTextIndent"/>
        <w:suppressAutoHyphens w:val="0"/>
        <w:spacing w:after="0"/>
        <w:rPr>
          <w:b/>
          <w:spacing w:val="0"/>
          <w:lang w:val="fr-CA"/>
        </w:rPr>
      </w:pPr>
      <w:r w:rsidRPr="003D5582">
        <w:rPr>
          <w:b/>
          <w:spacing w:val="0"/>
          <w:lang w:val="fr-CA"/>
        </w:rPr>
        <w:t>Tr</w:t>
      </w:r>
      <w:r w:rsidR="00DA6EAD" w:rsidRPr="003D5582">
        <w:rPr>
          <w:b/>
          <w:spacing w:val="0"/>
          <w:lang w:val="fr-CA"/>
        </w:rPr>
        <w:t xml:space="preserve">aitement des globules rouges </w:t>
      </w:r>
      <w:r w:rsidRPr="003D5582">
        <w:rPr>
          <w:b/>
          <w:spacing w:val="0"/>
          <w:lang w:val="fr-CA"/>
        </w:rPr>
        <w:t>:</w:t>
      </w:r>
      <w:r w:rsidR="00590A95" w:rsidRPr="003D5582">
        <w:rPr>
          <w:b/>
          <w:spacing w:val="0"/>
          <w:lang w:val="fr-CA"/>
        </w:rPr>
        <w:br/>
      </w:r>
    </w:p>
    <w:p w:rsidR="003C00B1" w:rsidRPr="00DA6EAD" w:rsidRDefault="00DA6EAD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DA6EAD">
        <w:rPr>
          <w:rFonts w:ascii="Arial" w:hAnsi="Arial"/>
          <w:sz w:val="24"/>
          <w:lang w:val="fr-CA"/>
        </w:rPr>
        <w:t xml:space="preserve">Mélanger un </w:t>
      </w:r>
      <w:r w:rsidR="009A05AC">
        <w:rPr>
          <w:rFonts w:ascii="Arial" w:hAnsi="Arial"/>
          <w:sz w:val="24"/>
          <w:lang w:val="fr-CA"/>
        </w:rPr>
        <w:t xml:space="preserve">(1) </w:t>
      </w:r>
      <w:r w:rsidRPr="00DA6EAD">
        <w:rPr>
          <w:rFonts w:ascii="Arial" w:hAnsi="Arial"/>
          <w:sz w:val="24"/>
          <w:lang w:val="fr-CA"/>
        </w:rPr>
        <w:t xml:space="preserve">volume de globules rouges concentrés lavés avec </w:t>
      </w:r>
      <w:r w:rsidR="009A05AC">
        <w:rPr>
          <w:rFonts w:ascii="Arial" w:hAnsi="Arial"/>
          <w:sz w:val="24"/>
          <w:lang w:val="fr-CA"/>
        </w:rPr>
        <w:t>quatre (</w:t>
      </w:r>
      <w:r w:rsidRPr="00DA6EAD">
        <w:rPr>
          <w:rFonts w:ascii="Arial" w:hAnsi="Arial"/>
          <w:sz w:val="24"/>
          <w:lang w:val="fr-CA"/>
        </w:rPr>
        <w:t>4</w:t>
      </w:r>
      <w:r w:rsidR="009A05AC">
        <w:rPr>
          <w:rFonts w:ascii="Arial" w:hAnsi="Arial"/>
          <w:sz w:val="24"/>
          <w:lang w:val="fr-CA"/>
        </w:rPr>
        <w:t>)</w:t>
      </w:r>
      <w:r w:rsidRPr="00DA6EAD">
        <w:rPr>
          <w:rFonts w:ascii="Arial" w:hAnsi="Arial"/>
          <w:sz w:val="24"/>
          <w:lang w:val="fr-CA"/>
        </w:rPr>
        <w:t xml:space="preserve"> volumes de solution d’AET à </w:t>
      </w:r>
      <w:r w:rsidR="003C00B1" w:rsidRPr="00DA6EAD">
        <w:rPr>
          <w:rFonts w:ascii="Arial" w:hAnsi="Arial"/>
          <w:sz w:val="24"/>
          <w:lang w:val="fr-CA"/>
        </w:rPr>
        <w:t>6</w:t>
      </w:r>
      <w:r w:rsidR="00964356">
        <w:rPr>
          <w:rFonts w:ascii="Arial" w:hAnsi="Arial"/>
          <w:sz w:val="24"/>
          <w:lang w:val="fr-CA"/>
        </w:rPr>
        <w:t> </w:t>
      </w:r>
      <w:r w:rsidR="003C00B1" w:rsidRPr="00DA6EAD">
        <w:rPr>
          <w:rFonts w:ascii="Arial" w:hAnsi="Arial"/>
          <w:sz w:val="24"/>
          <w:lang w:val="fr-CA"/>
        </w:rPr>
        <w:t>%.</w:t>
      </w:r>
      <w:r w:rsidR="009A05AC">
        <w:rPr>
          <w:rFonts w:ascii="Arial" w:hAnsi="Arial"/>
          <w:sz w:val="24"/>
          <w:lang w:val="fr-CA"/>
        </w:rPr>
        <w:br/>
      </w:r>
    </w:p>
    <w:p w:rsidR="003C00B1" w:rsidRPr="00DA6EAD" w:rsidRDefault="00DA6EAD">
      <w:pPr>
        <w:pStyle w:val="BodyTextIndent2"/>
        <w:rPr>
          <w:lang w:val="fr-CA"/>
        </w:rPr>
      </w:pPr>
      <w:r w:rsidRPr="00DA6EAD">
        <w:rPr>
          <w:lang w:val="fr-CA"/>
        </w:rPr>
        <w:t xml:space="preserve">Pour traiter les cellules du panel, prendre </w:t>
      </w:r>
      <w:r w:rsidR="003C00B1" w:rsidRPr="00DA6EAD">
        <w:rPr>
          <w:lang w:val="fr-CA"/>
        </w:rPr>
        <w:t xml:space="preserve">10 </w:t>
      </w:r>
      <w:r w:rsidRPr="00DA6EAD">
        <w:rPr>
          <w:lang w:val="fr-CA"/>
        </w:rPr>
        <w:t>gouttes</w:t>
      </w:r>
      <w:r w:rsidR="003C00B1" w:rsidRPr="00DA6EAD">
        <w:rPr>
          <w:lang w:val="fr-CA"/>
        </w:rPr>
        <w:t xml:space="preserve"> (3-5</w:t>
      </w:r>
      <w:r w:rsidRPr="00DA6EAD">
        <w:rPr>
          <w:lang w:val="fr-CA"/>
        </w:rPr>
        <w:t> </w:t>
      </w:r>
      <w:r w:rsidR="003C00B1" w:rsidRPr="00DA6EAD">
        <w:rPr>
          <w:lang w:val="fr-CA"/>
        </w:rPr>
        <w:t xml:space="preserve">%), </w:t>
      </w:r>
      <w:r w:rsidRPr="00DA6EAD">
        <w:rPr>
          <w:lang w:val="fr-CA"/>
        </w:rPr>
        <w:t xml:space="preserve">laver 2 fois, ajouter </w:t>
      </w:r>
      <w:r w:rsidR="003C00B1" w:rsidRPr="00DA6EAD">
        <w:rPr>
          <w:lang w:val="fr-CA"/>
        </w:rPr>
        <w:t xml:space="preserve">2 </w:t>
      </w:r>
      <w:r w:rsidRPr="00DA6EAD">
        <w:rPr>
          <w:lang w:val="fr-CA"/>
        </w:rPr>
        <w:t xml:space="preserve">gouttes d’AET à </w:t>
      </w:r>
      <w:r w:rsidR="003C00B1" w:rsidRPr="00DA6EAD">
        <w:rPr>
          <w:lang w:val="fr-CA"/>
        </w:rPr>
        <w:t>6</w:t>
      </w:r>
      <w:r w:rsidRPr="00DA6EAD">
        <w:rPr>
          <w:lang w:val="fr-CA"/>
        </w:rPr>
        <w:t> </w:t>
      </w:r>
      <w:r w:rsidR="003C00B1" w:rsidRPr="00DA6EAD">
        <w:rPr>
          <w:lang w:val="fr-CA"/>
        </w:rPr>
        <w:t xml:space="preserve">% </w:t>
      </w:r>
      <w:r w:rsidRPr="00DA6EAD">
        <w:rPr>
          <w:lang w:val="fr-CA"/>
        </w:rPr>
        <w:t xml:space="preserve">aux </w:t>
      </w:r>
      <w:r w:rsidR="00860541">
        <w:rPr>
          <w:lang w:val="fr-CA"/>
        </w:rPr>
        <w:t>globules</w:t>
      </w:r>
      <w:r w:rsidRPr="00DA6EAD">
        <w:rPr>
          <w:lang w:val="fr-CA"/>
        </w:rPr>
        <w:t xml:space="preserve"> rouges concentrés</w:t>
      </w:r>
    </w:p>
    <w:p w:rsidR="003C00B1" w:rsidRPr="00C230CE" w:rsidRDefault="003C00B1">
      <w:pPr>
        <w:ind w:left="1440"/>
        <w:rPr>
          <w:rFonts w:ascii="Arial" w:hAnsi="Arial"/>
          <w:sz w:val="24"/>
          <w:lang w:val="fr-CA"/>
        </w:rPr>
      </w:pPr>
    </w:p>
    <w:p w:rsidR="003C00B1" w:rsidRDefault="001116AF" w:rsidP="00F44642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C230CE">
        <w:rPr>
          <w:rFonts w:ascii="Arial" w:hAnsi="Arial"/>
          <w:sz w:val="24"/>
          <w:lang w:val="fr-CA"/>
        </w:rPr>
        <w:t>Inc</w:t>
      </w:r>
      <w:r w:rsidR="009A05AC">
        <w:rPr>
          <w:rFonts w:ascii="Arial" w:hAnsi="Arial"/>
          <w:sz w:val="24"/>
          <w:lang w:val="fr-CA"/>
        </w:rPr>
        <w:t>uber à 37</w:t>
      </w:r>
      <w:r w:rsidR="00F44642">
        <w:rPr>
          <w:rFonts w:ascii="Arial" w:hAnsi="Arial" w:cs="Arial"/>
          <w:sz w:val="24"/>
          <w:lang w:val="fr-CA"/>
        </w:rPr>
        <w:t>º</w:t>
      </w:r>
      <w:r w:rsidR="009A05AC">
        <w:rPr>
          <w:rFonts w:ascii="Arial" w:hAnsi="Arial"/>
          <w:sz w:val="24"/>
          <w:lang w:val="fr-CA"/>
        </w:rPr>
        <w:t>C pendant 20 minutes en mélangeant aux 5 minutes.</w:t>
      </w:r>
    </w:p>
    <w:p w:rsidR="00F44642" w:rsidRPr="00F44642" w:rsidRDefault="00F44642" w:rsidP="00F44642">
      <w:pPr>
        <w:ind w:left="1440"/>
        <w:rPr>
          <w:rFonts w:ascii="Arial" w:hAnsi="Arial"/>
          <w:sz w:val="24"/>
          <w:lang w:val="fr-CA"/>
        </w:rPr>
      </w:pPr>
    </w:p>
    <w:p w:rsidR="003C00B1" w:rsidRPr="00C230CE" w:rsidRDefault="00DA6EAD">
      <w:pPr>
        <w:numPr>
          <w:ilvl w:val="1"/>
          <w:numId w:val="1"/>
        </w:numPr>
        <w:rPr>
          <w:rFonts w:ascii="Arial" w:hAnsi="Arial"/>
          <w:spacing w:val="-2"/>
          <w:sz w:val="24"/>
          <w:lang w:val="fr-CA"/>
        </w:rPr>
      </w:pPr>
      <w:r w:rsidRPr="00C230CE">
        <w:rPr>
          <w:rFonts w:ascii="Arial" w:hAnsi="Arial"/>
          <w:sz w:val="24"/>
          <w:lang w:val="fr-CA"/>
        </w:rPr>
        <w:t>Le lavage des cellules avec une solution saline tamponnée au phosphate de pH</w:t>
      </w:r>
      <w:r w:rsidR="00964356">
        <w:rPr>
          <w:rFonts w:ascii="Arial" w:hAnsi="Arial"/>
          <w:sz w:val="24"/>
          <w:lang w:val="fr-CA"/>
        </w:rPr>
        <w:t> </w:t>
      </w:r>
      <w:r w:rsidRPr="00C230CE">
        <w:rPr>
          <w:rFonts w:ascii="Arial" w:hAnsi="Arial"/>
          <w:sz w:val="24"/>
          <w:lang w:val="fr-CA"/>
        </w:rPr>
        <w:t>7.0 arrête la réaction.</w:t>
      </w:r>
      <w:r w:rsidR="00C8286B">
        <w:rPr>
          <w:rFonts w:ascii="Arial" w:hAnsi="Arial"/>
          <w:sz w:val="24"/>
          <w:lang w:val="fr-CA"/>
        </w:rPr>
        <w:t xml:space="preserve"> </w:t>
      </w:r>
      <w:r w:rsidRPr="00C230CE">
        <w:rPr>
          <w:rFonts w:ascii="Arial" w:hAnsi="Arial"/>
          <w:sz w:val="24"/>
          <w:lang w:val="fr-CA"/>
        </w:rPr>
        <w:t xml:space="preserve">Par la suite, faire 3 ou </w:t>
      </w:r>
      <w:r w:rsidR="003C00B1" w:rsidRPr="00C230CE">
        <w:rPr>
          <w:rFonts w:ascii="Arial" w:hAnsi="Arial"/>
          <w:sz w:val="24"/>
          <w:lang w:val="fr-CA"/>
        </w:rPr>
        <w:t xml:space="preserve">4 </w:t>
      </w:r>
      <w:r w:rsidRPr="00C230CE">
        <w:rPr>
          <w:rFonts w:ascii="Arial" w:hAnsi="Arial"/>
          <w:sz w:val="24"/>
          <w:lang w:val="fr-CA"/>
        </w:rPr>
        <w:t xml:space="preserve">lavages avec une solution saline </w:t>
      </w:r>
      <w:r w:rsidR="009A05AC">
        <w:rPr>
          <w:rFonts w:ascii="Arial" w:hAnsi="Arial"/>
          <w:sz w:val="24"/>
          <w:lang w:val="fr-CA"/>
        </w:rPr>
        <w:t xml:space="preserve">normale </w:t>
      </w:r>
      <w:r w:rsidRPr="00C230CE">
        <w:rPr>
          <w:rFonts w:ascii="Arial" w:hAnsi="Arial"/>
          <w:sz w:val="24"/>
          <w:lang w:val="fr-CA"/>
        </w:rPr>
        <w:t xml:space="preserve">à </w:t>
      </w:r>
      <w:r w:rsidR="003C00B1" w:rsidRPr="00C230CE">
        <w:rPr>
          <w:rFonts w:ascii="Arial" w:hAnsi="Arial"/>
          <w:sz w:val="24"/>
          <w:lang w:val="fr-CA"/>
        </w:rPr>
        <w:t>0</w:t>
      </w:r>
      <w:r w:rsidRPr="00C230CE">
        <w:rPr>
          <w:rFonts w:ascii="Arial" w:hAnsi="Arial"/>
          <w:sz w:val="24"/>
          <w:lang w:val="fr-CA"/>
        </w:rPr>
        <w:t>,</w:t>
      </w:r>
      <w:r w:rsidR="003C00B1" w:rsidRPr="00C230CE">
        <w:rPr>
          <w:rFonts w:ascii="Arial" w:hAnsi="Arial"/>
          <w:sz w:val="24"/>
          <w:lang w:val="fr-CA"/>
        </w:rPr>
        <w:t>9</w:t>
      </w:r>
      <w:r w:rsidRPr="00C230CE">
        <w:rPr>
          <w:rFonts w:ascii="Arial" w:hAnsi="Arial"/>
          <w:sz w:val="24"/>
          <w:lang w:val="fr-CA"/>
        </w:rPr>
        <w:t> </w:t>
      </w:r>
      <w:r w:rsidR="003C00B1" w:rsidRPr="00C230CE">
        <w:rPr>
          <w:rFonts w:ascii="Arial" w:hAnsi="Arial"/>
          <w:sz w:val="24"/>
          <w:lang w:val="fr-CA"/>
        </w:rPr>
        <w:t xml:space="preserve">%. </w:t>
      </w:r>
      <w:r w:rsidRPr="00C230CE">
        <w:rPr>
          <w:rFonts w:ascii="Arial" w:hAnsi="Arial"/>
          <w:sz w:val="24"/>
          <w:lang w:val="fr-CA"/>
        </w:rPr>
        <w:t xml:space="preserve">Les </w:t>
      </w:r>
      <w:r w:rsidR="00860541">
        <w:rPr>
          <w:rFonts w:ascii="Arial" w:hAnsi="Arial"/>
          <w:sz w:val="24"/>
          <w:lang w:val="fr-CA"/>
        </w:rPr>
        <w:t>globules</w:t>
      </w:r>
      <w:r w:rsidRPr="00C230CE">
        <w:rPr>
          <w:rFonts w:ascii="Arial" w:hAnsi="Arial"/>
          <w:sz w:val="24"/>
          <w:lang w:val="fr-CA"/>
        </w:rPr>
        <w:t xml:space="preserve"> traités sont de couleur brunâtre. </w:t>
      </w:r>
    </w:p>
    <w:p w:rsidR="003C00B1" w:rsidRPr="00C230CE" w:rsidRDefault="003C00B1">
      <w:pPr>
        <w:rPr>
          <w:rFonts w:ascii="Arial" w:hAnsi="Arial"/>
          <w:sz w:val="24"/>
          <w:lang w:val="fr-CA"/>
        </w:rPr>
      </w:pPr>
    </w:p>
    <w:p w:rsidR="003C00B1" w:rsidRPr="00C230CE" w:rsidRDefault="00C230CE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C230CE">
        <w:rPr>
          <w:rFonts w:ascii="Arial" w:hAnsi="Arial"/>
          <w:sz w:val="24"/>
          <w:lang w:val="fr-CA"/>
        </w:rPr>
        <w:t xml:space="preserve">Les </w:t>
      </w:r>
      <w:r w:rsidR="00860541">
        <w:rPr>
          <w:rFonts w:ascii="Arial" w:hAnsi="Arial"/>
          <w:sz w:val="24"/>
          <w:lang w:val="fr-CA"/>
        </w:rPr>
        <w:t>cellules</w:t>
      </w:r>
      <w:r w:rsidRPr="00C230CE">
        <w:rPr>
          <w:rFonts w:ascii="Arial" w:hAnsi="Arial"/>
          <w:sz w:val="24"/>
          <w:lang w:val="fr-CA"/>
        </w:rPr>
        <w:t xml:space="preserve"> traitées par </w:t>
      </w:r>
      <w:r w:rsidR="003C00B1" w:rsidRPr="00C230CE">
        <w:rPr>
          <w:rFonts w:ascii="Arial" w:hAnsi="Arial"/>
          <w:sz w:val="24"/>
          <w:lang w:val="fr-CA"/>
        </w:rPr>
        <w:t xml:space="preserve">AET </w:t>
      </w:r>
      <w:r w:rsidRPr="00C230CE">
        <w:rPr>
          <w:rFonts w:ascii="Arial" w:hAnsi="Arial"/>
          <w:sz w:val="24"/>
          <w:lang w:val="fr-CA"/>
        </w:rPr>
        <w:t xml:space="preserve">peuvent être entreposées dans des conditions stériles dans une solution </w:t>
      </w:r>
      <w:r w:rsidR="003C00B1" w:rsidRPr="00C230CE">
        <w:rPr>
          <w:rFonts w:ascii="Arial" w:hAnsi="Arial"/>
          <w:sz w:val="24"/>
          <w:lang w:val="fr-CA"/>
        </w:rPr>
        <w:t xml:space="preserve">Alsevers </w:t>
      </w:r>
      <w:r w:rsidRPr="00C230CE">
        <w:rPr>
          <w:rFonts w:ascii="Arial" w:hAnsi="Arial"/>
          <w:sz w:val="24"/>
          <w:lang w:val="fr-CA"/>
        </w:rPr>
        <w:t xml:space="preserve">pendant </w:t>
      </w:r>
      <w:r w:rsidR="009A05AC">
        <w:rPr>
          <w:rFonts w:ascii="Arial" w:hAnsi="Arial"/>
          <w:sz w:val="24"/>
          <w:lang w:val="fr-CA"/>
        </w:rPr>
        <w:t>7</w:t>
      </w:r>
      <w:r w:rsidRPr="00C230CE">
        <w:rPr>
          <w:rFonts w:ascii="Arial" w:hAnsi="Arial"/>
          <w:sz w:val="24"/>
          <w:lang w:val="fr-CA"/>
        </w:rPr>
        <w:t xml:space="preserve"> jours</w:t>
      </w:r>
      <w:r w:rsidR="003C00B1" w:rsidRPr="00C230CE">
        <w:rPr>
          <w:rFonts w:ascii="Arial" w:hAnsi="Arial"/>
          <w:sz w:val="24"/>
          <w:lang w:val="fr-CA"/>
        </w:rPr>
        <w:t>.</w:t>
      </w:r>
    </w:p>
    <w:p w:rsidR="003C00B1" w:rsidRPr="00C230CE" w:rsidRDefault="003C00B1">
      <w:pPr>
        <w:rPr>
          <w:rFonts w:ascii="Arial" w:hAnsi="Arial"/>
          <w:sz w:val="24"/>
          <w:lang w:val="fr-CA"/>
        </w:rPr>
      </w:pPr>
    </w:p>
    <w:p w:rsidR="003C00B1" w:rsidRPr="00C230CE" w:rsidRDefault="00C230CE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C230CE">
        <w:rPr>
          <w:rFonts w:ascii="Arial" w:hAnsi="Arial"/>
          <w:sz w:val="24"/>
          <w:lang w:val="fr-CA"/>
        </w:rPr>
        <w:t xml:space="preserve">Avant de s’en servir, préparer une suspension saline </w:t>
      </w:r>
      <w:r w:rsidR="009A05AC">
        <w:rPr>
          <w:rFonts w:ascii="Arial" w:hAnsi="Arial"/>
          <w:sz w:val="24"/>
          <w:lang w:val="fr-CA"/>
        </w:rPr>
        <w:t xml:space="preserve">normale </w:t>
      </w:r>
      <w:r w:rsidRPr="00C230CE">
        <w:rPr>
          <w:rFonts w:ascii="Arial" w:hAnsi="Arial"/>
          <w:sz w:val="24"/>
          <w:lang w:val="fr-CA"/>
        </w:rPr>
        <w:t>à 3</w:t>
      </w:r>
      <w:r w:rsidR="009A05AC">
        <w:rPr>
          <w:rFonts w:ascii="Arial" w:hAnsi="Arial"/>
          <w:sz w:val="24"/>
          <w:lang w:val="fr-CA"/>
        </w:rPr>
        <w:t> </w:t>
      </w:r>
      <w:r w:rsidRPr="00C230CE">
        <w:rPr>
          <w:rFonts w:ascii="Arial" w:hAnsi="Arial"/>
          <w:sz w:val="24"/>
          <w:lang w:val="fr-CA"/>
        </w:rPr>
        <w:t xml:space="preserve">% des cellules. </w:t>
      </w:r>
    </w:p>
    <w:p w:rsidR="003C00B1" w:rsidRPr="00BF2802" w:rsidRDefault="003C00B1">
      <w:pPr>
        <w:rPr>
          <w:rFonts w:ascii="Arial" w:hAnsi="Arial"/>
          <w:sz w:val="24"/>
          <w:lang w:val="fr-CA"/>
        </w:rPr>
      </w:pPr>
    </w:p>
    <w:p w:rsidR="003C00B1" w:rsidRPr="003D5582" w:rsidRDefault="003C00B1">
      <w:pPr>
        <w:suppressAutoHyphens/>
        <w:spacing w:after="120"/>
        <w:rPr>
          <w:rFonts w:ascii="Arial" w:hAnsi="Arial"/>
          <w:b/>
          <w:spacing w:val="-2"/>
          <w:sz w:val="24"/>
          <w:lang w:val="fr-CA"/>
        </w:rPr>
      </w:pPr>
      <w:r w:rsidRPr="00DA6EAD">
        <w:rPr>
          <w:rFonts w:ascii="Arial" w:hAnsi="Arial"/>
          <w:spacing w:val="-2"/>
          <w:sz w:val="24"/>
          <w:lang w:val="fr-CA"/>
        </w:rPr>
        <w:tab/>
      </w:r>
      <w:r w:rsidR="00DA6EAD" w:rsidRPr="003D5582">
        <w:rPr>
          <w:rFonts w:ascii="Arial" w:hAnsi="Arial"/>
          <w:b/>
          <w:spacing w:val="-2"/>
          <w:sz w:val="24"/>
          <w:lang w:val="fr-CA"/>
        </w:rPr>
        <w:t xml:space="preserve">Procédure d’analyse </w:t>
      </w:r>
      <w:r w:rsidRPr="003D5582">
        <w:rPr>
          <w:rFonts w:ascii="Arial" w:hAnsi="Arial"/>
          <w:b/>
          <w:spacing w:val="-2"/>
          <w:sz w:val="24"/>
          <w:lang w:val="fr-CA"/>
        </w:rPr>
        <w:t>:</w:t>
      </w:r>
    </w:p>
    <w:p w:rsidR="003C00B1" w:rsidRPr="00DA6EAD" w:rsidRDefault="00DA6EAD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 w:rsidRPr="00DA6EAD">
        <w:rPr>
          <w:rFonts w:ascii="Arial" w:hAnsi="Arial"/>
          <w:spacing w:val="-2"/>
          <w:sz w:val="24"/>
          <w:lang w:val="fr-CA"/>
        </w:rPr>
        <w:t xml:space="preserve">Étiqueter correctement le nombre de tubes de nécessaires pour analyser le plasma du patient contre des </w:t>
      </w:r>
      <w:r w:rsidR="00860541">
        <w:rPr>
          <w:rFonts w:ascii="Arial" w:hAnsi="Arial"/>
          <w:spacing w:val="-2"/>
          <w:sz w:val="24"/>
          <w:lang w:val="fr-CA"/>
        </w:rPr>
        <w:t>hématies</w:t>
      </w:r>
      <w:r w:rsidRPr="00DA6EAD">
        <w:rPr>
          <w:rFonts w:ascii="Arial" w:hAnsi="Arial"/>
          <w:spacing w:val="-2"/>
          <w:sz w:val="24"/>
          <w:lang w:val="fr-CA"/>
        </w:rPr>
        <w:t xml:space="preserve"> traitées par </w:t>
      </w:r>
      <w:r w:rsidR="003C00B1" w:rsidRPr="00DA6EAD">
        <w:rPr>
          <w:rFonts w:ascii="Arial" w:hAnsi="Arial"/>
          <w:spacing w:val="-2"/>
          <w:sz w:val="24"/>
          <w:lang w:val="fr-CA"/>
        </w:rPr>
        <w:t xml:space="preserve">AET </w:t>
      </w:r>
      <w:r w:rsidRPr="00DA6EAD">
        <w:rPr>
          <w:rFonts w:ascii="Arial" w:hAnsi="Arial"/>
          <w:spacing w:val="-2"/>
          <w:sz w:val="24"/>
          <w:lang w:val="fr-CA"/>
        </w:rPr>
        <w:t xml:space="preserve">et les mêmes globules rouges non traités. </w:t>
      </w:r>
    </w:p>
    <w:p w:rsidR="003C00B1" w:rsidRPr="00DA6EAD" w:rsidRDefault="003C00B1">
      <w:pPr>
        <w:suppressAutoHyphens/>
        <w:rPr>
          <w:rFonts w:ascii="Arial" w:hAnsi="Arial"/>
          <w:spacing w:val="-2"/>
          <w:sz w:val="24"/>
          <w:lang w:val="fr-CA"/>
        </w:rPr>
      </w:pPr>
    </w:p>
    <w:p w:rsidR="003C00B1" w:rsidRPr="00DA6EAD" w:rsidRDefault="00DA6EAD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 w:rsidRPr="00DA6EAD">
        <w:rPr>
          <w:rFonts w:ascii="Arial" w:hAnsi="Arial"/>
          <w:spacing w:val="-2"/>
          <w:sz w:val="24"/>
          <w:lang w:val="fr-CA"/>
        </w:rPr>
        <w:t>Ajouter</w:t>
      </w:r>
      <w:r w:rsidR="003C00B1" w:rsidRPr="00DA6EAD">
        <w:rPr>
          <w:rFonts w:ascii="Arial" w:hAnsi="Arial"/>
          <w:spacing w:val="-2"/>
          <w:sz w:val="24"/>
          <w:lang w:val="fr-CA"/>
        </w:rPr>
        <w:t xml:space="preserve"> </w:t>
      </w:r>
      <w:r w:rsidR="003D5582">
        <w:rPr>
          <w:rFonts w:ascii="Arial" w:hAnsi="Arial"/>
          <w:spacing w:val="-2"/>
          <w:sz w:val="24"/>
          <w:lang w:val="fr-CA"/>
        </w:rPr>
        <w:t>3</w:t>
      </w:r>
      <w:r w:rsidR="003C00B1" w:rsidRPr="00DA6EAD">
        <w:rPr>
          <w:rFonts w:ascii="Arial" w:hAnsi="Arial"/>
          <w:spacing w:val="-2"/>
          <w:sz w:val="24"/>
          <w:lang w:val="fr-CA"/>
        </w:rPr>
        <w:t xml:space="preserve"> </w:t>
      </w:r>
      <w:r w:rsidRPr="00DA6EAD">
        <w:rPr>
          <w:rFonts w:ascii="Arial" w:hAnsi="Arial"/>
          <w:spacing w:val="-2"/>
          <w:sz w:val="24"/>
          <w:lang w:val="fr-CA"/>
        </w:rPr>
        <w:t>gouttes de plasma du patient à chaque tube</w:t>
      </w:r>
      <w:r w:rsidR="003C00B1" w:rsidRPr="00DA6EAD">
        <w:rPr>
          <w:rFonts w:ascii="Arial" w:hAnsi="Arial"/>
          <w:spacing w:val="-2"/>
          <w:sz w:val="24"/>
          <w:lang w:val="fr-CA"/>
        </w:rPr>
        <w:t>.</w:t>
      </w:r>
    </w:p>
    <w:p w:rsidR="003C00B1" w:rsidRPr="00DA6EAD" w:rsidRDefault="003C00B1">
      <w:pPr>
        <w:suppressAutoHyphens/>
        <w:rPr>
          <w:rFonts w:ascii="Arial" w:hAnsi="Arial"/>
          <w:spacing w:val="-2"/>
          <w:sz w:val="24"/>
          <w:lang w:val="fr-CA"/>
        </w:rPr>
      </w:pPr>
    </w:p>
    <w:p w:rsidR="003C00B1" w:rsidRPr="00DA6EAD" w:rsidRDefault="001116AF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 w:rsidRPr="00DA6EAD">
        <w:rPr>
          <w:rFonts w:ascii="Arial" w:hAnsi="Arial"/>
          <w:spacing w:val="-2"/>
          <w:sz w:val="24"/>
          <w:lang w:val="fr-CA"/>
        </w:rPr>
        <w:t>Ajouter 1 goutte de suspensions cellulaires à 3</w:t>
      </w:r>
      <w:r w:rsidR="00964356">
        <w:rPr>
          <w:rFonts w:ascii="Arial" w:hAnsi="Arial"/>
          <w:spacing w:val="-2"/>
          <w:sz w:val="24"/>
          <w:lang w:val="fr-CA"/>
        </w:rPr>
        <w:t> </w:t>
      </w:r>
      <w:r w:rsidR="00DA6EAD" w:rsidRPr="00DA6EAD">
        <w:rPr>
          <w:rFonts w:ascii="Arial" w:hAnsi="Arial"/>
          <w:spacing w:val="-2"/>
          <w:sz w:val="24"/>
          <w:lang w:val="fr-CA"/>
        </w:rPr>
        <w:t>%</w:t>
      </w:r>
      <w:r w:rsidRPr="00DA6EAD">
        <w:rPr>
          <w:rFonts w:ascii="Arial" w:hAnsi="Arial"/>
          <w:spacing w:val="-2"/>
          <w:sz w:val="24"/>
          <w:lang w:val="fr-CA"/>
        </w:rPr>
        <w:t xml:space="preserve"> </w:t>
      </w:r>
      <w:r w:rsidR="003D5582">
        <w:rPr>
          <w:rFonts w:ascii="Arial" w:hAnsi="Arial"/>
          <w:spacing w:val="-2"/>
          <w:sz w:val="24"/>
          <w:lang w:val="fr-CA"/>
        </w:rPr>
        <w:t xml:space="preserve">(traitée et non traitée) </w:t>
      </w:r>
      <w:r w:rsidRPr="00DA6EAD">
        <w:rPr>
          <w:rFonts w:ascii="Arial" w:hAnsi="Arial"/>
          <w:spacing w:val="-2"/>
          <w:sz w:val="24"/>
          <w:lang w:val="fr-CA"/>
        </w:rPr>
        <w:t>au tube étiqueté</w:t>
      </w:r>
      <w:r w:rsidR="00DA6EAD" w:rsidRPr="00DA6EAD">
        <w:rPr>
          <w:rFonts w:ascii="Arial" w:hAnsi="Arial"/>
          <w:spacing w:val="-2"/>
          <w:sz w:val="24"/>
          <w:lang w:val="fr-CA"/>
        </w:rPr>
        <w:t xml:space="preserve"> approprié</w:t>
      </w:r>
      <w:r w:rsidRPr="00DA6EAD">
        <w:rPr>
          <w:rFonts w:ascii="Arial" w:hAnsi="Arial"/>
          <w:spacing w:val="-2"/>
          <w:sz w:val="24"/>
          <w:lang w:val="fr-CA"/>
        </w:rPr>
        <w:t>.</w:t>
      </w:r>
    </w:p>
    <w:p w:rsidR="003C00B1" w:rsidRPr="00DA6EAD" w:rsidRDefault="003C00B1">
      <w:pPr>
        <w:suppressAutoHyphens/>
        <w:rPr>
          <w:rFonts w:ascii="Arial" w:hAnsi="Arial"/>
          <w:spacing w:val="-2"/>
          <w:sz w:val="24"/>
          <w:lang w:val="fr-CA"/>
        </w:rPr>
      </w:pPr>
    </w:p>
    <w:p w:rsidR="003C00B1" w:rsidRDefault="001116AF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 w:rsidRPr="00DA6EAD">
        <w:rPr>
          <w:rFonts w:ascii="Arial" w:hAnsi="Arial"/>
          <w:spacing w:val="-2"/>
          <w:sz w:val="24"/>
          <w:lang w:val="fr-CA"/>
        </w:rPr>
        <w:t>Incuber à 37</w:t>
      </w:r>
      <w:r w:rsidR="00F44642">
        <w:rPr>
          <w:rFonts w:ascii="Arial" w:hAnsi="Arial" w:cs="Arial"/>
          <w:spacing w:val="-2"/>
          <w:sz w:val="24"/>
          <w:lang w:val="fr-CA"/>
        </w:rPr>
        <w:t>º</w:t>
      </w:r>
      <w:r w:rsidRPr="00DA6EAD">
        <w:rPr>
          <w:rFonts w:ascii="Arial" w:hAnsi="Arial"/>
          <w:spacing w:val="-2"/>
          <w:sz w:val="24"/>
          <w:lang w:val="fr-CA"/>
        </w:rPr>
        <w:t>C pendant 1 heure.</w:t>
      </w:r>
    </w:p>
    <w:p w:rsidR="003D5582" w:rsidRDefault="003D5582" w:rsidP="003D5582">
      <w:pPr>
        <w:pStyle w:val="ListParagraph"/>
        <w:rPr>
          <w:rFonts w:ascii="Arial" w:hAnsi="Arial"/>
          <w:spacing w:val="-2"/>
          <w:sz w:val="24"/>
          <w:lang w:val="fr-CA"/>
        </w:rPr>
      </w:pPr>
    </w:p>
    <w:p w:rsidR="003D5582" w:rsidRDefault="003D5582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>
        <w:rPr>
          <w:rFonts w:ascii="Arial" w:hAnsi="Arial"/>
          <w:spacing w:val="-2"/>
          <w:sz w:val="24"/>
          <w:lang w:val="fr-CA"/>
        </w:rPr>
        <w:t>Laver au moins 3 fois dans une solution saline normale.</w:t>
      </w:r>
    </w:p>
    <w:p w:rsidR="003D5582" w:rsidRDefault="003D5582" w:rsidP="003D5582">
      <w:pPr>
        <w:pStyle w:val="ListParagraph"/>
        <w:rPr>
          <w:rFonts w:ascii="Arial" w:hAnsi="Arial"/>
          <w:spacing w:val="-2"/>
          <w:sz w:val="24"/>
          <w:lang w:val="fr-CA"/>
        </w:rPr>
      </w:pPr>
    </w:p>
    <w:p w:rsidR="003D5582" w:rsidRPr="00DA6EAD" w:rsidRDefault="003D5582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>
        <w:rPr>
          <w:rFonts w:ascii="Arial" w:hAnsi="Arial"/>
          <w:spacing w:val="-2"/>
          <w:sz w:val="24"/>
          <w:lang w:val="fr-CA"/>
        </w:rPr>
        <w:t xml:space="preserve">Pour faire sécher le </w:t>
      </w:r>
      <w:r w:rsidR="00670180">
        <w:rPr>
          <w:rFonts w:ascii="Arial" w:hAnsi="Arial"/>
          <w:spacing w:val="-2"/>
          <w:sz w:val="24"/>
          <w:lang w:val="fr-CA"/>
        </w:rPr>
        <w:t>culot</w:t>
      </w:r>
      <w:r>
        <w:rPr>
          <w:rFonts w:ascii="Arial" w:hAnsi="Arial"/>
          <w:spacing w:val="-2"/>
          <w:sz w:val="24"/>
          <w:lang w:val="fr-CA"/>
        </w:rPr>
        <w:t xml:space="preserve"> de globules rouges, ajouter 2 gouttes d’anti-IgG et mélanger.</w:t>
      </w:r>
    </w:p>
    <w:p w:rsidR="003C00B1" w:rsidRPr="00BF2802" w:rsidRDefault="003C00B1">
      <w:pPr>
        <w:suppressAutoHyphens/>
        <w:rPr>
          <w:rFonts w:ascii="Arial" w:hAnsi="Arial"/>
          <w:spacing w:val="-2"/>
          <w:sz w:val="24"/>
          <w:lang w:val="fr-CA"/>
        </w:rPr>
      </w:pPr>
    </w:p>
    <w:p w:rsidR="003C00B1" w:rsidRPr="00DA6EAD" w:rsidRDefault="001116AF">
      <w:pPr>
        <w:numPr>
          <w:ilvl w:val="1"/>
          <w:numId w:val="1"/>
        </w:numPr>
        <w:suppressAutoHyphens/>
        <w:rPr>
          <w:rFonts w:ascii="Arial" w:hAnsi="Arial"/>
          <w:sz w:val="24"/>
          <w:lang w:val="fr-CA"/>
        </w:rPr>
      </w:pPr>
      <w:r w:rsidRPr="00DA6EAD">
        <w:rPr>
          <w:rFonts w:ascii="Arial" w:hAnsi="Arial"/>
          <w:spacing w:val="-2"/>
          <w:sz w:val="24"/>
          <w:lang w:val="fr-CA"/>
        </w:rPr>
        <w:t>Centrifuger à 3400 rpm pendant 10 à 15 secondes, remettre délicatement en suspension, faire une lecture microscopique et noter les résultats.</w:t>
      </w:r>
      <w:r w:rsidR="003C00B1" w:rsidRPr="00DA6EAD">
        <w:rPr>
          <w:rFonts w:ascii="Arial" w:hAnsi="Arial"/>
          <w:spacing w:val="-2"/>
          <w:sz w:val="24"/>
          <w:lang w:val="fr-CA"/>
        </w:rPr>
        <w:t xml:space="preserve"> </w:t>
      </w:r>
    </w:p>
    <w:p w:rsidR="003C00B1" w:rsidRPr="00DA6EAD" w:rsidRDefault="003C00B1">
      <w:pPr>
        <w:suppressAutoHyphens/>
        <w:rPr>
          <w:rFonts w:ascii="Arial" w:hAnsi="Arial"/>
          <w:sz w:val="24"/>
          <w:lang w:val="fr-CA"/>
        </w:rPr>
      </w:pPr>
    </w:p>
    <w:p w:rsidR="003C00B1" w:rsidRPr="00DA6EAD" w:rsidRDefault="001F4231">
      <w:pPr>
        <w:numPr>
          <w:ilvl w:val="1"/>
          <w:numId w:val="1"/>
        </w:numPr>
        <w:suppressAutoHyphens/>
        <w:rPr>
          <w:rFonts w:ascii="Arial" w:hAnsi="Arial"/>
          <w:sz w:val="24"/>
          <w:lang w:val="fr-CA"/>
        </w:rPr>
      </w:pPr>
      <w:r w:rsidRPr="00DA6EAD">
        <w:rPr>
          <w:rFonts w:ascii="Arial" w:hAnsi="Arial"/>
          <w:sz w:val="24"/>
          <w:lang w:val="fr-CA"/>
        </w:rPr>
        <w:t xml:space="preserve">Confirmer toutes les réactions </w:t>
      </w:r>
      <w:r w:rsidR="003C00B1" w:rsidRPr="00DA6EAD">
        <w:rPr>
          <w:rFonts w:ascii="Arial" w:hAnsi="Arial"/>
          <w:sz w:val="24"/>
          <w:lang w:val="fr-CA"/>
        </w:rPr>
        <w:t>n</w:t>
      </w:r>
      <w:r w:rsidRPr="00DA6EAD">
        <w:rPr>
          <w:rFonts w:ascii="Arial" w:hAnsi="Arial"/>
          <w:sz w:val="24"/>
          <w:lang w:val="fr-CA"/>
        </w:rPr>
        <w:t>é</w:t>
      </w:r>
      <w:r w:rsidR="003C00B1" w:rsidRPr="00DA6EAD">
        <w:rPr>
          <w:rFonts w:ascii="Arial" w:hAnsi="Arial"/>
          <w:sz w:val="24"/>
          <w:lang w:val="fr-CA"/>
        </w:rPr>
        <w:t>gative</w:t>
      </w:r>
      <w:r w:rsidRPr="00DA6EAD">
        <w:rPr>
          <w:rFonts w:ascii="Arial" w:hAnsi="Arial"/>
          <w:sz w:val="24"/>
          <w:lang w:val="fr-CA"/>
        </w:rPr>
        <w:t>s par l’addition de cellules témoins d’</w:t>
      </w:r>
      <w:r w:rsidR="003C00B1" w:rsidRPr="00DA6EAD">
        <w:rPr>
          <w:rFonts w:ascii="Arial" w:hAnsi="Arial"/>
          <w:sz w:val="24"/>
          <w:lang w:val="fr-CA"/>
        </w:rPr>
        <w:t xml:space="preserve">IgG. </w:t>
      </w:r>
      <w:r w:rsidRPr="00DA6EAD">
        <w:rPr>
          <w:rFonts w:ascii="Arial" w:hAnsi="Arial"/>
          <w:sz w:val="24"/>
          <w:lang w:val="fr-CA"/>
        </w:rPr>
        <w:t>Si une réaction négative est obtenue avec les cellules témoins, répéter le test sur ce tube avant d’inscrire les résultats</w:t>
      </w:r>
      <w:r w:rsidR="003C00B1" w:rsidRPr="00DA6EAD">
        <w:rPr>
          <w:rFonts w:ascii="Arial" w:hAnsi="Arial"/>
          <w:sz w:val="24"/>
          <w:lang w:val="fr-CA"/>
        </w:rPr>
        <w:t xml:space="preserve">. </w:t>
      </w:r>
    </w:p>
    <w:p w:rsidR="003C00B1" w:rsidRPr="00BF2802" w:rsidRDefault="003C00B1">
      <w:pPr>
        <w:rPr>
          <w:rFonts w:ascii="Arial" w:hAnsi="Arial"/>
          <w:sz w:val="24"/>
          <w:lang w:val="fr-CA"/>
        </w:rPr>
      </w:pPr>
    </w:p>
    <w:p w:rsidR="003C00B1" w:rsidRPr="001F4231" w:rsidRDefault="006224BA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Documentation</w:t>
      </w:r>
    </w:p>
    <w:p w:rsidR="003C00B1" w:rsidRPr="001F4231" w:rsidRDefault="003C00B1">
      <w:pPr>
        <w:rPr>
          <w:rFonts w:ascii="Arial" w:hAnsi="Arial"/>
          <w:sz w:val="24"/>
          <w:lang w:val="fr-CA"/>
        </w:rPr>
      </w:pPr>
    </w:p>
    <w:p w:rsidR="003C00B1" w:rsidRPr="001F4231" w:rsidRDefault="001116AF">
      <w:pPr>
        <w:suppressAutoHyphens/>
        <w:rPr>
          <w:rFonts w:ascii="Arial" w:hAnsi="Arial"/>
          <w:spacing w:val="-2"/>
          <w:sz w:val="24"/>
          <w:u w:val="single"/>
          <w:lang w:val="fr-CA"/>
        </w:rPr>
      </w:pPr>
      <w:r w:rsidRPr="001F4231">
        <w:rPr>
          <w:rFonts w:ascii="Arial" w:hAnsi="Arial"/>
          <w:spacing w:val="-2"/>
          <w:sz w:val="24"/>
          <w:u w:val="single"/>
          <w:lang w:val="fr-CA"/>
        </w:rPr>
        <w:t>Interprétation des résultats</w:t>
      </w:r>
    </w:p>
    <w:p w:rsidR="003C00B1" w:rsidRPr="00BF2802" w:rsidRDefault="003C00B1">
      <w:pPr>
        <w:suppressAutoHyphens/>
        <w:rPr>
          <w:rFonts w:ascii="Arial" w:hAnsi="Arial"/>
          <w:spacing w:val="-2"/>
          <w:sz w:val="24"/>
          <w:u w:val="single"/>
          <w:lang w:val="fr-CA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5040"/>
      </w:tblGrid>
      <w:tr w:rsidR="003C00B1" w:rsidRPr="00BF2802">
        <w:trPr>
          <w:jc w:val="center"/>
        </w:trPr>
        <w:tc>
          <w:tcPr>
            <w:tcW w:w="9360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3C00B1" w:rsidRPr="00C230CE" w:rsidRDefault="003C00B1">
            <w:pPr>
              <w:suppressAutoHyphens/>
              <w:spacing w:before="90" w:after="54"/>
              <w:rPr>
                <w:spacing w:val="-2"/>
                <w:sz w:val="24"/>
                <w:lang w:val="fr-CA"/>
              </w:rPr>
            </w:pPr>
            <w:r w:rsidRPr="00C230CE">
              <w:rPr>
                <w:spacing w:val="-2"/>
                <w:sz w:val="24"/>
                <w:lang w:val="fr-CA"/>
              </w:rPr>
              <w:fldChar w:fldCharType="begin"/>
            </w:r>
            <w:r w:rsidRPr="00C230CE">
              <w:rPr>
                <w:spacing w:val="-2"/>
                <w:sz w:val="24"/>
                <w:lang w:val="fr-CA"/>
              </w:rPr>
              <w:instrText xml:space="preserve">PRIVATE </w:instrText>
            </w:r>
            <w:r w:rsidRPr="00C230CE">
              <w:rPr>
                <w:spacing w:val="-2"/>
                <w:sz w:val="24"/>
                <w:lang w:val="fr-CA"/>
              </w:rPr>
              <w:fldChar w:fldCharType="end"/>
            </w:r>
            <w:r w:rsidR="00590A95">
              <w:rPr>
                <w:spacing w:val="-2"/>
                <w:sz w:val="24"/>
                <w:lang w:val="fr-CA"/>
              </w:rPr>
              <w:t xml:space="preserve"> </w:t>
            </w:r>
            <w:r w:rsidR="00C8286B">
              <w:rPr>
                <w:spacing w:val="-2"/>
                <w:sz w:val="24"/>
                <w:lang w:val="fr-CA"/>
              </w:rPr>
              <w:t xml:space="preserve"> </w:t>
            </w:r>
            <w:r w:rsidRPr="00C230CE">
              <w:rPr>
                <w:spacing w:val="-2"/>
                <w:sz w:val="24"/>
                <w:u w:val="single"/>
                <w:lang w:val="fr-CA"/>
              </w:rPr>
              <w:t>R</w:t>
            </w:r>
            <w:r w:rsidR="001F4231" w:rsidRPr="00C230CE">
              <w:rPr>
                <w:spacing w:val="-2"/>
                <w:sz w:val="24"/>
                <w:u w:val="single"/>
                <w:lang w:val="fr-CA"/>
              </w:rPr>
              <w:t>é</w:t>
            </w:r>
            <w:r w:rsidRPr="00C230CE">
              <w:rPr>
                <w:spacing w:val="-2"/>
                <w:sz w:val="24"/>
                <w:u w:val="single"/>
                <w:lang w:val="fr-CA"/>
              </w:rPr>
              <w:t>activit</w:t>
            </w:r>
            <w:r w:rsidR="001F4231" w:rsidRPr="00C230CE">
              <w:rPr>
                <w:spacing w:val="-2"/>
                <w:sz w:val="24"/>
                <w:u w:val="single"/>
                <w:lang w:val="fr-CA"/>
              </w:rPr>
              <w:t>é</w:t>
            </w:r>
            <w:r w:rsidRPr="00C230CE">
              <w:rPr>
                <w:spacing w:val="-2"/>
                <w:sz w:val="24"/>
                <w:u w:val="single"/>
                <w:lang w:val="fr-CA"/>
              </w:rPr>
              <w:t xml:space="preserve"> </w:t>
            </w:r>
            <w:r w:rsidR="001F4231" w:rsidRPr="00C230CE">
              <w:rPr>
                <w:spacing w:val="-2"/>
                <w:sz w:val="24"/>
                <w:u w:val="single"/>
                <w:lang w:val="fr-CA"/>
              </w:rPr>
              <w:t xml:space="preserve">avec </w:t>
            </w:r>
            <w:r w:rsidRPr="00C230CE">
              <w:rPr>
                <w:spacing w:val="-2"/>
                <w:sz w:val="24"/>
                <w:u w:val="single"/>
                <w:lang w:val="fr-CA"/>
              </w:rPr>
              <w:t>:</w:t>
            </w:r>
          </w:p>
        </w:tc>
      </w:tr>
      <w:tr w:rsidR="003C00B1" w:rsidRPr="00BF2802">
        <w:trPr>
          <w:jc w:val="center"/>
        </w:trPr>
        <w:tc>
          <w:tcPr>
            <w:tcW w:w="21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3C00B1" w:rsidRPr="00BF2802" w:rsidRDefault="001F4231">
            <w:pPr>
              <w:suppressAutoHyphens/>
              <w:spacing w:after="54"/>
              <w:rPr>
                <w:spacing w:val="-2"/>
                <w:sz w:val="24"/>
                <w:lang w:val="fr-CA"/>
              </w:rPr>
            </w:pPr>
            <w:r>
              <w:rPr>
                <w:spacing w:val="-2"/>
                <w:sz w:val="24"/>
                <w:lang w:val="fr-CA"/>
              </w:rPr>
              <w:t xml:space="preserve">Globules rouges traités par </w:t>
            </w:r>
            <w:r w:rsidR="003C00B1" w:rsidRPr="00BF2802">
              <w:rPr>
                <w:spacing w:val="-2"/>
                <w:sz w:val="24"/>
                <w:lang w:val="fr-CA"/>
              </w:rPr>
              <w:t>AET</w:t>
            </w:r>
            <w:r w:rsidR="003C00B1" w:rsidRPr="00BF2802">
              <w:rPr>
                <w:spacing w:val="-2"/>
                <w:sz w:val="24"/>
                <w:lang w:val="fr-CA"/>
              </w:rPr>
              <w:tab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3C00B1" w:rsidRPr="00BF2802" w:rsidRDefault="001F4231">
            <w:pPr>
              <w:suppressAutoHyphens/>
              <w:spacing w:before="90"/>
              <w:rPr>
                <w:spacing w:val="-2"/>
                <w:sz w:val="24"/>
                <w:lang w:val="fr-CA"/>
              </w:rPr>
            </w:pPr>
            <w:r>
              <w:rPr>
                <w:spacing w:val="-2"/>
                <w:sz w:val="24"/>
                <w:lang w:val="fr-CA"/>
              </w:rPr>
              <w:t xml:space="preserve">Globules rouges </w:t>
            </w:r>
          </w:p>
          <w:p w:rsidR="003C00B1" w:rsidRPr="00BF2802" w:rsidRDefault="001F4231">
            <w:pPr>
              <w:suppressAutoHyphens/>
              <w:spacing w:after="54"/>
              <w:rPr>
                <w:spacing w:val="-2"/>
                <w:sz w:val="24"/>
                <w:lang w:val="fr-CA"/>
              </w:rPr>
            </w:pPr>
            <w:r>
              <w:rPr>
                <w:spacing w:val="-2"/>
                <w:sz w:val="24"/>
                <w:lang w:val="fr-CA"/>
              </w:rPr>
              <w:t>non traités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C00B1" w:rsidRPr="00C230CE" w:rsidRDefault="003C00B1">
            <w:pPr>
              <w:suppressAutoHyphens/>
              <w:spacing w:before="90"/>
              <w:rPr>
                <w:spacing w:val="-2"/>
                <w:sz w:val="24"/>
                <w:lang w:val="fr-CA"/>
              </w:rPr>
            </w:pPr>
          </w:p>
          <w:p w:rsidR="003C00B1" w:rsidRPr="00C230CE" w:rsidRDefault="003C00B1">
            <w:pPr>
              <w:suppressAutoHyphens/>
              <w:spacing w:after="54"/>
              <w:rPr>
                <w:spacing w:val="-2"/>
                <w:sz w:val="24"/>
                <w:lang w:val="fr-CA"/>
              </w:rPr>
            </w:pPr>
            <w:r w:rsidRPr="00C230CE">
              <w:rPr>
                <w:spacing w:val="-2"/>
                <w:sz w:val="24"/>
                <w:lang w:val="fr-CA"/>
              </w:rPr>
              <w:tab/>
            </w:r>
            <w:r w:rsidR="001F4231" w:rsidRPr="00C230CE">
              <w:rPr>
                <w:spacing w:val="-2"/>
                <w:sz w:val="24"/>
                <w:lang w:val="fr-CA"/>
              </w:rPr>
              <w:t>Spécificité possible de l’anticorps</w:t>
            </w:r>
          </w:p>
        </w:tc>
      </w:tr>
      <w:tr w:rsidR="003C00B1" w:rsidRPr="00BF2802">
        <w:trPr>
          <w:jc w:val="center"/>
        </w:trPr>
        <w:tc>
          <w:tcPr>
            <w:tcW w:w="2160" w:type="dxa"/>
            <w:tcBorders>
              <w:top w:val="single" w:sz="24" w:space="0" w:color="auto"/>
              <w:left w:val="double" w:sz="6" w:space="0" w:color="auto"/>
            </w:tcBorders>
          </w:tcPr>
          <w:p w:rsidR="003C00B1" w:rsidRPr="00BF2802" w:rsidRDefault="003C00B1">
            <w:pPr>
              <w:suppressAutoHyphens/>
              <w:spacing w:before="90" w:after="54"/>
              <w:rPr>
                <w:spacing w:val="-2"/>
                <w:sz w:val="24"/>
                <w:lang w:val="fr-CA"/>
              </w:rPr>
            </w:pPr>
            <w:r w:rsidRPr="00BF2802">
              <w:rPr>
                <w:spacing w:val="-2"/>
                <w:sz w:val="24"/>
                <w:lang w:val="fr-CA"/>
              </w:rPr>
              <w:tab/>
              <w:t>+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6" w:space="0" w:color="auto"/>
            </w:tcBorders>
          </w:tcPr>
          <w:p w:rsidR="003C00B1" w:rsidRPr="00BF2802" w:rsidRDefault="003C00B1">
            <w:pPr>
              <w:suppressAutoHyphens/>
              <w:spacing w:before="90" w:after="54"/>
              <w:rPr>
                <w:spacing w:val="-2"/>
                <w:sz w:val="24"/>
                <w:lang w:val="fr-CA"/>
              </w:rPr>
            </w:pPr>
            <w:r w:rsidRPr="00BF2802">
              <w:rPr>
                <w:spacing w:val="-2"/>
                <w:sz w:val="24"/>
                <w:lang w:val="fr-CA"/>
              </w:rPr>
              <w:tab/>
              <w:t>+</w:t>
            </w:r>
          </w:p>
        </w:tc>
        <w:tc>
          <w:tcPr>
            <w:tcW w:w="5040" w:type="dxa"/>
            <w:tcBorders>
              <w:top w:val="single" w:sz="24" w:space="0" w:color="auto"/>
              <w:left w:val="single" w:sz="6" w:space="0" w:color="auto"/>
              <w:right w:val="double" w:sz="6" w:space="0" w:color="auto"/>
            </w:tcBorders>
          </w:tcPr>
          <w:p w:rsidR="003C00B1" w:rsidRPr="00C230CE" w:rsidRDefault="00C8286B">
            <w:pPr>
              <w:suppressAutoHyphens/>
              <w:spacing w:before="90" w:after="54"/>
              <w:rPr>
                <w:spacing w:val="-2"/>
                <w:sz w:val="24"/>
                <w:lang w:val="fr-CA"/>
              </w:rPr>
            </w:pPr>
            <w:r>
              <w:rPr>
                <w:spacing w:val="-2"/>
                <w:sz w:val="24"/>
                <w:lang w:val="fr-CA"/>
              </w:rPr>
              <w:t xml:space="preserve"> </w:t>
            </w:r>
            <w:r w:rsidR="001F4231" w:rsidRPr="00C230CE">
              <w:rPr>
                <w:spacing w:val="-2"/>
                <w:sz w:val="24"/>
                <w:lang w:val="fr-CA"/>
              </w:rPr>
              <w:t xml:space="preserve">Ne fait pas partie du système </w:t>
            </w:r>
            <w:r w:rsidR="003C00B1" w:rsidRPr="00C230CE">
              <w:rPr>
                <w:spacing w:val="-2"/>
                <w:sz w:val="24"/>
                <w:lang w:val="fr-CA"/>
              </w:rPr>
              <w:t>Kell</w:t>
            </w:r>
          </w:p>
        </w:tc>
      </w:tr>
      <w:tr w:rsidR="003C00B1" w:rsidRPr="00BF2802">
        <w:trPr>
          <w:jc w:val="center"/>
        </w:trPr>
        <w:tc>
          <w:tcPr>
            <w:tcW w:w="2160" w:type="dxa"/>
            <w:tcBorders>
              <w:top w:val="single" w:sz="6" w:space="0" w:color="auto"/>
              <w:left w:val="double" w:sz="6" w:space="0" w:color="auto"/>
            </w:tcBorders>
          </w:tcPr>
          <w:p w:rsidR="003C00B1" w:rsidRPr="00BF2802" w:rsidRDefault="003C00B1">
            <w:pPr>
              <w:suppressAutoHyphens/>
              <w:spacing w:before="90" w:after="54"/>
              <w:rPr>
                <w:spacing w:val="-2"/>
                <w:sz w:val="24"/>
                <w:lang w:val="fr-CA"/>
              </w:rPr>
            </w:pPr>
            <w:r w:rsidRPr="00BF2802">
              <w:rPr>
                <w:spacing w:val="-2"/>
                <w:sz w:val="24"/>
                <w:lang w:val="fr-CA"/>
              </w:rPr>
              <w:tab/>
              <w:t>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</w:tcBorders>
          </w:tcPr>
          <w:p w:rsidR="003C00B1" w:rsidRPr="00BF2802" w:rsidRDefault="003C00B1">
            <w:pPr>
              <w:suppressAutoHyphens/>
              <w:spacing w:before="90" w:after="54"/>
              <w:rPr>
                <w:spacing w:val="-2"/>
                <w:sz w:val="24"/>
                <w:lang w:val="fr-CA"/>
              </w:rPr>
            </w:pPr>
            <w:r w:rsidRPr="00BF2802">
              <w:rPr>
                <w:spacing w:val="-2"/>
                <w:sz w:val="24"/>
                <w:lang w:val="fr-CA"/>
              </w:rPr>
              <w:tab/>
              <w:t>+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C00B1" w:rsidRPr="00C230CE" w:rsidRDefault="003C00B1">
            <w:pPr>
              <w:suppressAutoHyphens/>
              <w:spacing w:before="90" w:after="54"/>
              <w:rPr>
                <w:spacing w:val="-2"/>
                <w:sz w:val="24"/>
                <w:lang w:val="fr-CA"/>
              </w:rPr>
            </w:pPr>
            <w:r w:rsidRPr="00C230CE">
              <w:rPr>
                <w:spacing w:val="-2"/>
                <w:sz w:val="24"/>
                <w:lang w:val="fr-CA"/>
              </w:rPr>
              <w:t xml:space="preserve"> </w:t>
            </w:r>
            <w:r w:rsidR="001F4231" w:rsidRPr="00C230CE">
              <w:rPr>
                <w:spacing w:val="-2"/>
                <w:sz w:val="24"/>
                <w:lang w:val="fr-CA"/>
              </w:rPr>
              <w:t xml:space="preserve">Fait partie du système </w:t>
            </w:r>
            <w:r w:rsidRPr="00C230CE">
              <w:rPr>
                <w:spacing w:val="-2"/>
                <w:sz w:val="24"/>
                <w:lang w:val="fr-CA"/>
              </w:rPr>
              <w:t>Kell</w:t>
            </w:r>
          </w:p>
        </w:tc>
      </w:tr>
      <w:tr w:rsidR="003C00B1" w:rsidRPr="00BF2802">
        <w:trPr>
          <w:jc w:val="center"/>
        </w:trPr>
        <w:tc>
          <w:tcPr>
            <w:tcW w:w="2160" w:type="dxa"/>
            <w:tcBorders>
              <w:top w:val="single" w:sz="6" w:space="0" w:color="auto"/>
              <w:left w:val="double" w:sz="6" w:space="0" w:color="auto"/>
            </w:tcBorders>
          </w:tcPr>
          <w:p w:rsidR="003C00B1" w:rsidRPr="00BF2802" w:rsidRDefault="003C00B1">
            <w:pPr>
              <w:suppressAutoHyphens/>
              <w:spacing w:before="90" w:after="54"/>
              <w:rPr>
                <w:spacing w:val="-2"/>
                <w:sz w:val="24"/>
                <w:lang w:val="fr-CA"/>
              </w:rPr>
            </w:pPr>
            <w:r w:rsidRPr="00BF2802">
              <w:rPr>
                <w:spacing w:val="-2"/>
                <w:sz w:val="24"/>
                <w:lang w:val="fr-CA"/>
              </w:rPr>
              <w:tab/>
            </w:r>
            <w:r w:rsidRPr="00BF2802">
              <w:rPr>
                <w:rFonts w:ascii="Symbol" w:hAnsi="Symbol"/>
                <w:spacing w:val="-2"/>
                <w:sz w:val="24"/>
                <w:lang w:val="fr-CA"/>
              </w:rPr>
              <w:t></w:t>
            </w:r>
            <w:r w:rsidRPr="00BF2802">
              <w:rPr>
                <w:spacing w:val="-2"/>
                <w:sz w:val="24"/>
                <w:lang w:val="fr-CA"/>
              </w:rPr>
              <w:t>+ o</w:t>
            </w:r>
            <w:r w:rsidR="001F4231">
              <w:rPr>
                <w:spacing w:val="-2"/>
                <w:sz w:val="24"/>
                <w:lang w:val="fr-CA"/>
              </w:rPr>
              <w:t>u</w:t>
            </w:r>
            <w:r w:rsidRPr="00BF2802">
              <w:rPr>
                <w:spacing w:val="-2"/>
                <w:sz w:val="24"/>
                <w:lang w:val="fr-CA"/>
              </w:rPr>
              <w:t xml:space="preserve"> 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</w:tcBorders>
          </w:tcPr>
          <w:p w:rsidR="003C00B1" w:rsidRPr="00BF2802" w:rsidRDefault="003C00B1">
            <w:pPr>
              <w:suppressAutoHyphens/>
              <w:spacing w:before="90" w:after="54"/>
              <w:rPr>
                <w:spacing w:val="-2"/>
                <w:sz w:val="24"/>
                <w:lang w:val="fr-CA"/>
              </w:rPr>
            </w:pPr>
            <w:r w:rsidRPr="00BF2802">
              <w:rPr>
                <w:spacing w:val="-2"/>
                <w:sz w:val="24"/>
                <w:lang w:val="fr-CA"/>
              </w:rPr>
              <w:tab/>
              <w:t>+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C00B1" w:rsidRPr="00F44642" w:rsidRDefault="00C8286B">
            <w:pPr>
              <w:suppressAutoHyphens/>
              <w:spacing w:before="90"/>
              <w:rPr>
                <w:spacing w:val="-2"/>
                <w:sz w:val="24"/>
                <w:lang w:val="en-CA"/>
              </w:rPr>
            </w:pPr>
            <w:r w:rsidRPr="00F44642">
              <w:rPr>
                <w:spacing w:val="-2"/>
                <w:sz w:val="24"/>
                <w:lang w:val="en-CA"/>
              </w:rPr>
              <w:t xml:space="preserve"> </w:t>
            </w:r>
            <w:r w:rsidR="003C00B1" w:rsidRPr="00F44642">
              <w:rPr>
                <w:spacing w:val="-2"/>
                <w:sz w:val="24"/>
                <w:lang w:val="en-CA"/>
              </w:rPr>
              <w:t>Anti-JMH, -Kn</w:t>
            </w:r>
            <w:r w:rsidR="003C00B1" w:rsidRPr="00F44642">
              <w:rPr>
                <w:spacing w:val="-3"/>
                <w:sz w:val="24"/>
                <w:vertAlign w:val="superscript"/>
                <w:lang w:val="en-CA"/>
              </w:rPr>
              <w:t>a</w:t>
            </w:r>
            <w:r w:rsidR="003C00B1" w:rsidRPr="00F44642">
              <w:rPr>
                <w:spacing w:val="-2"/>
                <w:sz w:val="24"/>
                <w:lang w:val="en-CA"/>
              </w:rPr>
              <w:t>, -McC</w:t>
            </w:r>
            <w:r w:rsidR="003C00B1" w:rsidRPr="00F44642">
              <w:rPr>
                <w:spacing w:val="-3"/>
                <w:sz w:val="24"/>
                <w:vertAlign w:val="superscript"/>
                <w:lang w:val="en-CA"/>
              </w:rPr>
              <w:t>a</w:t>
            </w:r>
            <w:r w:rsidR="003C00B1" w:rsidRPr="00F44642">
              <w:rPr>
                <w:spacing w:val="-2"/>
                <w:sz w:val="24"/>
                <w:lang w:val="en-CA"/>
              </w:rPr>
              <w:t>, -McC</w:t>
            </w:r>
            <w:r w:rsidR="003C00B1" w:rsidRPr="00F44642">
              <w:rPr>
                <w:spacing w:val="-3"/>
                <w:sz w:val="24"/>
                <w:vertAlign w:val="superscript"/>
                <w:lang w:val="en-CA"/>
              </w:rPr>
              <w:t>d</w:t>
            </w:r>
            <w:r w:rsidR="003C00B1" w:rsidRPr="00F44642">
              <w:rPr>
                <w:spacing w:val="-2"/>
                <w:sz w:val="24"/>
                <w:lang w:val="en-CA"/>
              </w:rPr>
              <w:t>, -Gy</w:t>
            </w:r>
            <w:r w:rsidR="003C00B1" w:rsidRPr="00F44642">
              <w:rPr>
                <w:spacing w:val="-3"/>
                <w:sz w:val="24"/>
                <w:vertAlign w:val="superscript"/>
                <w:lang w:val="en-CA"/>
              </w:rPr>
              <w:t>a</w:t>
            </w:r>
            <w:r w:rsidR="003C00B1" w:rsidRPr="00F44642">
              <w:rPr>
                <w:spacing w:val="-2"/>
                <w:sz w:val="24"/>
                <w:lang w:val="en-CA"/>
              </w:rPr>
              <w:t>,</w:t>
            </w:r>
          </w:p>
          <w:p w:rsidR="003C00B1" w:rsidRPr="00C230CE" w:rsidRDefault="00C8286B">
            <w:pPr>
              <w:suppressAutoHyphens/>
              <w:spacing w:after="54"/>
              <w:rPr>
                <w:spacing w:val="-2"/>
                <w:sz w:val="24"/>
                <w:lang w:val="fr-CA"/>
              </w:rPr>
            </w:pPr>
            <w:r w:rsidRPr="00F44642">
              <w:rPr>
                <w:spacing w:val="-2"/>
                <w:sz w:val="24"/>
                <w:lang w:val="en-CA"/>
              </w:rPr>
              <w:t xml:space="preserve"> </w:t>
            </w:r>
            <w:r w:rsidR="003C00B1" w:rsidRPr="00C230CE">
              <w:rPr>
                <w:spacing w:val="-2"/>
                <w:sz w:val="24"/>
                <w:lang w:val="fr-CA"/>
              </w:rPr>
              <w:t>-Yk</w:t>
            </w:r>
            <w:r w:rsidR="003C00B1" w:rsidRPr="00C230CE">
              <w:rPr>
                <w:spacing w:val="-3"/>
                <w:sz w:val="24"/>
                <w:vertAlign w:val="superscript"/>
                <w:lang w:val="fr-CA"/>
              </w:rPr>
              <w:t>a</w:t>
            </w:r>
            <w:r w:rsidR="003C00B1" w:rsidRPr="00C230CE">
              <w:rPr>
                <w:spacing w:val="-2"/>
                <w:sz w:val="24"/>
                <w:lang w:val="fr-CA"/>
              </w:rPr>
              <w:t>, -Yt</w:t>
            </w:r>
            <w:r w:rsidR="003C00B1" w:rsidRPr="00C230CE">
              <w:rPr>
                <w:spacing w:val="-3"/>
                <w:sz w:val="24"/>
                <w:vertAlign w:val="superscript"/>
                <w:lang w:val="fr-CA"/>
              </w:rPr>
              <w:t>a</w:t>
            </w:r>
            <w:r w:rsidR="003C00B1" w:rsidRPr="00C230CE">
              <w:rPr>
                <w:spacing w:val="-2"/>
                <w:sz w:val="24"/>
                <w:lang w:val="fr-CA"/>
              </w:rPr>
              <w:t>, -Yt</w:t>
            </w:r>
            <w:r w:rsidR="003C00B1" w:rsidRPr="00C230CE">
              <w:rPr>
                <w:spacing w:val="-3"/>
                <w:sz w:val="24"/>
                <w:vertAlign w:val="superscript"/>
                <w:lang w:val="fr-CA"/>
              </w:rPr>
              <w:t>b</w:t>
            </w:r>
            <w:r w:rsidR="003C00B1" w:rsidRPr="00C230CE">
              <w:rPr>
                <w:spacing w:val="-2"/>
                <w:sz w:val="24"/>
                <w:lang w:val="fr-CA"/>
              </w:rPr>
              <w:t>, -VEL</w:t>
            </w:r>
          </w:p>
        </w:tc>
      </w:tr>
      <w:tr w:rsidR="003C00B1" w:rsidRPr="00BF2802">
        <w:trPr>
          <w:jc w:val="center"/>
        </w:trPr>
        <w:tc>
          <w:tcPr>
            <w:tcW w:w="21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3C00B1" w:rsidRPr="00BF2802" w:rsidRDefault="003C00B1">
            <w:pPr>
              <w:suppressAutoHyphens/>
              <w:spacing w:before="90" w:after="54"/>
              <w:rPr>
                <w:spacing w:val="-2"/>
                <w:sz w:val="24"/>
                <w:lang w:val="fr-CA"/>
              </w:rPr>
            </w:pPr>
            <w:r w:rsidRPr="00BF2802">
              <w:rPr>
                <w:spacing w:val="-2"/>
                <w:sz w:val="24"/>
                <w:lang w:val="fr-CA"/>
              </w:rPr>
              <w:tab/>
            </w:r>
            <w:r w:rsidRPr="00BF2802">
              <w:rPr>
                <w:rFonts w:ascii="Symbol" w:hAnsi="Symbol"/>
                <w:spacing w:val="-2"/>
                <w:sz w:val="24"/>
                <w:lang w:val="fr-CA"/>
              </w:rPr>
              <w:t></w:t>
            </w:r>
            <w:r w:rsidRPr="00BF2802">
              <w:rPr>
                <w:spacing w:val="-2"/>
                <w:sz w:val="24"/>
                <w:lang w:val="fr-CA"/>
              </w:rPr>
              <w:t>+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3C00B1" w:rsidRPr="00BF2802" w:rsidRDefault="003C00B1">
            <w:pPr>
              <w:suppressAutoHyphens/>
              <w:spacing w:before="90" w:after="54"/>
              <w:rPr>
                <w:spacing w:val="-2"/>
                <w:sz w:val="24"/>
                <w:lang w:val="fr-CA"/>
              </w:rPr>
            </w:pPr>
            <w:r w:rsidRPr="00BF2802">
              <w:rPr>
                <w:spacing w:val="-2"/>
                <w:sz w:val="24"/>
                <w:lang w:val="fr-CA"/>
              </w:rPr>
              <w:tab/>
              <w:t>+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C00B1" w:rsidRPr="00C230CE" w:rsidRDefault="00C8286B">
            <w:pPr>
              <w:suppressAutoHyphens/>
              <w:spacing w:before="90" w:after="54"/>
              <w:rPr>
                <w:spacing w:val="-2"/>
                <w:sz w:val="24"/>
                <w:lang w:val="fr-CA"/>
              </w:rPr>
            </w:pPr>
            <w:r>
              <w:rPr>
                <w:spacing w:val="-2"/>
                <w:sz w:val="24"/>
                <w:lang w:val="fr-CA"/>
              </w:rPr>
              <w:t xml:space="preserve"> </w:t>
            </w:r>
            <w:r w:rsidR="003C00B1" w:rsidRPr="00C230CE">
              <w:rPr>
                <w:spacing w:val="-2"/>
                <w:sz w:val="24"/>
                <w:lang w:val="fr-CA"/>
              </w:rPr>
              <w:t>Anti-Kx, -S, -M</w:t>
            </w:r>
          </w:p>
        </w:tc>
      </w:tr>
    </w:tbl>
    <w:p w:rsidR="003C00B1" w:rsidRPr="00BF2802" w:rsidRDefault="003C00B1">
      <w:pPr>
        <w:suppressAutoHyphens/>
        <w:rPr>
          <w:spacing w:val="-2"/>
          <w:lang w:val="fr-CA"/>
        </w:rPr>
      </w:pPr>
    </w:p>
    <w:p w:rsidR="003C00B1" w:rsidRPr="00BF2802" w:rsidRDefault="003C00B1">
      <w:pPr>
        <w:suppressAutoHyphens/>
        <w:rPr>
          <w:spacing w:val="-2"/>
          <w:lang w:val="fr-CA"/>
        </w:rPr>
      </w:pPr>
      <w:r w:rsidRPr="00BF2802">
        <w:rPr>
          <w:spacing w:val="-2"/>
          <w:lang w:val="fr-CA"/>
        </w:rPr>
        <w:t>+</w:t>
      </w:r>
      <w:r w:rsidRPr="00BF2802">
        <w:rPr>
          <w:spacing w:val="-2"/>
          <w:lang w:val="fr-CA"/>
        </w:rPr>
        <w:tab/>
        <w:t>=</w:t>
      </w:r>
      <w:r w:rsidRPr="00BF2802">
        <w:rPr>
          <w:spacing w:val="-2"/>
          <w:lang w:val="fr-CA"/>
        </w:rPr>
        <w:tab/>
        <w:t>R</w:t>
      </w:r>
      <w:r w:rsidR="001F4231">
        <w:rPr>
          <w:spacing w:val="-2"/>
          <w:lang w:val="fr-CA"/>
        </w:rPr>
        <w:t>é</w:t>
      </w:r>
      <w:r w:rsidRPr="00BF2802">
        <w:rPr>
          <w:spacing w:val="-2"/>
          <w:lang w:val="fr-CA"/>
        </w:rPr>
        <w:t>activit</w:t>
      </w:r>
      <w:r w:rsidR="001F4231">
        <w:rPr>
          <w:spacing w:val="-2"/>
          <w:lang w:val="fr-CA"/>
        </w:rPr>
        <w:t>é</w:t>
      </w:r>
    </w:p>
    <w:p w:rsidR="003C00B1" w:rsidRPr="00BF2802" w:rsidRDefault="003C00B1">
      <w:pPr>
        <w:pStyle w:val="Header"/>
        <w:tabs>
          <w:tab w:val="clear" w:pos="4320"/>
          <w:tab w:val="clear" w:pos="8640"/>
        </w:tabs>
        <w:suppressAutoHyphens/>
        <w:rPr>
          <w:spacing w:val="-2"/>
          <w:lang w:val="fr-CA"/>
        </w:rPr>
      </w:pPr>
      <w:r w:rsidRPr="00BF2802">
        <w:rPr>
          <w:spacing w:val="-2"/>
          <w:lang w:val="fr-CA"/>
        </w:rPr>
        <w:t>O</w:t>
      </w:r>
      <w:r w:rsidRPr="00BF2802">
        <w:rPr>
          <w:spacing w:val="-2"/>
          <w:lang w:val="fr-CA"/>
        </w:rPr>
        <w:tab/>
        <w:t>=</w:t>
      </w:r>
      <w:r w:rsidRPr="00BF2802">
        <w:rPr>
          <w:spacing w:val="-2"/>
          <w:lang w:val="fr-CA"/>
        </w:rPr>
        <w:tab/>
      </w:r>
      <w:r w:rsidR="001F4231">
        <w:rPr>
          <w:spacing w:val="-2"/>
          <w:lang w:val="fr-CA"/>
        </w:rPr>
        <w:t xml:space="preserve">Absence de </w:t>
      </w:r>
      <w:r w:rsidRPr="00BF2802">
        <w:rPr>
          <w:spacing w:val="-2"/>
          <w:lang w:val="fr-CA"/>
        </w:rPr>
        <w:t>r</w:t>
      </w:r>
      <w:r w:rsidR="001F4231">
        <w:rPr>
          <w:spacing w:val="-2"/>
          <w:lang w:val="fr-CA"/>
        </w:rPr>
        <w:t>é</w:t>
      </w:r>
      <w:r w:rsidRPr="00BF2802">
        <w:rPr>
          <w:spacing w:val="-2"/>
          <w:lang w:val="fr-CA"/>
        </w:rPr>
        <w:t>activit</w:t>
      </w:r>
      <w:r w:rsidR="001F4231">
        <w:rPr>
          <w:spacing w:val="-2"/>
          <w:lang w:val="fr-CA"/>
        </w:rPr>
        <w:t>é</w:t>
      </w:r>
    </w:p>
    <w:p w:rsidR="003C00B1" w:rsidRPr="00BF2802" w:rsidRDefault="003C00B1">
      <w:pPr>
        <w:suppressAutoHyphens/>
        <w:ind w:left="720" w:hanging="720"/>
        <w:rPr>
          <w:spacing w:val="-2"/>
          <w:lang w:val="fr-CA"/>
        </w:rPr>
      </w:pPr>
      <w:r w:rsidRPr="00BF2802">
        <w:rPr>
          <w:rFonts w:ascii="Symbol" w:hAnsi="Symbol"/>
          <w:spacing w:val="-2"/>
          <w:lang w:val="fr-CA"/>
        </w:rPr>
        <w:t></w:t>
      </w:r>
      <w:r w:rsidRPr="00BF2802">
        <w:rPr>
          <w:spacing w:val="-2"/>
          <w:lang w:val="fr-CA"/>
        </w:rPr>
        <w:tab/>
        <w:t>=</w:t>
      </w:r>
      <w:r w:rsidRPr="00BF2802">
        <w:rPr>
          <w:spacing w:val="-2"/>
          <w:lang w:val="fr-CA"/>
        </w:rPr>
        <w:tab/>
      </w:r>
      <w:r w:rsidR="001F4231">
        <w:rPr>
          <w:spacing w:val="-2"/>
          <w:lang w:val="fr-CA"/>
        </w:rPr>
        <w:t xml:space="preserve">Baisse </w:t>
      </w:r>
    </w:p>
    <w:p w:rsidR="003C00B1" w:rsidRPr="00BF2802" w:rsidRDefault="003C00B1">
      <w:pPr>
        <w:suppressAutoHyphens/>
        <w:rPr>
          <w:spacing w:val="-2"/>
          <w:lang w:val="fr-CA"/>
        </w:rPr>
      </w:pPr>
      <w:r w:rsidRPr="00BF2802">
        <w:rPr>
          <w:rFonts w:ascii="Symbol" w:hAnsi="Symbol"/>
          <w:spacing w:val="-2"/>
          <w:lang w:val="fr-CA"/>
        </w:rPr>
        <w:t></w:t>
      </w:r>
      <w:r w:rsidRPr="00BF2802">
        <w:rPr>
          <w:spacing w:val="-2"/>
          <w:lang w:val="fr-CA"/>
        </w:rPr>
        <w:tab/>
        <w:t>=</w:t>
      </w:r>
      <w:r w:rsidRPr="00BF2802">
        <w:rPr>
          <w:spacing w:val="-2"/>
          <w:lang w:val="fr-CA"/>
        </w:rPr>
        <w:tab/>
      </w:r>
      <w:r w:rsidR="001F4231">
        <w:rPr>
          <w:spacing w:val="-2"/>
          <w:lang w:val="fr-CA"/>
        </w:rPr>
        <w:t>Hausse</w:t>
      </w:r>
    </w:p>
    <w:p w:rsidR="003C00B1" w:rsidRPr="00BF2802" w:rsidRDefault="003C00B1">
      <w:pPr>
        <w:rPr>
          <w:rFonts w:ascii="Arial" w:hAnsi="Arial"/>
          <w:sz w:val="24"/>
          <w:lang w:val="fr-CA"/>
        </w:rPr>
      </w:pPr>
    </w:p>
    <w:p w:rsidR="003C00B1" w:rsidRPr="001F4231" w:rsidRDefault="001F4231">
      <w:pPr>
        <w:pStyle w:val="BodyText"/>
        <w:rPr>
          <w:b w:val="0"/>
          <w:bCs/>
          <w:lang w:val="fr-CA"/>
        </w:rPr>
      </w:pPr>
      <w:r w:rsidRPr="001F4231">
        <w:rPr>
          <w:b w:val="0"/>
          <w:bCs/>
          <w:lang w:val="fr-CA"/>
        </w:rPr>
        <w:t>On verra au t</w:t>
      </w:r>
      <w:r w:rsidR="003C00B1" w:rsidRPr="001F4231">
        <w:rPr>
          <w:b w:val="0"/>
          <w:bCs/>
          <w:lang w:val="fr-CA"/>
        </w:rPr>
        <w:t>able</w:t>
      </w:r>
      <w:r w:rsidRPr="001F4231">
        <w:rPr>
          <w:b w:val="0"/>
          <w:bCs/>
          <w:lang w:val="fr-CA"/>
        </w:rPr>
        <w:t>au</w:t>
      </w:r>
      <w:r w:rsidR="00964356">
        <w:rPr>
          <w:b w:val="0"/>
          <w:bCs/>
          <w:lang w:val="fr-CA"/>
        </w:rPr>
        <w:t> </w:t>
      </w:r>
      <w:r w:rsidR="00670180">
        <w:rPr>
          <w:b w:val="0"/>
          <w:bCs/>
          <w:lang w:val="fr-CA"/>
        </w:rPr>
        <w:t>PS009-</w:t>
      </w:r>
      <w:r w:rsidR="003C00B1" w:rsidRPr="001F4231">
        <w:rPr>
          <w:b w:val="0"/>
          <w:bCs/>
          <w:lang w:val="fr-CA"/>
        </w:rPr>
        <w:t xml:space="preserve">1, </w:t>
      </w:r>
      <w:r w:rsidRPr="001F4231">
        <w:rPr>
          <w:b w:val="0"/>
          <w:bCs/>
          <w:lang w:val="fr-CA"/>
        </w:rPr>
        <w:t>en</w:t>
      </w:r>
      <w:r w:rsidR="003C00B1" w:rsidRPr="001F4231">
        <w:rPr>
          <w:b w:val="0"/>
          <w:bCs/>
          <w:lang w:val="fr-CA"/>
        </w:rPr>
        <w:t xml:space="preserve"> page</w:t>
      </w:r>
      <w:r w:rsidR="00964356">
        <w:rPr>
          <w:b w:val="0"/>
          <w:bCs/>
          <w:lang w:val="fr-CA"/>
        </w:rPr>
        <w:t> </w:t>
      </w:r>
      <w:r w:rsidR="003C00B1" w:rsidRPr="001F4231">
        <w:rPr>
          <w:b w:val="0"/>
          <w:bCs/>
          <w:lang w:val="fr-CA"/>
        </w:rPr>
        <w:t xml:space="preserve">5, </w:t>
      </w:r>
      <w:r w:rsidRPr="001F4231">
        <w:rPr>
          <w:b w:val="0"/>
          <w:bCs/>
          <w:lang w:val="fr-CA"/>
        </w:rPr>
        <w:t>les effets de l’</w:t>
      </w:r>
      <w:r w:rsidR="003C00B1" w:rsidRPr="001F4231">
        <w:rPr>
          <w:b w:val="0"/>
          <w:bCs/>
          <w:lang w:val="fr-CA"/>
        </w:rPr>
        <w:t xml:space="preserve">AET </w:t>
      </w:r>
      <w:r w:rsidRPr="001F4231">
        <w:rPr>
          <w:b w:val="0"/>
          <w:bCs/>
          <w:lang w:val="fr-CA"/>
        </w:rPr>
        <w:t>sur certains antigènes</w:t>
      </w:r>
      <w:r w:rsidR="003C00B1" w:rsidRPr="001F4231">
        <w:rPr>
          <w:b w:val="0"/>
          <w:bCs/>
          <w:lang w:val="fr-CA"/>
        </w:rPr>
        <w:t>.</w:t>
      </w:r>
    </w:p>
    <w:p w:rsidR="003C00B1" w:rsidRPr="001F4231" w:rsidRDefault="003C00B1">
      <w:pPr>
        <w:rPr>
          <w:rFonts w:ascii="Arial" w:hAnsi="Arial"/>
          <w:sz w:val="24"/>
          <w:lang w:val="fr-CA"/>
        </w:rPr>
      </w:pPr>
    </w:p>
    <w:p w:rsidR="003C00B1" w:rsidRPr="001F4231" w:rsidRDefault="001116AF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1F4231">
        <w:rPr>
          <w:rFonts w:ascii="Arial" w:hAnsi="Arial"/>
          <w:b/>
          <w:color w:val="000000"/>
          <w:sz w:val="28"/>
          <w:lang w:val="fr-CA"/>
        </w:rPr>
        <w:t>Remarques</w:t>
      </w:r>
    </w:p>
    <w:p w:rsidR="003C00B1" w:rsidRPr="001F4231" w:rsidRDefault="003C00B1">
      <w:pPr>
        <w:rPr>
          <w:rFonts w:ascii="Arial" w:hAnsi="Arial"/>
          <w:sz w:val="24"/>
          <w:lang w:val="fr-CA"/>
        </w:rPr>
      </w:pPr>
    </w:p>
    <w:p w:rsidR="009A05AC" w:rsidRPr="00860541" w:rsidRDefault="00860541" w:rsidP="00860541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 w:rsidRPr="00860541">
        <w:rPr>
          <w:rFonts w:ascii="Arial" w:hAnsi="Arial"/>
          <w:spacing w:val="-2"/>
          <w:sz w:val="24"/>
          <w:lang w:val="fr-CA"/>
        </w:rPr>
        <w:t xml:space="preserve">Les hématies traitées par AET fixent les composants du complément d’une manière non spécifique. </w:t>
      </w:r>
      <w:r w:rsidR="009A05AC" w:rsidRPr="00860541">
        <w:rPr>
          <w:rFonts w:ascii="Arial" w:hAnsi="Arial"/>
          <w:spacing w:val="-2"/>
          <w:sz w:val="24"/>
          <w:lang w:val="fr-CA"/>
        </w:rPr>
        <w:t xml:space="preserve">Se servir de réactifs anti-IgG pour faire les épreuves d’antiglobuline avec des </w:t>
      </w:r>
      <w:r w:rsidRPr="00860541">
        <w:rPr>
          <w:rFonts w:ascii="Arial" w:hAnsi="Arial"/>
          <w:spacing w:val="-2"/>
          <w:sz w:val="24"/>
          <w:lang w:val="fr-CA"/>
        </w:rPr>
        <w:t xml:space="preserve">hématies </w:t>
      </w:r>
      <w:r w:rsidR="009A05AC" w:rsidRPr="00860541">
        <w:rPr>
          <w:rFonts w:ascii="Arial" w:hAnsi="Arial"/>
          <w:spacing w:val="-2"/>
          <w:sz w:val="24"/>
          <w:lang w:val="fr-CA"/>
        </w:rPr>
        <w:t>traitées par AET.</w:t>
      </w:r>
      <w:r w:rsidRPr="00860541">
        <w:rPr>
          <w:rFonts w:ascii="Arial" w:hAnsi="Arial"/>
          <w:spacing w:val="-2"/>
          <w:sz w:val="24"/>
          <w:lang w:val="fr-CA"/>
        </w:rPr>
        <w:t xml:space="preserve"> </w:t>
      </w:r>
    </w:p>
    <w:p w:rsidR="003C00B1" w:rsidRPr="001F4231" w:rsidRDefault="003C00B1">
      <w:pPr>
        <w:suppressAutoHyphens/>
        <w:ind w:left="720"/>
        <w:rPr>
          <w:rFonts w:ascii="Arial" w:hAnsi="Arial"/>
          <w:spacing w:val="-2"/>
          <w:sz w:val="24"/>
          <w:lang w:val="fr-CA"/>
        </w:rPr>
      </w:pPr>
    </w:p>
    <w:p w:rsidR="003C00B1" w:rsidRPr="001F4231" w:rsidRDefault="001F4231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 w:rsidRPr="001F4231">
        <w:rPr>
          <w:rFonts w:ascii="Arial" w:hAnsi="Arial"/>
          <w:spacing w:val="-2"/>
          <w:sz w:val="24"/>
          <w:lang w:val="fr-CA"/>
        </w:rPr>
        <w:t>Pour vérifier que l’</w:t>
      </w:r>
      <w:r w:rsidR="003C00B1" w:rsidRPr="001F4231">
        <w:rPr>
          <w:rFonts w:ascii="Arial" w:hAnsi="Arial"/>
          <w:spacing w:val="-2"/>
          <w:sz w:val="24"/>
          <w:lang w:val="fr-CA"/>
        </w:rPr>
        <w:t>AET inactiv</w:t>
      </w:r>
      <w:r w:rsidRPr="001F4231">
        <w:rPr>
          <w:rFonts w:ascii="Arial" w:hAnsi="Arial"/>
          <w:spacing w:val="-2"/>
          <w:sz w:val="24"/>
          <w:lang w:val="fr-CA"/>
        </w:rPr>
        <w:t>e les antigènes Kell, tester les hématies traitées par AET avec les antisérums appropriés</w:t>
      </w:r>
      <w:r w:rsidR="003C00B1" w:rsidRPr="001F4231">
        <w:rPr>
          <w:rFonts w:ascii="Arial" w:hAnsi="Arial"/>
          <w:spacing w:val="-2"/>
          <w:sz w:val="24"/>
          <w:lang w:val="fr-CA"/>
        </w:rPr>
        <w:t xml:space="preserve"> (</w:t>
      </w:r>
      <w:r w:rsidRPr="001F4231">
        <w:rPr>
          <w:rFonts w:ascii="Arial" w:hAnsi="Arial"/>
          <w:spacing w:val="-2"/>
          <w:sz w:val="24"/>
          <w:lang w:val="fr-CA"/>
        </w:rPr>
        <w:t xml:space="preserve">p. ex. globules rouges </w:t>
      </w:r>
      <w:r w:rsidR="003C00B1" w:rsidRPr="001F4231">
        <w:rPr>
          <w:rFonts w:ascii="Arial" w:hAnsi="Arial"/>
          <w:spacing w:val="-2"/>
          <w:sz w:val="24"/>
          <w:lang w:val="fr-CA"/>
        </w:rPr>
        <w:t xml:space="preserve">k+ </w:t>
      </w:r>
      <w:r w:rsidRPr="001F4231">
        <w:rPr>
          <w:rFonts w:ascii="Arial" w:hAnsi="Arial"/>
          <w:spacing w:val="-2"/>
          <w:sz w:val="24"/>
          <w:lang w:val="fr-CA"/>
        </w:rPr>
        <w:t>testés avec ant</w:t>
      </w:r>
      <w:r w:rsidR="003C00B1" w:rsidRPr="001F4231">
        <w:rPr>
          <w:rFonts w:ascii="Arial" w:hAnsi="Arial"/>
          <w:spacing w:val="-2"/>
          <w:sz w:val="24"/>
          <w:lang w:val="fr-CA"/>
        </w:rPr>
        <w:t>i-k).</w:t>
      </w:r>
    </w:p>
    <w:p w:rsidR="003C00B1" w:rsidRPr="00BF2802" w:rsidRDefault="003C00B1">
      <w:pPr>
        <w:suppressAutoHyphens/>
        <w:rPr>
          <w:rFonts w:ascii="Arial" w:hAnsi="Arial"/>
          <w:spacing w:val="-2"/>
          <w:sz w:val="24"/>
          <w:lang w:val="fr-CA"/>
        </w:rPr>
      </w:pPr>
    </w:p>
    <w:p w:rsidR="003C00B1" w:rsidRPr="001F4231" w:rsidRDefault="001F4231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 w:rsidRPr="001F4231">
        <w:rPr>
          <w:rFonts w:ascii="Arial" w:hAnsi="Arial"/>
          <w:spacing w:val="-2"/>
          <w:sz w:val="24"/>
          <w:lang w:val="fr-CA"/>
        </w:rPr>
        <w:t xml:space="preserve">Les tests peuvent être faits à l’aide de </w:t>
      </w:r>
      <w:r w:rsidR="00860541">
        <w:rPr>
          <w:rFonts w:ascii="Arial" w:hAnsi="Arial"/>
          <w:spacing w:val="-2"/>
          <w:sz w:val="24"/>
          <w:lang w:val="fr-CA"/>
        </w:rPr>
        <w:t xml:space="preserve">méthodes </w:t>
      </w:r>
      <w:r w:rsidRPr="001F4231">
        <w:rPr>
          <w:rFonts w:ascii="Arial" w:hAnsi="Arial"/>
          <w:spacing w:val="-2"/>
          <w:sz w:val="24"/>
          <w:lang w:val="fr-CA"/>
        </w:rPr>
        <w:t xml:space="preserve">SFCI </w:t>
      </w:r>
      <w:r w:rsidR="00860541">
        <w:rPr>
          <w:rFonts w:ascii="Arial" w:hAnsi="Arial"/>
          <w:spacing w:val="-2"/>
          <w:sz w:val="24"/>
          <w:lang w:val="fr-CA"/>
        </w:rPr>
        <w:t xml:space="preserve">ou </w:t>
      </w:r>
      <w:r w:rsidR="00A50AB5">
        <w:rPr>
          <w:rFonts w:ascii="Arial" w:hAnsi="Arial"/>
          <w:spacing w:val="-2"/>
          <w:sz w:val="24"/>
          <w:lang w:val="fr-CA"/>
        </w:rPr>
        <w:t>LIDAT</w:t>
      </w:r>
      <w:r w:rsidR="003C00B1" w:rsidRPr="00A50AB5">
        <w:rPr>
          <w:rFonts w:ascii="Arial" w:hAnsi="Arial"/>
          <w:spacing w:val="-2"/>
          <w:sz w:val="24"/>
          <w:lang w:val="fr-CA"/>
        </w:rPr>
        <w:t>.</w:t>
      </w:r>
    </w:p>
    <w:p w:rsidR="003C00B1" w:rsidRPr="001F4231" w:rsidRDefault="003C00B1">
      <w:pPr>
        <w:rPr>
          <w:rFonts w:ascii="Arial" w:hAnsi="Arial"/>
          <w:sz w:val="24"/>
          <w:lang w:val="fr-CA"/>
        </w:rPr>
      </w:pPr>
      <w:r w:rsidRPr="001F4231">
        <w:rPr>
          <w:rFonts w:ascii="Arial" w:hAnsi="Arial"/>
          <w:sz w:val="24"/>
          <w:lang w:val="fr-CA"/>
        </w:rPr>
        <w:t xml:space="preserve"> </w:t>
      </w:r>
    </w:p>
    <w:p w:rsidR="001B4A9E" w:rsidRPr="00F44642" w:rsidRDefault="001B4A9E" w:rsidP="001B4A9E">
      <w:pPr>
        <w:rPr>
          <w:rFonts w:ascii="Arial" w:hAnsi="Arial"/>
          <w:b/>
          <w:sz w:val="24"/>
          <w:lang w:val="en-CA"/>
        </w:rPr>
      </w:pPr>
      <w:r w:rsidRPr="00F44642">
        <w:rPr>
          <w:rFonts w:ascii="Arial" w:hAnsi="Arial"/>
          <w:b/>
          <w:sz w:val="28"/>
          <w:lang w:val="en-CA"/>
        </w:rPr>
        <w:t>9.0</w:t>
      </w:r>
      <w:r w:rsidRPr="00F44642">
        <w:rPr>
          <w:rFonts w:ascii="Arial" w:hAnsi="Arial"/>
          <w:b/>
          <w:sz w:val="28"/>
          <w:lang w:val="en-CA"/>
        </w:rPr>
        <w:tab/>
        <w:t>Références</w:t>
      </w:r>
      <w:r w:rsidRPr="00F44642">
        <w:rPr>
          <w:rFonts w:ascii="Arial" w:hAnsi="Arial"/>
          <w:b/>
          <w:sz w:val="28"/>
          <w:lang w:val="en-CA"/>
        </w:rPr>
        <w:br/>
      </w:r>
    </w:p>
    <w:p w:rsidR="00670180" w:rsidRPr="00F44642" w:rsidRDefault="001B4A9E" w:rsidP="001B4A9E">
      <w:pPr>
        <w:ind w:left="1418" w:hanging="709"/>
        <w:rPr>
          <w:rFonts w:ascii="Arial" w:hAnsi="Arial"/>
          <w:sz w:val="24"/>
          <w:lang w:val="en-CA"/>
        </w:rPr>
      </w:pPr>
      <w:r w:rsidRPr="00F44642">
        <w:rPr>
          <w:rFonts w:ascii="Arial" w:hAnsi="Arial"/>
          <w:sz w:val="24"/>
          <w:lang w:val="en-CA"/>
        </w:rPr>
        <w:t>9.1</w:t>
      </w:r>
      <w:r w:rsidRPr="00F44642">
        <w:rPr>
          <w:rFonts w:ascii="Arial" w:hAnsi="Arial"/>
          <w:sz w:val="24"/>
          <w:lang w:val="en-CA"/>
        </w:rPr>
        <w:tab/>
      </w:r>
      <w:r w:rsidR="00670180" w:rsidRPr="00F44642">
        <w:rPr>
          <w:rFonts w:ascii="Arial" w:hAnsi="Arial"/>
          <w:sz w:val="24"/>
          <w:lang w:val="en-CA"/>
        </w:rPr>
        <w:t>Judd, WJ, éd</w:t>
      </w:r>
      <w:r w:rsidR="00670180" w:rsidRPr="00F44642">
        <w:rPr>
          <w:rFonts w:ascii="Arial" w:hAnsi="Arial"/>
          <w:i/>
          <w:sz w:val="24"/>
          <w:lang w:val="en-CA"/>
        </w:rPr>
        <w:t>, Judd’s Methods in Immunohematology</w:t>
      </w:r>
      <w:r w:rsidR="00670180" w:rsidRPr="00F44642">
        <w:rPr>
          <w:rFonts w:ascii="Arial" w:hAnsi="Arial"/>
          <w:sz w:val="24"/>
          <w:lang w:val="en-CA"/>
        </w:rPr>
        <w:t>, 3</w:t>
      </w:r>
      <w:r w:rsidR="00670180" w:rsidRPr="00F44642">
        <w:rPr>
          <w:rFonts w:ascii="Arial" w:hAnsi="Arial"/>
          <w:sz w:val="24"/>
          <w:vertAlign w:val="superscript"/>
          <w:lang w:val="en-CA"/>
        </w:rPr>
        <w:t>e</w:t>
      </w:r>
      <w:r w:rsidR="00670180" w:rsidRPr="00F44642">
        <w:rPr>
          <w:rFonts w:ascii="Arial" w:hAnsi="Arial"/>
          <w:sz w:val="24"/>
          <w:lang w:val="en-CA"/>
        </w:rPr>
        <w:t xml:space="preserve"> éd. Bethesda, MD, American Association of Blood Banks: 271-272.</w:t>
      </w:r>
      <w:r w:rsidR="00670180" w:rsidRPr="00F44642">
        <w:rPr>
          <w:rFonts w:ascii="Arial" w:hAnsi="Arial"/>
          <w:sz w:val="24"/>
          <w:lang w:val="en-CA"/>
        </w:rPr>
        <w:br/>
      </w:r>
    </w:p>
    <w:p w:rsidR="001B4A9E" w:rsidRPr="00F44642" w:rsidRDefault="00670180" w:rsidP="001B4A9E">
      <w:pPr>
        <w:ind w:left="1418" w:hanging="709"/>
        <w:rPr>
          <w:rFonts w:ascii="Arial" w:hAnsi="Arial"/>
          <w:sz w:val="24"/>
          <w:lang w:val="en-CA"/>
        </w:rPr>
      </w:pPr>
      <w:r w:rsidRPr="00F44642">
        <w:rPr>
          <w:rFonts w:ascii="Arial" w:hAnsi="Arial"/>
          <w:sz w:val="24"/>
          <w:lang w:val="en-CA"/>
        </w:rPr>
        <w:t>9.2</w:t>
      </w:r>
      <w:r w:rsidRPr="00F44642">
        <w:rPr>
          <w:rFonts w:ascii="Arial" w:hAnsi="Arial"/>
          <w:sz w:val="24"/>
          <w:lang w:val="en-CA"/>
        </w:rPr>
        <w:tab/>
      </w:r>
      <w:r w:rsidR="001B4A9E" w:rsidRPr="00F44642">
        <w:rPr>
          <w:rFonts w:ascii="Arial" w:hAnsi="Arial"/>
          <w:sz w:val="24"/>
          <w:lang w:val="en-CA"/>
        </w:rPr>
        <w:t xml:space="preserve">Roback, JD. éd. </w:t>
      </w:r>
      <w:r w:rsidR="001B4A9E" w:rsidRPr="00F44642">
        <w:rPr>
          <w:rFonts w:ascii="Arial" w:hAnsi="Arial"/>
          <w:i/>
          <w:sz w:val="24"/>
          <w:lang w:val="en-CA"/>
        </w:rPr>
        <w:t>AABB Technical Manual</w:t>
      </w:r>
      <w:r w:rsidR="001B4A9E" w:rsidRPr="00F44642">
        <w:rPr>
          <w:rFonts w:ascii="Arial" w:hAnsi="Arial"/>
          <w:sz w:val="24"/>
          <w:lang w:val="en-CA"/>
        </w:rPr>
        <w:t>, 17</w:t>
      </w:r>
      <w:r w:rsidR="001B4A9E" w:rsidRPr="00F44642">
        <w:rPr>
          <w:rFonts w:ascii="Arial" w:hAnsi="Arial"/>
          <w:sz w:val="24"/>
          <w:vertAlign w:val="superscript"/>
          <w:lang w:val="en-CA"/>
        </w:rPr>
        <w:t>e</w:t>
      </w:r>
      <w:r w:rsidR="001B4A9E" w:rsidRPr="00F44642">
        <w:rPr>
          <w:rFonts w:ascii="Arial" w:hAnsi="Arial"/>
          <w:sz w:val="24"/>
          <w:lang w:val="en-CA"/>
        </w:rPr>
        <w:t xml:space="preserve"> éd. Bethesda MD: American Association of Blood Banks (2011) : 902-905.</w:t>
      </w:r>
      <w:r w:rsidR="001B4A9E" w:rsidRPr="00F44642">
        <w:rPr>
          <w:rFonts w:ascii="Arial" w:hAnsi="Arial"/>
          <w:sz w:val="24"/>
          <w:lang w:val="en-CA"/>
        </w:rPr>
        <w:br/>
      </w:r>
    </w:p>
    <w:p w:rsidR="001B4A9E" w:rsidRPr="00AA3396" w:rsidRDefault="001B4A9E" w:rsidP="001B4A9E">
      <w:pPr>
        <w:pStyle w:val="ListParagraph"/>
        <w:numPr>
          <w:ilvl w:val="0"/>
          <w:numId w:val="23"/>
        </w:numPr>
        <w:contextualSpacing/>
        <w:rPr>
          <w:rFonts w:ascii="Arial" w:hAnsi="Arial"/>
          <w:b/>
          <w:sz w:val="28"/>
          <w:lang w:val="fr-CA"/>
        </w:rPr>
      </w:pPr>
      <w:r w:rsidRPr="00AA3396">
        <w:rPr>
          <w:rFonts w:ascii="Arial" w:hAnsi="Arial"/>
          <w:b/>
          <w:sz w:val="28"/>
          <w:lang w:val="fr-CA"/>
        </w:rPr>
        <w:t>Suivi des révisions</w:t>
      </w:r>
      <w:r>
        <w:rPr>
          <w:rFonts w:ascii="Arial" w:hAnsi="Arial"/>
          <w:b/>
          <w:sz w:val="28"/>
          <w:lang w:val="fr-CA"/>
        </w:rPr>
        <w:softHyphen/>
      </w:r>
    </w:p>
    <w:p w:rsidR="001B4A9E" w:rsidRPr="00AA3396" w:rsidRDefault="001B4A9E" w:rsidP="001B4A9E">
      <w:pPr>
        <w:pStyle w:val="ListParagraph"/>
        <w:jc w:val="center"/>
        <w:rPr>
          <w:rFonts w:ascii="Arial" w:hAnsi="Arial"/>
          <w:b/>
          <w:sz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913"/>
      </w:tblGrid>
      <w:tr w:rsidR="001B4A9E" w:rsidRPr="00AA3396" w:rsidTr="003E48CE">
        <w:trPr>
          <w:cantSplit/>
        </w:trPr>
        <w:tc>
          <w:tcPr>
            <w:tcW w:w="2943" w:type="dxa"/>
            <w:shd w:val="clear" w:color="auto" w:fill="F2F2F2"/>
          </w:tcPr>
          <w:p w:rsidR="001B4A9E" w:rsidRPr="004050E8" w:rsidRDefault="001B4A9E" w:rsidP="006F241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Date de la révision</w:t>
            </w:r>
          </w:p>
        </w:tc>
        <w:tc>
          <w:tcPr>
            <w:tcW w:w="5913" w:type="dxa"/>
            <w:shd w:val="clear" w:color="auto" w:fill="F2F2F2"/>
          </w:tcPr>
          <w:p w:rsidR="001B4A9E" w:rsidRPr="004050E8" w:rsidRDefault="001B4A9E" w:rsidP="006F241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Résumé des changements</w:t>
            </w:r>
          </w:p>
        </w:tc>
      </w:tr>
      <w:tr w:rsidR="001B4A9E" w:rsidRPr="00AA3396" w:rsidTr="003E48CE">
        <w:trPr>
          <w:cantSplit/>
          <w:trHeight w:val="2068"/>
        </w:trPr>
        <w:tc>
          <w:tcPr>
            <w:tcW w:w="2943" w:type="dxa"/>
          </w:tcPr>
          <w:p w:rsidR="001B4A9E" w:rsidRPr="00AA3396" w:rsidRDefault="001B4A9E" w:rsidP="006F2411">
            <w:pPr>
              <w:keepLines/>
              <w:widowControl w:val="0"/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1</w:t>
            </w:r>
            <w:r w:rsidRPr="007E6852">
              <w:rPr>
                <w:rFonts w:ascii="Arial" w:hAnsi="Arial"/>
                <w:sz w:val="22"/>
                <w:szCs w:val="22"/>
                <w:vertAlign w:val="superscript"/>
                <w:lang w:val="fr-CA"/>
              </w:rPr>
              <w:t>er</w:t>
            </w:r>
            <w:r>
              <w:rPr>
                <w:rFonts w:ascii="Arial" w:hAnsi="Arial"/>
                <w:sz w:val="22"/>
                <w:szCs w:val="22"/>
                <w:lang w:val="fr-CA"/>
              </w:rPr>
              <w:t xml:space="preserve"> septembre</w:t>
            </w:r>
            <w:r w:rsidRPr="00AA3396">
              <w:rPr>
                <w:rFonts w:ascii="Arial" w:hAnsi="Arial"/>
                <w:sz w:val="22"/>
                <w:szCs w:val="22"/>
                <w:lang w:val="fr-CA"/>
              </w:rPr>
              <w:t xml:space="preserve"> 2014 </w:t>
            </w:r>
          </w:p>
        </w:tc>
        <w:tc>
          <w:tcPr>
            <w:tcW w:w="5913" w:type="dxa"/>
          </w:tcPr>
          <w:p w:rsidR="00291AF4" w:rsidRDefault="001B4A9E" w:rsidP="001B4A9E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AA3396">
              <w:rPr>
                <w:rFonts w:ascii="Arial" w:hAnsi="Arial" w:cs="Arial"/>
                <w:sz w:val="22"/>
                <w:szCs w:val="22"/>
                <w:lang w:val="fr-CA"/>
              </w:rPr>
              <w:t>Changement du nom du manuel</w:t>
            </w:r>
          </w:p>
          <w:p w:rsidR="001B4A9E" w:rsidRPr="00AA3396" w:rsidRDefault="00291AF4" w:rsidP="001B4A9E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Changement du numéro du document anciennement PS.010, maintenant, PS.009</w:t>
            </w:r>
            <w:r w:rsidR="001B4A9E" w:rsidRPr="00AA3396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  <w:p w:rsidR="003E48CE" w:rsidRDefault="003E48CE" w:rsidP="001B4A9E">
            <w:pPr>
              <w:pStyle w:val="BodyTextIndent2"/>
              <w:keepLines/>
              <w:widowControl w:val="0"/>
              <w:numPr>
                <w:ilvl w:val="0"/>
                <w:numId w:val="22"/>
              </w:numPr>
              <w:contextualSpacing/>
              <w:rPr>
                <w:rFonts w:cs="Arial"/>
                <w:sz w:val="22"/>
                <w:szCs w:val="22"/>
                <w:lang w:val="fr-CA"/>
              </w:rPr>
            </w:pPr>
            <w:r>
              <w:rPr>
                <w:rFonts w:cs="Arial"/>
                <w:sz w:val="22"/>
                <w:szCs w:val="22"/>
                <w:lang w:val="fr-CA"/>
              </w:rPr>
              <w:t>Révision des sections</w:t>
            </w:r>
            <w:r w:rsidR="00964356">
              <w:rPr>
                <w:rFonts w:cs="Arial"/>
                <w:sz w:val="22"/>
                <w:szCs w:val="22"/>
                <w:lang w:val="fr-CA"/>
              </w:rPr>
              <w:t> </w:t>
            </w:r>
            <w:r>
              <w:rPr>
                <w:rFonts w:cs="Arial"/>
                <w:sz w:val="22"/>
                <w:szCs w:val="22"/>
                <w:lang w:val="fr-CA"/>
              </w:rPr>
              <w:t>1.0 et 4.0</w:t>
            </w:r>
          </w:p>
          <w:p w:rsidR="001B4A9E" w:rsidRPr="003E48CE" w:rsidRDefault="003E48CE" w:rsidP="006F2411">
            <w:pPr>
              <w:pStyle w:val="BodyTextIndent2"/>
              <w:keepLines/>
              <w:widowControl w:val="0"/>
              <w:numPr>
                <w:ilvl w:val="0"/>
                <w:numId w:val="22"/>
              </w:numPr>
              <w:contextualSpacing/>
              <w:rPr>
                <w:rFonts w:cs="Arial"/>
                <w:sz w:val="22"/>
                <w:szCs w:val="22"/>
                <w:lang w:val="fr-CA"/>
              </w:rPr>
            </w:pPr>
            <w:r w:rsidRPr="003E48CE">
              <w:rPr>
                <w:rFonts w:cs="Arial"/>
                <w:sz w:val="22"/>
                <w:szCs w:val="22"/>
                <w:lang w:val="fr-CA"/>
              </w:rPr>
              <w:t>C</w:t>
            </w:r>
            <w:r w:rsidR="001B4A9E" w:rsidRPr="003E48CE">
              <w:rPr>
                <w:rFonts w:cs="Arial"/>
                <w:sz w:val="22"/>
                <w:szCs w:val="22"/>
                <w:lang w:val="fr-CA"/>
              </w:rPr>
              <w:t xml:space="preserve">hangement </w:t>
            </w:r>
            <w:r>
              <w:rPr>
                <w:rFonts w:cs="Arial"/>
                <w:sz w:val="22"/>
                <w:szCs w:val="22"/>
                <w:lang w:val="fr-CA"/>
              </w:rPr>
              <w:t>au libellé de la section</w:t>
            </w:r>
            <w:r w:rsidR="00964356">
              <w:rPr>
                <w:rFonts w:cs="Arial"/>
                <w:sz w:val="22"/>
                <w:szCs w:val="22"/>
                <w:lang w:val="fr-CA"/>
              </w:rPr>
              <w:t> </w:t>
            </w:r>
            <w:r>
              <w:rPr>
                <w:rFonts w:cs="Arial"/>
                <w:sz w:val="22"/>
                <w:szCs w:val="22"/>
                <w:lang w:val="fr-CA"/>
              </w:rPr>
              <w:t>3.0 pour mentionner sang total anticoagulé – tube EDTA</w:t>
            </w:r>
          </w:p>
          <w:p w:rsidR="001B4A9E" w:rsidRDefault="003E48CE" w:rsidP="001B4A9E">
            <w:pPr>
              <w:pStyle w:val="BodyTextIndent2"/>
              <w:keepLines/>
              <w:widowControl w:val="0"/>
              <w:numPr>
                <w:ilvl w:val="0"/>
                <w:numId w:val="22"/>
              </w:numPr>
              <w:contextualSpacing/>
              <w:rPr>
                <w:rFonts w:cs="Arial"/>
                <w:sz w:val="22"/>
                <w:szCs w:val="22"/>
                <w:lang w:val="fr-CA"/>
              </w:rPr>
            </w:pPr>
            <w:r>
              <w:rPr>
                <w:rFonts w:cs="Arial"/>
                <w:sz w:val="22"/>
                <w:szCs w:val="22"/>
                <w:lang w:val="fr-CA"/>
              </w:rPr>
              <w:t>Révision et renumérotation de la section</w:t>
            </w:r>
            <w:r w:rsidR="00964356">
              <w:rPr>
                <w:rFonts w:cs="Arial"/>
                <w:sz w:val="22"/>
                <w:szCs w:val="22"/>
                <w:lang w:val="fr-CA"/>
              </w:rPr>
              <w:t> </w:t>
            </w:r>
            <w:r>
              <w:rPr>
                <w:rFonts w:cs="Arial"/>
                <w:sz w:val="22"/>
                <w:szCs w:val="22"/>
                <w:lang w:val="fr-CA"/>
              </w:rPr>
              <w:t>6.0</w:t>
            </w:r>
          </w:p>
          <w:p w:rsidR="003E48CE" w:rsidRPr="00573AB4" w:rsidRDefault="003E48CE" w:rsidP="001B4A9E">
            <w:pPr>
              <w:pStyle w:val="BodyTextIndent2"/>
              <w:keepLines/>
              <w:widowControl w:val="0"/>
              <w:numPr>
                <w:ilvl w:val="0"/>
                <w:numId w:val="22"/>
              </w:numPr>
              <w:contextualSpacing/>
              <w:rPr>
                <w:rFonts w:cs="Arial"/>
                <w:sz w:val="22"/>
                <w:szCs w:val="22"/>
                <w:lang w:val="fr-CA"/>
              </w:rPr>
            </w:pPr>
            <w:r w:rsidRPr="00573AB4">
              <w:rPr>
                <w:rFonts w:cs="Arial"/>
                <w:sz w:val="22"/>
                <w:szCs w:val="22"/>
                <w:lang w:val="fr-CA"/>
              </w:rPr>
              <w:t>Mise à jour des références</w:t>
            </w:r>
            <w:r>
              <w:rPr>
                <w:rFonts w:cs="Arial"/>
                <w:sz w:val="22"/>
                <w:szCs w:val="22"/>
                <w:lang w:val="fr-CA"/>
              </w:rPr>
              <w:t xml:space="preserve"> du document</w:t>
            </w:r>
          </w:p>
          <w:p w:rsidR="001B4A9E" w:rsidRPr="00573AB4" w:rsidRDefault="003E48CE" w:rsidP="001B4A9E">
            <w:pPr>
              <w:pStyle w:val="BodyTextIndent2"/>
              <w:keepLines/>
              <w:widowControl w:val="0"/>
              <w:numPr>
                <w:ilvl w:val="0"/>
                <w:numId w:val="22"/>
              </w:numPr>
              <w:contextualSpacing/>
              <w:rPr>
                <w:rFonts w:cs="Arial"/>
                <w:sz w:val="22"/>
                <w:szCs w:val="22"/>
                <w:lang w:val="fr-CA"/>
              </w:rPr>
            </w:pPr>
            <w:r>
              <w:rPr>
                <w:rFonts w:cs="Arial"/>
                <w:sz w:val="22"/>
                <w:szCs w:val="22"/>
                <w:lang w:val="fr-CA"/>
              </w:rPr>
              <w:t>Révision et r</w:t>
            </w:r>
            <w:r w:rsidR="001B4A9E" w:rsidRPr="00573AB4">
              <w:rPr>
                <w:rFonts w:cs="Arial"/>
                <w:sz w:val="22"/>
                <w:szCs w:val="22"/>
                <w:lang w:val="fr-CA"/>
              </w:rPr>
              <w:t>enumérotation d</w:t>
            </w:r>
            <w:r>
              <w:rPr>
                <w:rFonts w:cs="Arial"/>
                <w:sz w:val="22"/>
                <w:szCs w:val="22"/>
                <w:lang w:val="fr-CA"/>
              </w:rPr>
              <w:t>u tableau</w:t>
            </w:r>
            <w:r w:rsidR="00964356">
              <w:rPr>
                <w:rFonts w:cs="Arial"/>
                <w:sz w:val="22"/>
                <w:szCs w:val="22"/>
                <w:lang w:val="fr-CA"/>
              </w:rPr>
              <w:t> </w:t>
            </w:r>
            <w:r>
              <w:rPr>
                <w:rFonts w:cs="Arial"/>
                <w:sz w:val="22"/>
                <w:szCs w:val="22"/>
                <w:lang w:val="fr-CA"/>
              </w:rPr>
              <w:t>PS.009-1</w:t>
            </w:r>
          </w:p>
          <w:p w:rsidR="001B4A9E" w:rsidRPr="00AA3396" w:rsidRDefault="001B4A9E" w:rsidP="001B4A9E">
            <w:pPr>
              <w:pStyle w:val="BodyTextIndent2"/>
              <w:keepLines/>
              <w:widowControl w:val="0"/>
              <w:numPr>
                <w:ilvl w:val="0"/>
                <w:numId w:val="22"/>
              </w:numPr>
              <w:contextualSpacing/>
              <w:rPr>
                <w:sz w:val="22"/>
                <w:szCs w:val="22"/>
                <w:lang w:val="fr-CA"/>
              </w:rPr>
            </w:pPr>
            <w:r w:rsidRPr="00573AB4">
              <w:rPr>
                <w:rFonts w:cs="Arial"/>
                <w:sz w:val="22"/>
                <w:szCs w:val="22"/>
                <w:lang w:val="fr-CA"/>
              </w:rPr>
              <w:t>Mise à jour des références</w:t>
            </w:r>
            <w:r w:rsidR="003E48CE">
              <w:rPr>
                <w:rFonts w:cs="Arial"/>
                <w:sz w:val="22"/>
                <w:szCs w:val="22"/>
                <w:lang w:val="fr-CA"/>
              </w:rPr>
              <w:t xml:space="preserve"> du tableau</w:t>
            </w:r>
            <w:r w:rsidR="00964356">
              <w:rPr>
                <w:rFonts w:cs="Arial"/>
                <w:sz w:val="22"/>
                <w:szCs w:val="22"/>
                <w:lang w:val="fr-CA"/>
              </w:rPr>
              <w:t> </w:t>
            </w:r>
            <w:r w:rsidR="003E48CE">
              <w:rPr>
                <w:rFonts w:cs="Arial"/>
                <w:sz w:val="22"/>
                <w:szCs w:val="22"/>
                <w:lang w:val="fr-CA"/>
              </w:rPr>
              <w:t>PS.009-1</w:t>
            </w:r>
          </w:p>
        </w:tc>
      </w:tr>
    </w:tbl>
    <w:p w:rsidR="001B4A9E" w:rsidRPr="009E2FC1" w:rsidRDefault="001B4A9E" w:rsidP="001B4A9E">
      <w:pPr>
        <w:rPr>
          <w:rFonts w:ascii="Arial" w:hAnsi="Arial"/>
          <w:sz w:val="24"/>
          <w:lang w:val="fr-CA"/>
        </w:rPr>
      </w:pPr>
    </w:p>
    <w:p w:rsidR="003C00B1" w:rsidRPr="00BF2802" w:rsidRDefault="003C00B1">
      <w:pPr>
        <w:ind w:left="720"/>
        <w:rPr>
          <w:rFonts w:ascii="Arial" w:hAnsi="Arial"/>
          <w:sz w:val="24"/>
          <w:lang w:val="fr-CA"/>
        </w:rPr>
      </w:pPr>
    </w:p>
    <w:p w:rsidR="003C00B1" w:rsidRPr="00BF2802" w:rsidRDefault="003C00B1">
      <w:pPr>
        <w:ind w:left="720"/>
        <w:rPr>
          <w:rFonts w:ascii="Arial" w:hAnsi="Arial"/>
          <w:sz w:val="24"/>
          <w:lang w:val="fr-CA"/>
        </w:rPr>
      </w:pPr>
    </w:p>
    <w:p w:rsidR="003C00B1" w:rsidRPr="00BF2802" w:rsidRDefault="001F4231" w:rsidP="001F4231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br w:type="page"/>
      </w:r>
    </w:p>
    <w:p w:rsidR="003C00B1" w:rsidRPr="00C230CE" w:rsidRDefault="003C00B1">
      <w:pPr>
        <w:pStyle w:val="Title"/>
        <w:rPr>
          <w:sz w:val="24"/>
          <w:lang w:val="fr-CA"/>
        </w:rPr>
      </w:pPr>
      <w:r w:rsidRPr="00C230CE">
        <w:rPr>
          <w:lang w:val="fr-CA"/>
        </w:rPr>
        <w:t>TABLE</w:t>
      </w:r>
      <w:r w:rsidR="001116AF" w:rsidRPr="00C230CE">
        <w:rPr>
          <w:lang w:val="fr-CA"/>
        </w:rPr>
        <w:t>AU</w:t>
      </w:r>
      <w:r w:rsidR="00964356">
        <w:rPr>
          <w:lang w:val="fr-CA"/>
        </w:rPr>
        <w:t> </w:t>
      </w:r>
      <w:r w:rsidR="00291AF4">
        <w:rPr>
          <w:lang w:val="fr-CA"/>
        </w:rPr>
        <w:t>PS.009-</w:t>
      </w:r>
      <w:r w:rsidRPr="00C230CE">
        <w:rPr>
          <w:lang w:val="fr-CA"/>
        </w:rPr>
        <w:t>1</w:t>
      </w:r>
    </w:p>
    <w:p w:rsidR="003C00B1" w:rsidRPr="00C230CE" w:rsidRDefault="003C00B1">
      <w:pPr>
        <w:rPr>
          <w:rFonts w:ascii="Arial" w:hAnsi="Arial"/>
          <w:sz w:val="24"/>
          <w:lang w:val="fr-CA"/>
        </w:rPr>
      </w:pPr>
      <w:r w:rsidRPr="00C230CE">
        <w:rPr>
          <w:rFonts w:ascii="Arial" w:hAnsi="Arial"/>
          <w:sz w:val="24"/>
          <w:lang w:val="fr-CA"/>
        </w:rPr>
        <w:tab/>
      </w:r>
      <w:r w:rsidRPr="00C230CE">
        <w:rPr>
          <w:rFonts w:ascii="Arial" w:hAnsi="Arial"/>
          <w:sz w:val="24"/>
          <w:lang w:val="fr-CA"/>
        </w:rPr>
        <w:tab/>
      </w:r>
      <w:r w:rsidRPr="00C230CE">
        <w:rPr>
          <w:rFonts w:ascii="Arial" w:hAnsi="Arial"/>
          <w:sz w:val="24"/>
          <w:lang w:val="fr-CA"/>
        </w:rPr>
        <w:tab/>
      </w:r>
      <w:r w:rsidRPr="00C230CE">
        <w:rPr>
          <w:rFonts w:ascii="Arial" w:hAnsi="Arial"/>
          <w:sz w:val="24"/>
          <w:lang w:val="fr-CA"/>
        </w:rPr>
        <w:tab/>
      </w:r>
    </w:p>
    <w:p w:rsidR="003C00B1" w:rsidRPr="00C230CE" w:rsidRDefault="003C00B1">
      <w:pPr>
        <w:pStyle w:val="Heading1"/>
        <w:numPr>
          <w:ilvl w:val="0"/>
          <w:numId w:val="0"/>
        </w:numPr>
        <w:jc w:val="center"/>
        <w:rPr>
          <w:rFonts w:ascii="Arial" w:hAnsi="Arial"/>
          <w:lang w:val="fr-CA"/>
        </w:rPr>
      </w:pPr>
      <w:r w:rsidRPr="00C230CE">
        <w:rPr>
          <w:rFonts w:ascii="Arial" w:hAnsi="Arial"/>
          <w:lang w:val="fr-CA"/>
        </w:rPr>
        <w:t xml:space="preserve">EFFETS </w:t>
      </w:r>
      <w:r w:rsidR="001116AF" w:rsidRPr="00C230CE">
        <w:rPr>
          <w:rFonts w:ascii="Arial" w:hAnsi="Arial"/>
          <w:lang w:val="fr-CA"/>
        </w:rPr>
        <w:t>DE L’</w:t>
      </w:r>
      <w:r w:rsidRPr="00C230CE">
        <w:rPr>
          <w:rFonts w:ascii="Arial" w:hAnsi="Arial"/>
          <w:lang w:val="fr-CA"/>
        </w:rPr>
        <w:t xml:space="preserve">AET </w:t>
      </w:r>
      <w:r w:rsidR="001116AF" w:rsidRPr="00C230CE">
        <w:rPr>
          <w:rFonts w:ascii="Arial" w:hAnsi="Arial"/>
          <w:lang w:val="fr-CA"/>
        </w:rPr>
        <w:t xml:space="preserve">SUR LES </w:t>
      </w:r>
      <w:r w:rsidRPr="00C230CE">
        <w:rPr>
          <w:rFonts w:ascii="Arial" w:hAnsi="Arial"/>
          <w:lang w:val="fr-CA"/>
        </w:rPr>
        <w:t>ANTIG</w:t>
      </w:r>
      <w:r w:rsidR="001116AF" w:rsidRPr="00C230CE">
        <w:rPr>
          <w:rFonts w:ascii="Arial" w:hAnsi="Arial"/>
          <w:lang w:val="fr-CA"/>
        </w:rPr>
        <w:t>ÈNES</w:t>
      </w:r>
    </w:p>
    <w:p w:rsidR="003C00B1" w:rsidRPr="00C230CE" w:rsidRDefault="003C00B1">
      <w:pPr>
        <w:rPr>
          <w:rFonts w:ascii="Arial" w:hAnsi="Arial"/>
          <w:sz w:val="24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3C00B1" w:rsidRPr="00C230CE">
        <w:tc>
          <w:tcPr>
            <w:tcW w:w="2952" w:type="dxa"/>
          </w:tcPr>
          <w:p w:rsidR="003C00B1" w:rsidRPr="00C230CE" w:rsidRDefault="00C230CE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/>
                <w:lang w:val="fr-CA"/>
              </w:rPr>
            </w:pPr>
            <w:r w:rsidRPr="00C230CE">
              <w:rPr>
                <w:rFonts w:ascii="Arial" w:hAnsi="Arial"/>
                <w:b/>
                <w:lang w:val="fr-CA"/>
              </w:rPr>
              <w:t>AUCUN EFFET</w:t>
            </w:r>
          </w:p>
        </w:tc>
        <w:tc>
          <w:tcPr>
            <w:tcW w:w="2952" w:type="dxa"/>
          </w:tcPr>
          <w:p w:rsidR="003C00B1" w:rsidRPr="00C230CE" w:rsidRDefault="003C00B1">
            <w:pPr>
              <w:rPr>
                <w:rFonts w:ascii="Arial" w:hAnsi="Arial"/>
                <w:b/>
                <w:sz w:val="24"/>
                <w:lang w:val="fr-CA"/>
              </w:rPr>
            </w:pPr>
            <w:r w:rsidRPr="00C230CE">
              <w:rPr>
                <w:rFonts w:ascii="Arial" w:hAnsi="Arial"/>
                <w:b/>
                <w:sz w:val="24"/>
                <w:lang w:val="fr-CA"/>
              </w:rPr>
              <w:t>D</w:t>
            </w:r>
            <w:r w:rsidR="00C230CE" w:rsidRPr="00C230CE">
              <w:rPr>
                <w:rFonts w:ascii="Arial" w:hAnsi="Arial"/>
                <w:b/>
                <w:sz w:val="24"/>
                <w:lang w:val="fr-CA"/>
              </w:rPr>
              <w:t>É</w:t>
            </w:r>
            <w:r w:rsidRPr="00C230CE">
              <w:rPr>
                <w:rFonts w:ascii="Arial" w:hAnsi="Arial"/>
                <w:b/>
                <w:sz w:val="24"/>
                <w:lang w:val="fr-CA"/>
              </w:rPr>
              <w:t>NATUR</w:t>
            </w:r>
            <w:r w:rsidR="00C230CE" w:rsidRPr="00C230CE">
              <w:rPr>
                <w:rFonts w:ascii="Arial" w:hAnsi="Arial"/>
                <w:b/>
                <w:sz w:val="24"/>
                <w:lang w:val="fr-CA"/>
              </w:rPr>
              <w:t>ATION</w:t>
            </w:r>
          </w:p>
        </w:tc>
        <w:tc>
          <w:tcPr>
            <w:tcW w:w="2952" w:type="dxa"/>
          </w:tcPr>
          <w:p w:rsidR="003C00B1" w:rsidRPr="00C230CE" w:rsidRDefault="000C2082">
            <w:pPr>
              <w:rPr>
                <w:rFonts w:ascii="Arial" w:hAnsi="Arial"/>
                <w:b/>
                <w:sz w:val="24"/>
                <w:lang w:val="fr-CA"/>
              </w:rPr>
            </w:pPr>
            <w:r>
              <w:rPr>
                <w:rFonts w:ascii="Arial" w:hAnsi="Arial"/>
                <w:b/>
                <w:sz w:val="24"/>
                <w:lang w:val="fr-CA"/>
              </w:rPr>
              <w:t>INTENSIFICATION</w:t>
            </w:r>
          </w:p>
        </w:tc>
      </w:tr>
      <w:tr w:rsidR="003C00B1" w:rsidRPr="00C230CE">
        <w:tc>
          <w:tcPr>
            <w:tcW w:w="2952" w:type="dxa"/>
          </w:tcPr>
          <w:p w:rsidR="003C00B1" w:rsidRPr="00C230CE" w:rsidRDefault="003C00B1">
            <w:pPr>
              <w:rPr>
                <w:rFonts w:ascii="Arial" w:hAnsi="Arial"/>
                <w:lang w:val="fr-CA"/>
              </w:rPr>
            </w:pPr>
            <w:r w:rsidRPr="00C230CE">
              <w:rPr>
                <w:rFonts w:ascii="Arial" w:hAnsi="Arial"/>
                <w:lang w:val="fr-CA"/>
              </w:rPr>
              <w:t>ABH</w:t>
            </w:r>
          </w:p>
        </w:tc>
        <w:tc>
          <w:tcPr>
            <w:tcW w:w="2952" w:type="dxa"/>
          </w:tcPr>
          <w:p w:rsidR="003C00B1" w:rsidRPr="00C230CE" w:rsidRDefault="003C00B1">
            <w:pPr>
              <w:rPr>
                <w:rFonts w:ascii="Arial" w:hAnsi="Arial"/>
                <w:lang w:val="fr-CA"/>
              </w:rPr>
            </w:pPr>
            <w:r w:rsidRPr="00C230CE">
              <w:rPr>
                <w:rFonts w:ascii="Arial" w:hAnsi="Arial"/>
                <w:lang w:val="fr-CA"/>
              </w:rPr>
              <w:t>K, k</w:t>
            </w:r>
          </w:p>
        </w:tc>
        <w:tc>
          <w:tcPr>
            <w:tcW w:w="2952" w:type="dxa"/>
          </w:tcPr>
          <w:p w:rsidR="003C00B1" w:rsidRPr="00C230CE" w:rsidRDefault="003C00B1">
            <w:pPr>
              <w:rPr>
                <w:rFonts w:ascii="Arial" w:hAnsi="Arial"/>
                <w:lang w:val="fr-CA"/>
              </w:rPr>
            </w:pPr>
            <w:r w:rsidRPr="00C230CE">
              <w:rPr>
                <w:rFonts w:ascii="Arial" w:hAnsi="Arial"/>
                <w:lang w:val="fr-CA"/>
              </w:rPr>
              <w:t>K15</w:t>
            </w:r>
          </w:p>
        </w:tc>
      </w:tr>
      <w:tr w:rsidR="003C00B1" w:rsidRPr="00C230CE">
        <w:tc>
          <w:tcPr>
            <w:tcW w:w="2952" w:type="dxa"/>
          </w:tcPr>
          <w:p w:rsidR="003C00B1" w:rsidRPr="00F44642" w:rsidRDefault="003C00B1">
            <w:pPr>
              <w:rPr>
                <w:rFonts w:ascii="Arial" w:hAnsi="Arial"/>
                <w:lang w:val="en-CA"/>
              </w:rPr>
            </w:pPr>
            <w:r w:rsidRPr="00F44642">
              <w:rPr>
                <w:rFonts w:ascii="Arial" w:hAnsi="Arial"/>
                <w:lang w:val="en-CA"/>
              </w:rPr>
              <w:t>Rh, (C, C</w:t>
            </w:r>
            <w:r w:rsidRPr="00F44642">
              <w:rPr>
                <w:rFonts w:ascii="Arial" w:hAnsi="Arial"/>
                <w:vertAlign w:val="superscript"/>
                <w:lang w:val="en-CA"/>
              </w:rPr>
              <w:t>w</w:t>
            </w:r>
            <w:r w:rsidRPr="00F44642">
              <w:rPr>
                <w:rFonts w:ascii="Arial" w:hAnsi="Arial"/>
                <w:lang w:val="en-CA"/>
              </w:rPr>
              <w:t>, D, c, E, e, Rh</w:t>
            </w:r>
            <w:r w:rsidR="00964356" w:rsidRPr="00F44642">
              <w:rPr>
                <w:rFonts w:ascii="Arial" w:hAnsi="Arial"/>
                <w:lang w:val="en-CA"/>
              </w:rPr>
              <w:t> </w:t>
            </w:r>
            <w:r w:rsidRPr="00F44642">
              <w:rPr>
                <w:rFonts w:ascii="Arial" w:hAnsi="Arial"/>
                <w:lang w:val="en-CA"/>
              </w:rPr>
              <w:t>29)</w:t>
            </w:r>
          </w:p>
        </w:tc>
        <w:tc>
          <w:tcPr>
            <w:tcW w:w="2952" w:type="dxa"/>
          </w:tcPr>
          <w:p w:rsidR="003C00B1" w:rsidRPr="00C230CE" w:rsidRDefault="003C00B1">
            <w:pPr>
              <w:rPr>
                <w:rFonts w:ascii="Arial" w:hAnsi="Arial"/>
                <w:lang w:val="fr-CA"/>
              </w:rPr>
            </w:pPr>
            <w:r w:rsidRPr="00C230CE">
              <w:rPr>
                <w:rFonts w:ascii="Arial" w:hAnsi="Arial"/>
                <w:lang w:val="fr-CA"/>
              </w:rPr>
              <w:t>Kp(a) Kp(b) Kp(c)</w:t>
            </w:r>
          </w:p>
        </w:tc>
        <w:tc>
          <w:tcPr>
            <w:tcW w:w="2952" w:type="dxa"/>
          </w:tcPr>
          <w:p w:rsidR="003C00B1" w:rsidRPr="00C230CE" w:rsidRDefault="003C00B1">
            <w:pPr>
              <w:rPr>
                <w:rFonts w:ascii="Arial" w:hAnsi="Arial"/>
                <w:lang w:val="fr-CA"/>
              </w:rPr>
            </w:pPr>
          </w:p>
        </w:tc>
      </w:tr>
      <w:tr w:rsidR="003C00B1" w:rsidRPr="00C230CE">
        <w:tc>
          <w:tcPr>
            <w:tcW w:w="2952" w:type="dxa"/>
          </w:tcPr>
          <w:p w:rsidR="003C00B1" w:rsidRPr="00C230CE" w:rsidRDefault="003C00B1">
            <w:pPr>
              <w:rPr>
                <w:rFonts w:ascii="Arial" w:hAnsi="Arial"/>
                <w:lang w:val="fr-CA"/>
              </w:rPr>
            </w:pPr>
            <w:r w:rsidRPr="00C230CE">
              <w:rPr>
                <w:rFonts w:ascii="Arial" w:hAnsi="Arial"/>
                <w:lang w:val="fr-CA"/>
              </w:rPr>
              <w:t>Lewis (Le</w:t>
            </w:r>
            <w:r w:rsidRPr="00C230CE">
              <w:rPr>
                <w:rFonts w:ascii="Arial" w:hAnsi="Arial"/>
                <w:vertAlign w:val="superscript"/>
                <w:lang w:val="fr-CA"/>
              </w:rPr>
              <w:t>a</w:t>
            </w:r>
            <w:r w:rsidRPr="00C230CE">
              <w:rPr>
                <w:rFonts w:ascii="Arial" w:hAnsi="Arial"/>
                <w:lang w:val="fr-CA"/>
              </w:rPr>
              <w:t>, Le</w:t>
            </w:r>
            <w:r w:rsidRPr="00C230CE">
              <w:rPr>
                <w:rFonts w:ascii="Arial" w:hAnsi="Arial"/>
                <w:vertAlign w:val="superscript"/>
                <w:lang w:val="fr-CA"/>
              </w:rPr>
              <w:t>b</w:t>
            </w:r>
            <w:r w:rsidRPr="00C230CE">
              <w:rPr>
                <w:rFonts w:ascii="Arial" w:hAnsi="Arial"/>
                <w:lang w:val="fr-CA"/>
              </w:rPr>
              <w:t>)</w:t>
            </w:r>
          </w:p>
        </w:tc>
        <w:tc>
          <w:tcPr>
            <w:tcW w:w="2952" w:type="dxa"/>
          </w:tcPr>
          <w:p w:rsidR="003C00B1" w:rsidRPr="00C230CE" w:rsidRDefault="003C00B1">
            <w:pPr>
              <w:rPr>
                <w:rFonts w:ascii="Arial" w:hAnsi="Arial"/>
                <w:lang w:val="fr-CA"/>
              </w:rPr>
            </w:pPr>
            <w:r w:rsidRPr="00C230CE">
              <w:rPr>
                <w:rFonts w:ascii="Arial" w:hAnsi="Arial"/>
                <w:lang w:val="fr-CA"/>
              </w:rPr>
              <w:t>K</w:t>
            </w:r>
            <w:r w:rsidRPr="00C230CE">
              <w:rPr>
                <w:rFonts w:ascii="Arial" w:hAnsi="Arial"/>
                <w:vertAlign w:val="superscript"/>
                <w:lang w:val="fr-CA"/>
              </w:rPr>
              <w:t>u</w:t>
            </w:r>
          </w:p>
        </w:tc>
        <w:tc>
          <w:tcPr>
            <w:tcW w:w="2952" w:type="dxa"/>
          </w:tcPr>
          <w:p w:rsidR="003C00B1" w:rsidRPr="00C230CE" w:rsidRDefault="003C00B1">
            <w:pPr>
              <w:rPr>
                <w:rFonts w:ascii="Arial" w:hAnsi="Arial"/>
                <w:lang w:val="fr-CA"/>
              </w:rPr>
            </w:pPr>
          </w:p>
        </w:tc>
      </w:tr>
      <w:tr w:rsidR="003C00B1" w:rsidRPr="00C230CE">
        <w:tc>
          <w:tcPr>
            <w:tcW w:w="2952" w:type="dxa"/>
          </w:tcPr>
          <w:p w:rsidR="003C00B1" w:rsidRPr="00C230CE" w:rsidRDefault="003C00B1">
            <w:pPr>
              <w:rPr>
                <w:rFonts w:ascii="Arial" w:hAnsi="Arial"/>
                <w:lang w:val="fr-CA"/>
              </w:rPr>
            </w:pPr>
            <w:r w:rsidRPr="00C230CE">
              <w:rPr>
                <w:rFonts w:ascii="Arial" w:hAnsi="Arial"/>
                <w:lang w:val="fr-CA"/>
              </w:rPr>
              <w:t>P</w:t>
            </w:r>
            <w:r w:rsidRPr="00C230CE">
              <w:rPr>
                <w:rFonts w:ascii="Arial" w:hAnsi="Arial"/>
                <w:vertAlign w:val="subscript"/>
                <w:lang w:val="fr-CA"/>
              </w:rPr>
              <w:t>1</w:t>
            </w:r>
          </w:p>
        </w:tc>
        <w:tc>
          <w:tcPr>
            <w:tcW w:w="2952" w:type="dxa"/>
          </w:tcPr>
          <w:p w:rsidR="003C00B1" w:rsidRPr="00C230CE" w:rsidRDefault="003C00B1">
            <w:pPr>
              <w:rPr>
                <w:rFonts w:ascii="Arial" w:hAnsi="Arial"/>
                <w:lang w:val="fr-CA"/>
              </w:rPr>
            </w:pPr>
            <w:r w:rsidRPr="00C230CE">
              <w:rPr>
                <w:rFonts w:ascii="Arial" w:hAnsi="Arial"/>
                <w:lang w:val="fr-CA"/>
              </w:rPr>
              <w:t>Js</w:t>
            </w:r>
            <w:r w:rsidRPr="00C230CE">
              <w:rPr>
                <w:rFonts w:ascii="Arial" w:hAnsi="Arial"/>
                <w:vertAlign w:val="superscript"/>
                <w:lang w:val="fr-CA"/>
              </w:rPr>
              <w:t>a</w:t>
            </w:r>
            <w:r w:rsidRPr="00C230CE">
              <w:rPr>
                <w:rFonts w:ascii="Arial" w:hAnsi="Arial"/>
                <w:lang w:val="fr-CA"/>
              </w:rPr>
              <w:t>, Js</w:t>
            </w:r>
            <w:r w:rsidRPr="00C230CE">
              <w:rPr>
                <w:rFonts w:ascii="Arial" w:hAnsi="Arial"/>
                <w:vertAlign w:val="superscript"/>
                <w:lang w:val="fr-CA"/>
              </w:rPr>
              <w:t>b</w:t>
            </w:r>
          </w:p>
        </w:tc>
        <w:tc>
          <w:tcPr>
            <w:tcW w:w="2952" w:type="dxa"/>
          </w:tcPr>
          <w:p w:rsidR="003C00B1" w:rsidRPr="00C230CE" w:rsidRDefault="003C00B1">
            <w:pPr>
              <w:rPr>
                <w:rFonts w:ascii="Arial" w:hAnsi="Arial"/>
                <w:lang w:val="fr-CA"/>
              </w:rPr>
            </w:pPr>
          </w:p>
        </w:tc>
      </w:tr>
      <w:tr w:rsidR="003C00B1" w:rsidRPr="00C230CE">
        <w:tc>
          <w:tcPr>
            <w:tcW w:w="2952" w:type="dxa"/>
          </w:tcPr>
          <w:p w:rsidR="003C00B1" w:rsidRPr="00C230CE" w:rsidRDefault="003C00B1">
            <w:pPr>
              <w:rPr>
                <w:rFonts w:ascii="Arial" w:hAnsi="Arial"/>
                <w:lang w:val="fr-CA"/>
              </w:rPr>
            </w:pPr>
            <w:r w:rsidRPr="00C230CE">
              <w:rPr>
                <w:rFonts w:ascii="Arial" w:hAnsi="Arial"/>
                <w:lang w:val="fr-CA"/>
              </w:rPr>
              <w:t>MNSs</w:t>
            </w:r>
          </w:p>
        </w:tc>
        <w:tc>
          <w:tcPr>
            <w:tcW w:w="2952" w:type="dxa"/>
          </w:tcPr>
          <w:p w:rsidR="003C00B1" w:rsidRPr="00C230CE" w:rsidRDefault="003C00B1">
            <w:pPr>
              <w:rPr>
                <w:rFonts w:ascii="Arial" w:hAnsi="Arial"/>
                <w:lang w:val="fr-CA"/>
              </w:rPr>
            </w:pPr>
            <w:r w:rsidRPr="00C230CE">
              <w:rPr>
                <w:rFonts w:ascii="Arial" w:hAnsi="Arial"/>
                <w:lang w:val="fr-CA"/>
              </w:rPr>
              <w:t>K17, 11</w:t>
            </w:r>
          </w:p>
        </w:tc>
        <w:tc>
          <w:tcPr>
            <w:tcW w:w="2952" w:type="dxa"/>
          </w:tcPr>
          <w:p w:rsidR="003C00B1" w:rsidRPr="00C230CE" w:rsidRDefault="003C00B1" w:rsidP="00670180">
            <w:pPr>
              <w:rPr>
                <w:rFonts w:ascii="Arial" w:hAnsi="Arial"/>
                <w:lang w:val="fr-CA"/>
              </w:rPr>
            </w:pPr>
            <w:r w:rsidRPr="00C230CE">
              <w:rPr>
                <w:rFonts w:ascii="Arial" w:hAnsi="Arial"/>
                <w:lang w:val="fr-CA"/>
              </w:rPr>
              <w:t>Le</w:t>
            </w:r>
            <w:r w:rsidRPr="00C230CE">
              <w:rPr>
                <w:rFonts w:ascii="Arial" w:hAnsi="Arial"/>
                <w:vertAlign w:val="superscript"/>
                <w:lang w:val="fr-CA"/>
              </w:rPr>
              <w:t>a</w:t>
            </w:r>
            <w:r w:rsidRPr="00C230CE">
              <w:rPr>
                <w:rFonts w:ascii="Arial" w:hAnsi="Arial"/>
                <w:lang w:val="fr-CA"/>
              </w:rPr>
              <w:t xml:space="preserve"> </w:t>
            </w:r>
            <w:r w:rsidR="00A50AB5">
              <w:rPr>
                <w:rFonts w:ascii="Arial" w:hAnsi="Arial"/>
                <w:lang w:val="fr-CA"/>
              </w:rPr>
              <w:t xml:space="preserve">– résultats obtenus à </w:t>
            </w:r>
            <w:r w:rsidR="007B2AA9">
              <w:rPr>
                <w:rFonts w:ascii="Arial" w:hAnsi="Arial"/>
                <w:lang w:val="fr-CA"/>
              </w:rPr>
              <w:t>L’HO-</w:t>
            </w:r>
            <w:r w:rsidR="00A50AB5">
              <w:rPr>
                <w:rFonts w:ascii="Arial" w:hAnsi="Arial"/>
                <w:lang w:val="fr-CA"/>
              </w:rPr>
              <w:t>C</w:t>
            </w:r>
            <w:r w:rsidR="00670180">
              <w:rPr>
                <w:rFonts w:ascii="Arial" w:hAnsi="Arial"/>
                <w:lang w:val="fr-CA"/>
              </w:rPr>
              <w:t>ampus Civic</w:t>
            </w:r>
            <w:r w:rsidR="00A50AB5" w:rsidRPr="00C230CE">
              <w:rPr>
                <w:rFonts w:ascii="Arial" w:hAnsi="Arial"/>
                <w:lang w:val="fr-CA"/>
              </w:rPr>
              <w:t xml:space="preserve"> </w:t>
            </w:r>
          </w:p>
        </w:tc>
      </w:tr>
      <w:tr w:rsidR="003C00B1" w:rsidRPr="00C230CE">
        <w:tc>
          <w:tcPr>
            <w:tcW w:w="2952" w:type="dxa"/>
          </w:tcPr>
          <w:p w:rsidR="003C00B1" w:rsidRPr="00C230CE" w:rsidRDefault="003C00B1">
            <w:pPr>
              <w:rPr>
                <w:rFonts w:ascii="Arial" w:hAnsi="Arial"/>
                <w:lang w:val="fr-CA"/>
              </w:rPr>
            </w:pPr>
            <w:r w:rsidRPr="00C230CE">
              <w:rPr>
                <w:rFonts w:ascii="Arial" w:hAnsi="Arial"/>
                <w:lang w:val="fr-CA"/>
              </w:rPr>
              <w:t>Kidd (Jk</w:t>
            </w:r>
            <w:r w:rsidRPr="00C230CE">
              <w:rPr>
                <w:rFonts w:ascii="Arial" w:hAnsi="Arial"/>
                <w:vertAlign w:val="superscript"/>
                <w:lang w:val="fr-CA"/>
              </w:rPr>
              <w:t>a</w:t>
            </w:r>
            <w:r w:rsidRPr="00C230CE">
              <w:rPr>
                <w:rFonts w:ascii="Arial" w:hAnsi="Arial"/>
                <w:lang w:val="fr-CA"/>
              </w:rPr>
              <w:t>, Jk</w:t>
            </w:r>
            <w:r w:rsidRPr="00C230CE">
              <w:rPr>
                <w:rFonts w:ascii="Arial" w:hAnsi="Arial"/>
                <w:vertAlign w:val="superscript"/>
                <w:lang w:val="fr-CA"/>
              </w:rPr>
              <w:t>b</w:t>
            </w:r>
            <w:r w:rsidRPr="00C230CE">
              <w:rPr>
                <w:rFonts w:ascii="Arial" w:hAnsi="Arial"/>
                <w:lang w:val="fr-CA"/>
              </w:rPr>
              <w:t>, Jk3)</w:t>
            </w:r>
          </w:p>
        </w:tc>
        <w:tc>
          <w:tcPr>
            <w:tcW w:w="2952" w:type="dxa"/>
          </w:tcPr>
          <w:p w:rsidR="003C00B1" w:rsidRPr="00C230CE" w:rsidRDefault="003C00B1">
            <w:pPr>
              <w:rPr>
                <w:rFonts w:ascii="Arial" w:hAnsi="Arial"/>
                <w:lang w:val="fr-CA"/>
              </w:rPr>
            </w:pPr>
            <w:r w:rsidRPr="00C230CE">
              <w:rPr>
                <w:rFonts w:ascii="Arial" w:hAnsi="Arial"/>
                <w:lang w:val="fr-CA"/>
              </w:rPr>
              <w:t>U1(a)</w:t>
            </w:r>
          </w:p>
        </w:tc>
        <w:tc>
          <w:tcPr>
            <w:tcW w:w="2952" w:type="dxa"/>
          </w:tcPr>
          <w:p w:rsidR="003C00B1" w:rsidRPr="00C230CE" w:rsidRDefault="003C00B1">
            <w:pPr>
              <w:rPr>
                <w:rFonts w:ascii="Arial" w:hAnsi="Arial"/>
                <w:lang w:val="fr-CA"/>
              </w:rPr>
            </w:pPr>
            <w:r w:rsidRPr="00C230CE">
              <w:rPr>
                <w:rFonts w:ascii="Arial" w:hAnsi="Arial"/>
                <w:lang w:val="fr-CA"/>
              </w:rPr>
              <w:t>*Le</w:t>
            </w:r>
            <w:r w:rsidRPr="00C230CE">
              <w:rPr>
                <w:rFonts w:ascii="Arial" w:hAnsi="Arial"/>
                <w:vertAlign w:val="superscript"/>
                <w:lang w:val="fr-CA"/>
              </w:rPr>
              <w:t>b</w:t>
            </w:r>
            <w:r w:rsidRPr="00C230CE">
              <w:rPr>
                <w:rFonts w:ascii="Arial" w:hAnsi="Arial"/>
                <w:lang w:val="fr-CA"/>
              </w:rPr>
              <w:t xml:space="preserve"> </w:t>
            </w:r>
          </w:p>
        </w:tc>
      </w:tr>
      <w:tr w:rsidR="003C00B1" w:rsidRPr="00C230CE">
        <w:tc>
          <w:tcPr>
            <w:tcW w:w="2952" w:type="dxa"/>
          </w:tcPr>
          <w:p w:rsidR="003C00B1" w:rsidRPr="00C230CE" w:rsidRDefault="003C00B1">
            <w:pPr>
              <w:rPr>
                <w:rFonts w:ascii="Arial" w:hAnsi="Arial"/>
                <w:lang w:val="fr-CA"/>
              </w:rPr>
            </w:pPr>
            <w:r w:rsidRPr="00C230CE">
              <w:rPr>
                <w:rFonts w:ascii="Arial" w:hAnsi="Arial"/>
                <w:lang w:val="fr-CA"/>
              </w:rPr>
              <w:t>Sp</w:t>
            </w:r>
            <w:r w:rsidRPr="00C230CE">
              <w:rPr>
                <w:rFonts w:ascii="Arial" w:hAnsi="Arial"/>
                <w:vertAlign w:val="subscript"/>
                <w:lang w:val="fr-CA"/>
              </w:rPr>
              <w:t>1</w:t>
            </w:r>
          </w:p>
        </w:tc>
        <w:tc>
          <w:tcPr>
            <w:tcW w:w="2952" w:type="dxa"/>
          </w:tcPr>
          <w:p w:rsidR="003C00B1" w:rsidRPr="00C230CE" w:rsidRDefault="003C00B1">
            <w:pPr>
              <w:rPr>
                <w:rFonts w:ascii="Arial" w:hAnsi="Arial"/>
                <w:lang w:val="fr-CA"/>
              </w:rPr>
            </w:pPr>
            <w:r w:rsidRPr="00C230CE">
              <w:rPr>
                <w:rFonts w:ascii="Arial" w:hAnsi="Arial"/>
                <w:lang w:val="fr-CA"/>
              </w:rPr>
              <w:t>K12, 13, 14, 18, 19</w:t>
            </w:r>
          </w:p>
        </w:tc>
        <w:tc>
          <w:tcPr>
            <w:tcW w:w="2952" w:type="dxa"/>
          </w:tcPr>
          <w:p w:rsidR="003C00B1" w:rsidRPr="00C230CE" w:rsidRDefault="003C00B1">
            <w:pPr>
              <w:rPr>
                <w:rFonts w:ascii="Arial" w:hAnsi="Arial"/>
                <w:lang w:val="fr-CA"/>
              </w:rPr>
            </w:pPr>
            <w:r w:rsidRPr="00C230CE">
              <w:rPr>
                <w:rFonts w:ascii="Arial" w:hAnsi="Arial"/>
                <w:lang w:val="fr-CA"/>
              </w:rPr>
              <w:t>Duffy (Fy</w:t>
            </w:r>
            <w:r w:rsidRPr="00C230CE">
              <w:rPr>
                <w:rFonts w:ascii="Arial" w:hAnsi="Arial"/>
                <w:vertAlign w:val="superscript"/>
                <w:lang w:val="fr-CA"/>
              </w:rPr>
              <w:t>a</w:t>
            </w:r>
            <w:r w:rsidRPr="00C230CE">
              <w:rPr>
                <w:rFonts w:ascii="Arial" w:hAnsi="Arial"/>
                <w:lang w:val="fr-CA"/>
              </w:rPr>
              <w:t>)</w:t>
            </w:r>
          </w:p>
        </w:tc>
      </w:tr>
      <w:tr w:rsidR="003C00B1" w:rsidRPr="00C230CE">
        <w:tc>
          <w:tcPr>
            <w:tcW w:w="2952" w:type="dxa"/>
          </w:tcPr>
          <w:p w:rsidR="003C00B1" w:rsidRPr="00C230CE" w:rsidRDefault="003C00B1">
            <w:pPr>
              <w:rPr>
                <w:rFonts w:ascii="Arial" w:hAnsi="Arial"/>
                <w:lang w:val="fr-CA"/>
              </w:rPr>
            </w:pPr>
            <w:r w:rsidRPr="00C230CE">
              <w:rPr>
                <w:rFonts w:ascii="Arial" w:hAnsi="Arial"/>
                <w:lang w:val="fr-CA"/>
              </w:rPr>
              <w:t>Ii</w:t>
            </w:r>
          </w:p>
        </w:tc>
        <w:tc>
          <w:tcPr>
            <w:tcW w:w="2952" w:type="dxa"/>
          </w:tcPr>
          <w:p w:rsidR="003C00B1" w:rsidRPr="00C230CE" w:rsidRDefault="003C00B1">
            <w:pPr>
              <w:rPr>
                <w:rFonts w:ascii="Arial" w:hAnsi="Arial"/>
                <w:lang w:val="fr-CA"/>
              </w:rPr>
            </w:pPr>
            <w:r w:rsidRPr="00C230CE">
              <w:rPr>
                <w:rFonts w:ascii="Arial" w:hAnsi="Arial"/>
                <w:lang w:val="fr-CA"/>
              </w:rPr>
              <w:t>K20, 22</w:t>
            </w:r>
          </w:p>
        </w:tc>
        <w:tc>
          <w:tcPr>
            <w:tcW w:w="2952" w:type="dxa"/>
          </w:tcPr>
          <w:p w:rsidR="003C00B1" w:rsidRPr="00C230CE" w:rsidRDefault="007B2AA9">
            <w:p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E</w:t>
            </w:r>
          </w:p>
        </w:tc>
      </w:tr>
      <w:tr w:rsidR="003C00B1" w:rsidRPr="00C230CE">
        <w:tc>
          <w:tcPr>
            <w:tcW w:w="2952" w:type="dxa"/>
          </w:tcPr>
          <w:p w:rsidR="003C00B1" w:rsidRPr="00C230CE" w:rsidRDefault="003C00B1">
            <w:pPr>
              <w:rPr>
                <w:rFonts w:ascii="Arial" w:hAnsi="Arial"/>
                <w:lang w:val="fr-CA"/>
              </w:rPr>
            </w:pPr>
            <w:r w:rsidRPr="00C230CE">
              <w:rPr>
                <w:rFonts w:ascii="Arial" w:hAnsi="Arial"/>
                <w:lang w:val="fr-CA"/>
              </w:rPr>
              <w:t>Sd(x)</w:t>
            </w:r>
          </w:p>
        </w:tc>
        <w:tc>
          <w:tcPr>
            <w:tcW w:w="2952" w:type="dxa"/>
          </w:tcPr>
          <w:p w:rsidR="003C00B1" w:rsidRPr="00C230CE" w:rsidRDefault="003C00B1">
            <w:pPr>
              <w:rPr>
                <w:rFonts w:ascii="Arial" w:hAnsi="Arial"/>
                <w:lang w:val="fr-CA"/>
              </w:rPr>
            </w:pPr>
            <w:r w:rsidRPr="00C230CE">
              <w:rPr>
                <w:rFonts w:ascii="Arial" w:hAnsi="Arial"/>
                <w:lang w:val="fr-CA"/>
              </w:rPr>
              <w:t>MacLeod</w:t>
            </w:r>
          </w:p>
        </w:tc>
        <w:tc>
          <w:tcPr>
            <w:tcW w:w="2952" w:type="dxa"/>
          </w:tcPr>
          <w:p w:rsidR="003C00B1" w:rsidRPr="00C230CE" w:rsidRDefault="00670180" w:rsidP="00670180">
            <w:p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C</w:t>
            </w:r>
          </w:p>
        </w:tc>
      </w:tr>
      <w:tr w:rsidR="003C00B1" w:rsidRPr="00C230CE">
        <w:tc>
          <w:tcPr>
            <w:tcW w:w="2952" w:type="dxa"/>
          </w:tcPr>
          <w:p w:rsidR="003C00B1" w:rsidRPr="00C230CE" w:rsidRDefault="003C00B1">
            <w:pPr>
              <w:rPr>
                <w:rFonts w:ascii="Arial" w:hAnsi="Arial"/>
                <w:lang w:val="fr-CA"/>
              </w:rPr>
            </w:pPr>
            <w:r w:rsidRPr="00C230CE">
              <w:rPr>
                <w:rFonts w:ascii="Arial" w:hAnsi="Arial"/>
                <w:lang w:val="fr-CA"/>
              </w:rPr>
              <w:t>LW</w:t>
            </w:r>
          </w:p>
        </w:tc>
        <w:tc>
          <w:tcPr>
            <w:tcW w:w="2952" w:type="dxa"/>
          </w:tcPr>
          <w:p w:rsidR="003C00B1" w:rsidRPr="00C230CE" w:rsidRDefault="003C00B1">
            <w:pPr>
              <w:rPr>
                <w:rFonts w:ascii="Arial" w:hAnsi="Arial"/>
                <w:lang w:val="fr-CA"/>
              </w:rPr>
            </w:pPr>
            <w:r w:rsidRPr="00C230CE">
              <w:rPr>
                <w:rFonts w:ascii="Arial" w:hAnsi="Arial"/>
                <w:lang w:val="fr-CA"/>
              </w:rPr>
              <w:t>Kn</w:t>
            </w:r>
            <w:r w:rsidRPr="00C230CE">
              <w:rPr>
                <w:rFonts w:ascii="Arial" w:hAnsi="Arial"/>
                <w:vertAlign w:val="superscript"/>
                <w:lang w:val="fr-CA"/>
              </w:rPr>
              <w:t>a</w:t>
            </w:r>
          </w:p>
        </w:tc>
        <w:tc>
          <w:tcPr>
            <w:tcW w:w="2952" w:type="dxa"/>
          </w:tcPr>
          <w:p w:rsidR="003C00B1" w:rsidRPr="00C230CE" w:rsidRDefault="003C00B1">
            <w:pPr>
              <w:rPr>
                <w:rFonts w:ascii="Arial" w:hAnsi="Arial"/>
                <w:lang w:val="fr-CA"/>
              </w:rPr>
            </w:pPr>
            <w:r w:rsidRPr="00C230CE">
              <w:rPr>
                <w:rFonts w:ascii="Arial" w:hAnsi="Arial"/>
                <w:lang w:val="fr-CA"/>
              </w:rPr>
              <w:t>C</w:t>
            </w:r>
          </w:p>
        </w:tc>
      </w:tr>
      <w:tr w:rsidR="003C00B1" w:rsidRPr="00C230CE">
        <w:tc>
          <w:tcPr>
            <w:tcW w:w="2952" w:type="dxa"/>
          </w:tcPr>
          <w:p w:rsidR="003C00B1" w:rsidRPr="00C230CE" w:rsidRDefault="003C00B1">
            <w:pPr>
              <w:rPr>
                <w:rFonts w:ascii="Arial" w:hAnsi="Arial"/>
                <w:lang w:val="fr-CA"/>
              </w:rPr>
            </w:pPr>
            <w:r w:rsidRPr="00C230CE">
              <w:rPr>
                <w:rFonts w:ascii="Arial" w:hAnsi="Arial"/>
                <w:lang w:val="fr-CA"/>
              </w:rPr>
              <w:t>Ge</w:t>
            </w:r>
          </w:p>
        </w:tc>
        <w:tc>
          <w:tcPr>
            <w:tcW w:w="2952" w:type="dxa"/>
          </w:tcPr>
          <w:p w:rsidR="003C00B1" w:rsidRPr="00C230CE" w:rsidRDefault="003C00B1">
            <w:pPr>
              <w:rPr>
                <w:rFonts w:ascii="Arial" w:hAnsi="Arial"/>
                <w:lang w:val="fr-CA"/>
              </w:rPr>
            </w:pPr>
            <w:r w:rsidRPr="00C230CE">
              <w:rPr>
                <w:rFonts w:ascii="Arial" w:hAnsi="Arial"/>
                <w:lang w:val="fr-CA"/>
              </w:rPr>
              <w:t>Yk</w:t>
            </w:r>
            <w:r w:rsidRPr="00C230CE">
              <w:rPr>
                <w:rFonts w:ascii="Arial" w:hAnsi="Arial"/>
                <w:vertAlign w:val="superscript"/>
                <w:lang w:val="fr-CA"/>
              </w:rPr>
              <w:t>a</w:t>
            </w:r>
          </w:p>
        </w:tc>
        <w:tc>
          <w:tcPr>
            <w:tcW w:w="2952" w:type="dxa"/>
          </w:tcPr>
          <w:p w:rsidR="003C00B1" w:rsidRPr="00C230CE" w:rsidRDefault="003C00B1">
            <w:pPr>
              <w:rPr>
                <w:rFonts w:ascii="Arial" w:hAnsi="Arial"/>
                <w:lang w:val="fr-CA"/>
              </w:rPr>
            </w:pPr>
          </w:p>
        </w:tc>
      </w:tr>
      <w:tr w:rsidR="003C00B1" w:rsidRPr="00C230CE">
        <w:tc>
          <w:tcPr>
            <w:tcW w:w="2952" w:type="dxa"/>
          </w:tcPr>
          <w:p w:rsidR="003C00B1" w:rsidRPr="00C230CE" w:rsidRDefault="003C00B1">
            <w:pPr>
              <w:rPr>
                <w:rFonts w:ascii="Arial" w:hAnsi="Arial"/>
                <w:lang w:val="fr-CA"/>
              </w:rPr>
            </w:pPr>
            <w:r w:rsidRPr="00C230CE">
              <w:rPr>
                <w:rFonts w:ascii="Arial" w:hAnsi="Arial"/>
                <w:lang w:val="fr-CA"/>
              </w:rPr>
              <w:t>Yt</w:t>
            </w:r>
            <w:r w:rsidRPr="00C230CE">
              <w:rPr>
                <w:rFonts w:ascii="Arial" w:hAnsi="Arial"/>
                <w:vertAlign w:val="superscript"/>
                <w:lang w:val="fr-CA"/>
              </w:rPr>
              <w:t>a</w:t>
            </w:r>
          </w:p>
        </w:tc>
        <w:tc>
          <w:tcPr>
            <w:tcW w:w="2952" w:type="dxa"/>
          </w:tcPr>
          <w:p w:rsidR="003C00B1" w:rsidRPr="00C230CE" w:rsidRDefault="003C00B1">
            <w:pPr>
              <w:rPr>
                <w:rFonts w:ascii="Arial" w:hAnsi="Arial"/>
                <w:lang w:val="fr-CA"/>
              </w:rPr>
            </w:pPr>
            <w:r w:rsidRPr="00C230CE">
              <w:rPr>
                <w:rFonts w:ascii="Arial" w:hAnsi="Arial"/>
                <w:lang w:val="fr-CA"/>
              </w:rPr>
              <w:t>JMH</w:t>
            </w:r>
          </w:p>
        </w:tc>
        <w:tc>
          <w:tcPr>
            <w:tcW w:w="2952" w:type="dxa"/>
          </w:tcPr>
          <w:p w:rsidR="003C00B1" w:rsidRPr="00C230CE" w:rsidRDefault="003C00B1">
            <w:pPr>
              <w:rPr>
                <w:rFonts w:ascii="Arial" w:hAnsi="Arial"/>
                <w:lang w:val="fr-CA"/>
              </w:rPr>
            </w:pPr>
          </w:p>
        </w:tc>
      </w:tr>
      <w:tr w:rsidR="003C00B1" w:rsidRPr="00C230CE">
        <w:tc>
          <w:tcPr>
            <w:tcW w:w="2952" w:type="dxa"/>
          </w:tcPr>
          <w:p w:rsidR="003C00B1" w:rsidRPr="00C230CE" w:rsidRDefault="003C00B1">
            <w:pPr>
              <w:rPr>
                <w:rFonts w:ascii="Arial" w:hAnsi="Arial"/>
                <w:lang w:val="fr-CA"/>
              </w:rPr>
            </w:pPr>
            <w:r w:rsidRPr="00C230CE">
              <w:rPr>
                <w:rFonts w:ascii="Arial" w:hAnsi="Arial"/>
                <w:lang w:val="fr-CA"/>
              </w:rPr>
              <w:t>Di</w:t>
            </w:r>
            <w:r w:rsidRPr="00C230CE">
              <w:rPr>
                <w:rFonts w:ascii="Arial" w:hAnsi="Arial"/>
                <w:vertAlign w:val="superscript"/>
                <w:lang w:val="fr-CA"/>
              </w:rPr>
              <w:t>a</w:t>
            </w:r>
          </w:p>
        </w:tc>
        <w:tc>
          <w:tcPr>
            <w:tcW w:w="2952" w:type="dxa"/>
          </w:tcPr>
          <w:p w:rsidR="003C00B1" w:rsidRPr="00C230CE" w:rsidRDefault="003C00B1">
            <w:pPr>
              <w:rPr>
                <w:rFonts w:ascii="Arial" w:hAnsi="Arial"/>
                <w:lang w:val="fr-CA"/>
              </w:rPr>
            </w:pPr>
            <w:r w:rsidRPr="00C230CE">
              <w:rPr>
                <w:rFonts w:ascii="Arial" w:hAnsi="Arial"/>
                <w:lang w:val="fr-CA"/>
              </w:rPr>
              <w:t>Hy</w:t>
            </w:r>
          </w:p>
        </w:tc>
        <w:tc>
          <w:tcPr>
            <w:tcW w:w="2952" w:type="dxa"/>
          </w:tcPr>
          <w:p w:rsidR="003C00B1" w:rsidRPr="00C230CE" w:rsidRDefault="003C00B1">
            <w:pPr>
              <w:rPr>
                <w:rFonts w:ascii="Arial" w:hAnsi="Arial"/>
                <w:lang w:val="fr-CA"/>
              </w:rPr>
            </w:pPr>
          </w:p>
        </w:tc>
      </w:tr>
      <w:tr w:rsidR="003C00B1" w:rsidRPr="00C230CE">
        <w:tc>
          <w:tcPr>
            <w:tcW w:w="2952" w:type="dxa"/>
          </w:tcPr>
          <w:p w:rsidR="003C00B1" w:rsidRPr="00C230CE" w:rsidRDefault="003C00B1">
            <w:pPr>
              <w:rPr>
                <w:rFonts w:ascii="Arial" w:hAnsi="Arial"/>
                <w:lang w:val="fr-CA"/>
              </w:rPr>
            </w:pPr>
            <w:r w:rsidRPr="00C230CE">
              <w:rPr>
                <w:rFonts w:ascii="Arial" w:hAnsi="Arial"/>
                <w:lang w:val="fr-CA"/>
              </w:rPr>
              <w:t>Jr</w:t>
            </w:r>
            <w:r w:rsidRPr="00C230CE">
              <w:rPr>
                <w:rFonts w:ascii="Arial" w:hAnsi="Arial"/>
                <w:vertAlign w:val="superscript"/>
                <w:lang w:val="fr-CA"/>
              </w:rPr>
              <w:t>a</w:t>
            </w:r>
          </w:p>
        </w:tc>
        <w:tc>
          <w:tcPr>
            <w:tcW w:w="2952" w:type="dxa"/>
          </w:tcPr>
          <w:p w:rsidR="003C00B1" w:rsidRPr="00C230CE" w:rsidRDefault="003C00B1">
            <w:pPr>
              <w:rPr>
                <w:rFonts w:ascii="Arial" w:hAnsi="Arial"/>
                <w:lang w:val="fr-CA"/>
              </w:rPr>
            </w:pPr>
            <w:r w:rsidRPr="00C230CE">
              <w:rPr>
                <w:rFonts w:ascii="Arial" w:hAnsi="Arial"/>
                <w:lang w:val="fr-CA"/>
              </w:rPr>
              <w:t>Gy</w:t>
            </w:r>
          </w:p>
        </w:tc>
        <w:tc>
          <w:tcPr>
            <w:tcW w:w="2952" w:type="dxa"/>
          </w:tcPr>
          <w:p w:rsidR="003C00B1" w:rsidRPr="00C230CE" w:rsidRDefault="003C00B1">
            <w:pPr>
              <w:rPr>
                <w:rFonts w:ascii="Arial" w:hAnsi="Arial"/>
                <w:lang w:val="fr-CA"/>
              </w:rPr>
            </w:pPr>
          </w:p>
        </w:tc>
      </w:tr>
      <w:tr w:rsidR="00291AF4" w:rsidRPr="00C230CE">
        <w:tc>
          <w:tcPr>
            <w:tcW w:w="2952" w:type="dxa"/>
          </w:tcPr>
          <w:p w:rsidR="00291AF4" w:rsidRPr="00C230CE" w:rsidRDefault="00291AF4" w:rsidP="00291AF4">
            <w:pPr>
              <w:rPr>
                <w:rFonts w:ascii="Arial" w:hAnsi="Arial"/>
                <w:lang w:val="fr-CA"/>
              </w:rPr>
            </w:pPr>
            <w:r w:rsidRPr="00C230CE">
              <w:rPr>
                <w:rFonts w:ascii="Arial" w:hAnsi="Arial"/>
                <w:lang w:val="fr-CA"/>
              </w:rPr>
              <w:t>Sc:1</w:t>
            </w:r>
          </w:p>
        </w:tc>
        <w:tc>
          <w:tcPr>
            <w:tcW w:w="2952" w:type="dxa"/>
          </w:tcPr>
          <w:p w:rsidR="00291AF4" w:rsidRDefault="00291AF4" w:rsidP="00291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Pr="005C5303">
              <w:rPr>
                <w:rFonts w:ascii="Arial" w:hAnsi="Arial"/>
              </w:rPr>
              <w:t>c</w:t>
            </w:r>
            <w:r>
              <w:rPr>
                <w:rFonts w:ascii="Arial" w:hAnsi="Arial"/>
              </w:rPr>
              <w:t>C</w:t>
            </w:r>
            <w:r w:rsidRPr="005C5303">
              <w:rPr>
                <w:rFonts w:ascii="Arial" w:hAnsi="Arial"/>
                <w:vertAlign w:val="superscript"/>
              </w:rPr>
              <w:t>a</w:t>
            </w:r>
          </w:p>
        </w:tc>
        <w:tc>
          <w:tcPr>
            <w:tcW w:w="2952" w:type="dxa"/>
          </w:tcPr>
          <w:p w:rsidR="00291AF4" w:rsidRPr="00C230CE" w:rsidRDefault="00291AF4" w:rsidP="00291AF4">
            <w:pPr>
              <w:rPr>
                <w:rFonts w:ascii="Arial" w:hAnsi="Arial"/>
                <w:lang w:val="fr-CA"/>
              </w:rPr>
            </w:pPr>
          </w:p>
        </w:tc>
      </w:tr>
      <w:tr w:rsidR="00291AF4" w:rsidRPr="00C230CE">
        <w:tc>
          <w:tcPr>
            <w:tcW w:w="2952" w:type="dxa"/>
          </w:tcPr>
          <w:p w:rsidR="00291AF4" w:rsidRPr="00C230CE" w:rsidRDefault="00291AF4" w:rsidP="00291AF4">
            <w:pPr>
              <w:rPr>
                <w:rFonts w:ascii="Arial" w:hAnsi="Arial"/>
                <w:lang w:val="fr-CA"/>
              </w:rPr>
            </w:pPr>
            <w:r w:rsidRPr="00C230CE">
              <w:rPr>
                <w:rFonts w:ascii="Arial" w:hAnsi="Arial"/>
                <w:lang w:val="fr-CA"/>
              </w:rPr>
              <w:t>At</w:t>
            </w:r>
            <w:r w:rsidRPr="00C230CE">
              <w:rPr>
                <w:rFonts w:ascii="Arial" w:hAnsi="Arial"/>
                <w:vertAlign w:val="superscript"/>
                <w:lang w:val="fr-CA"/>
              </w:rPr>
              <w:t>a</w:t>
            </w:r>
          </w:p>
        </w:tc>
        <w:tc>
          <w:tcPr>
            <w:tcW w:w="2952" w:type="dxa"/>
          </w:tcPr>
          <w:p w:rsidR="00291AF4" w:rsidRDefault="00291AF4" w:rsidP="00291AF4">
            <w:p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LW</w:t>
            </w:r>
            <w:r w:rsidRPr="005C5303">
              <w:rPr>
                <w:rFonts w:ascii="Arial" w:hAnsi="Arial"/>
                <w:vertAlign w:val="superscript"/>
                <w:lang w:val="fr-CA"/>
              </w:rPr>
              <w:t>a</w:t>
            </w:r>
            <w:r>
              <w:rPr>
                <w:rFonts w:ascii="Arial" w:hAnsi="Arial"/>
                <w:lang w:val="fr-CA"/>
              </w:rPr>
              <w:t>, LW</w:t>
            </w:r>
            <w:r w:rsidRPr="005C5303">
              <w:rPr>
                <w:rFonts w:ascii="Arial" w:hAnsi="Arial"/>
                <w:vertAlign w:val="superscript"/>
                <w:lang w:val="fr-CA"/>
              </w:rPr>
              <w:t>b</w:t>
            </w:r>
          </w:p>
        </w:tc>
        <w:tc>
          <w:tcPr>
            <w:tcW w:w="2952" w:type="dxa"/>
          </w:tcPr>
          <w:p w:rsidR="00291AF4" w:rsidRPr="00C230CE" w:rsidRDefault="00291AF4" w:rsidP="00291AF4">
            <w:pPr>
              <w:rPr>
                <w:rFonts w:ascii="Arial" w:hAnsi="Arial"/>
                <w:lang w:val="fr-CA"/>
              </w:rPr>
            </w:pPr>
          </w:p>
        </w:tc>
      </w:tr>
      <w:tr w:rsidR="00291AF4" w:rsidRPr="00C230CE">
        <w:tc>
          <w:tcPr>
            <w:tcW w:w="2952" w:type="dxa"/>
          </w:tcPr>
          <w:p w:rsidR="00291AF4" w:rsidRPr="00C230CE" w:rsidRDefault="00291AF4" w:rsidP="00291AF4">
            <w:pPr>
              <w:rPr>
                <w:rFonts w:ascii="Arial" w:hAnsi="Arial"/>
                <w:lang w:val="fr-CA"/>
              </w:rPr>
            </w:pPr>
            <w:r w:rsidRPr="00C230CE">
              <w:rPr>
                <w:rFonts w:ascii="Arial" w:hAnsi="Arial"/>
                <w:lang w:val="fr-CA"/>
              </w:rPr>
              <w:t>Wr</w:t>
            </w:r>
            <w:r w:rsidRPr="00C230CE">
              <w:rPr>
                <w:rFonts w:ascii="Arial" w:hAnsi="Arial"/>
                <w:vertAlign w:val="superscript"/>
                <w:lang w:val="fr-CA"/>
              </w:rPr>
              <w:t>a</w:t>
            </w:r>
          </w:p>
        </w:tc>
        <w:tc>
          <w:tcPr>
            <w:tcW w:w="2952" w:type="dxa"/>
          </w:tcPr>
          <w:p w:rsidR="00291AF4" w:rsidRPr="00291AF4" w:rsidRDefault="00291AF4" w:rsidP="00291AF4">
            <w:pPr>
              <w:rPr>
                <w:rFonts w:ascii="Arial" w:hAnsi="Arial"/>
                <w:lang w:val="fr-CA"/>
              </w:rPr>
            </w:pPr>
            <w:r w:rsidRPr="00291AF4">
              <w:rPr>
                <w:rFonts w:ascii="Arial" w:hAnsi="Arial"/>
                <w:lang w:val="fr-CA"/>
              </w:rPr>
              <w:t>Antigènes du système Luther</w:t>
            </w:r>
          </w:p>
        </w:tc>
        <w:tc>
          <w:tcPr>
            <w:tcW w:w="2952" w:type="dxa"/>
          </w:tcPr>
          <w:p w:rsidR="00291AF4" w:rsidRPr="00C230CE" w:rsidRDefault="00291AF4" w:rsidP="00291AF4">
            <w:pPr>
              <w:rPr>
                <w:rFonts w:ascii="Arial" w:hAnsi="Arial"/>
                <w:lang w:val="fr-CA"/>
              </w:rPr>
            </w:pPr>
          </w:p>
        </w:tc>
      </w:tr>
      <w:tr w:rsidR="00291AF4" w:rsidRPr="00C230CE">
        <w:tc>
          <w:tcPr>
            <w:tcW w:w="2952" w:type="dxa"/>
          </w:tcPr>
          <w:p w:rsidR="00291AF4" w:rsidRPr="00C230CE" w:rsidRDefault="00291AF4" w:rsidP="00291AF4">
            <w:pPr>
              <w:rPr>
                <w:rFonts w:ascii="Arial" w:hAnsi="Arial"/>
                <w:lang w:val="fr-CA"/>
              </w:rPr>
            </w:pPr>
            <w:r w:rsidRPr="00C230CE">
              <w:rPr>
                <w:rFonts w:ascii="Arial" w:hAnsi="Arial"/>
                <w:lang w:val="fr-CA"/>
              </w:rPr>
              <w:t>Ch</w:t>
            </w:r>
            <w:r w:rsidRPr="00C230CE">
              <w:rPr>
                <w:rFonts w:ascii="Arial" w:hAnsi="Arial"/>
                <w:vertAlign w:val="superscript"/>
                <w:lang w:val="fr-CA"/>
              </w:rPr>
              <w:t>a</w:t>
            </w:r>
          </w:p>
        </w:tc>
        <w:tc>
          <w:tcPr>
            <w:tcW w:w="2952" w:type="dxa"/>
          </w:tcPr>
          <w:p w:rsidR="00291AF4" w:rsidRPr="00291AF4" w:rsidRDefault="00291AF4" w:rsidP="00291AF4">
            <w:pPr>
              <w:rPr>
                <w:rFonts w:ascii="Arial" w:hAnsi="Arial"/>
                <w:lang w:val="fr-CA"/>
              </w:rPr>
            </w:pPr>
            <w:r w:rsidRPr="00291AF4">
              <w:rPr>
                <w:rFonts w:ascii="Arial" w:hAnsi="Arial"/>
                <w:lang w:val="fr-CA"/>
              </w:rPr>
              <w:t xml:space="preserve">Antigènes du système Dombrock </w:t>
            </w:r>
          </w:p>
        </w:tc>
        <w:tc>
          <w:tcPr>
            <w:tcW w:w="2952" w:type="dxa"/>
          </w:tcPr>
          <w:p w:rsidR="00291AF4" w:rsidRPr="00C230CE" w:rsidRDefault="00291AF4" w:rsidP="00291AF4">
            <w:pPr>
              <w:rPr>
                <w:rFonts w:ascii="Arial" w:hAnsi="Arial"/>
                <w:lang w:val="fr-CA"/>
              </w:rPr>
            </w:pPr>
          </w:p>
        </w:tc>
      </w:tr>
      <w:tr w:rsidR="00291AF4" w:rsidRPr="00C230CE">
        <w:tc>
          <w:tcPr>
            <w:tcW w:w="2952" w:type="dxa"/>
          </w:tcPr>
          <w:p w:rsidR="00291AF4" w:rsidRPr="00C230CE" w:rsidRDefault="00291AF4" w:rsidP="00291AF4">
            <w:pPr>
              <w:rPr>
                <w:rFonts w:ascii="Arial" w:hAnsi="Arial"/>
                <w:lang w:val="fr-CA"/>
              </w:rPr>
            </w:pPr>
            <w:r w:rsidRPr="00C230CE">
              <w:rPr>
                <w:rFonts w:ascii="Arial" w:hAnsi="Arial"/>
                <w:lang w:val="fr-CA"/>
              </w:rPr>
              <w:t>Rg</w:t>
            </w:r>
            <w:r w:rsidRPr="00C230CE">
              <w:rPr>
                <w:rFonts w:ascii="Arial" w:hAnsi="Arial"/>
                <w:vertAlign w:val="superscript"/>
                <w:lang w:val="fr-CA"/>
              </w:rPr>
              <w:t>a</w:t>
            </w:r>
          </w:p>
        </w:tc>
        <w:tc>
          <w:tcPr>
            <w:tcW w:w="2952" w:type="dxa"/>
          </w:tcPr>
          <w:p w:rsidR="00291AF4" w:rsidRPr="00291AF4" w:rsidRDefault="00291AF4" w:rsidP="00291AF4">
            <w:pPr>
              <w:rPr>
                <w:rFonts w:ascii="Arial" w:hAnsi="Arial"/>
                <w:lang w:val="fr-CA"/>
              </w:rPr>
            </w:pPr>
            <w:r w:rsidRPr="00291AF4">
              <w:rPr>
                <w:rFonts w:ascii="Arial" w:hAnsi="Arial"/>
                <w:lang w:val="fr-CA"/>
              </w:rPr>
              <w:t xml:space="preserve">Antigènes du système Cromer </w:t>
            </w:r>
          </w:p>
        </w:tc>
        <w:tc>
          <w:tcPr>
            <w:tcW w:w="2952" w:type="dxa"/>
          </w:tcPr>
          <w:p w:rsidR="00291AF4" w:rsidRPr="00C230CE" w:rsidRDefault="00291AF4" w:rsidP="00291AF4">
            <w:pPr>
              <w:rPr>
                <w:rFonts w:ascii="Arial" w:hAnsi="Arial"/>
                <w:lang w:val="fr-CA"/>
              </w:rPr>
            </w:pPr>
          </w:p>
        </w:tc>
      </w:tr>
      <w:tr w:rsidR="00291AF4" w:rsidRPr="00C230CE">
        <w:tc>
          <w:tcPr>
            <w:tcW w:w="2952" w:type="dxa"/>
          </w:tcPr>
          <w:p w:rsidR="00291AF4" w:rsidRPr="00C230CE" w:rsidRDefault="00291AF4" w:rsidP="00291AF4">
            <w:pPr>
              <w:rPr>
                <w:rFonts w:ascii="Arial" w:hAnsi="Arial"/>
                <w:lang w:val="fr-CA"/>
              </w:rPr>
            </w:pPr>
            <w:r w:rsidRPr="00C230CE">
              <w:rPr>
                <w:rFonts w:ascii="Arial" w:hAnsi="Arial"/>
                <w:lang w:val="fr-CA"/>
              </w:rPr>
              <w:t>En(a)</w:t>
            </w:r>
          </w:p>
        </w:tc>
        <w:tc>
          <w:tcPr>
            <w:tcW w:w="2952" w:type="dxa"/>
          </w:tcPr>
          <w:p w:rsidR="00291AF4" w:rsidRPr="00291AF4" w:rsidRDefault="00291AF4" w:rsidP="00291AF4">
            <w:pPr>
              <w:rPr>
                <w:rFonts w:ascii="Arial" w:hAnsi="Arial"/>
                <w:lang w:val="fr-CA"/>
              </w:rPr>
            </w:pPr>
            <w:r w:rsidRPr="00291AF4">
              <w:rPr>
                <w:rFonts w:ascii="Arial" w:hAnsi="Arial"/>
                <w:lang w:val="fr-CA"/>
              </w:rPr>
              <w:t>JMH</w:t>
            </w:r>
          </w:p>
        </w:tc>
        <w:tc>
          <w:tcPr>
            <w:tcW w:w="2952" w:type="dxa"/>
          </w:tcPr>
          <w:p w:rsidR="00291AF4" w:rsidRPr="00C230CE" w:rsidRDefault="00291AF4" w:rsidP="00291AF4">
            <w:pPr>
              <w:rPr>
                <w:rFonts w:ascii="Arial" w:hAnsi="Arial"/>
                <w:lang w:val="fr-CA"/>
              </w:rPr>
            </w:pPr>
          </w:p>
        </w:tc>
      </w:tr>
      <w:tr w:rsidR="00291AF4" w:rsidRPr="00C230CE">
        <w:tc>
          <w:tcPr>
            <w:tcW w:w="2952" w:type="dxa"/>
          </w:tcPr>
          <w:p w:rsidR="00291AF4" w:rsidRPr="00C230CE" w:rsidRDefault="00291AF4" w:rsidP="00291AF4">
            <w:pPr>
              <w:rPr>
                <w:rFonts w:ascii="Arial" w:hAnsi="Arial"/>
                <w:lang w:val="fr-CA"/>
              </w:rPr>
            </w:pPr>
            <w:r w:rsidRPr="00C230CE">
              <w:rPr>
                <w:rFonts w:ascii="Arial" w:hAnsi="Arial"/>
                <w:lang w:val="fr-CA"/>
              </w:rPr>
              <w:t>Xg(a)</w:t>
            </w:r>
          </w:p>
        </w:tc>
        <w:tc>
          <w:tcPr>
            <w:tcW w:w="2952" w:type="dxa"/>
          </w:tcPr>
          <w:p w:rsidR="00291AF4" w:rsidRPr="00291AF4" w:rsidRDefault="00291AF4" w:rsidP="00291AF4">
            <w:pPr>
              <w:rPr>
                <w:rFonts w:ascii="Arial" w:hAnsi="Arial"/>
                <w:lang w:val="fr-CA"/>
              </w:rPr>
            </w:pPr>
            <w:r w:rsidRPr="00291AF4">
              <w:rPr>
                <w:rFonts w:ascii="Arial" w:hAnsi="Arial"/>
                <w:lang w:val="fr-CA"/>
              </w:rPr>
              <w:t>Yt</w:t>
            </w:r>
            <w:r w:rsidRPr="00291AF4">
              <w:rPr>
                <w:rFonts w:ascii="Arial" w:hAnsi="Arial"/>
                <w:vertAlign w:val="superscript"/>
                <w:lang w:val="fr-CA"/>
              </w:rPr>
              <w:t>a</w:t>
            </w:r>
            <w:r w:rsidRPr="00291AF4">
              <w:rPr>
                <w:rFonts w:ascii="Arial" w:hAnsi="Arial"/>
                <w:lang w:val="fr-CA"/>
              </w:rPr>
              <w:t>, Yt</w:t>
            </w:r>
            <w:r w:rsidRPr="00291AF4">
              <w:rPr>
                <w:rFonts w:ascii="Arial" w:hAnsi="Arial"/>
                <w:vertAlign w:val="superscript"/>
                <w:lang w:val="fr-CA"/>
              </w:rPr>
              <w:t>b</w:t>
            </w:r>
          </w:p>
        </w:tc>
        <w:tc>
          <w:tcPr>
            <w:tcW w:w="2952" w:type="dxa"/>
          </w:tcPr>
          <w:p w:rsidR="00291AF4" w:rsidRPr="00C230CE" w:rsidRDefault="00291AF4" w:rsidP="00291AF4">
            <w:pPr>
              <w:rPr>
                <w:rFonts w:ascii="Arial" w:hAnsi="Arial"/>
                <w:lang w:val="fr-CA"/>
              </w:rPr>
            </w:pPr>
          </w:p>
        </w:tc>
      </w:tr>
      <w:tr w:rsidR="003C00B1" w:rsidRPr="00C230CE">
        <w:tc>
          <w:tcPr>
            <w:tcW w:w="2952" w:type="dxa"/>
          </w:tcPr>
          <w:p w:rsidR="003C00B1" w:rsidRPr="00C230CE" w:rsidRDefault="003C00B1">
            <w:pPr>
              <w:rPr>
                <w:rFonts w:ascii="Arial" w:hAnsi="Arial"/>
                <w:lang w:val="fr-CA"/>
              </w:rPr>
            </w:pPr>
            <w:r w:rsidRPr="00C230CE">
              <w:rPr>
                <w:rFonts w:ascii="Arial" w:hAnsi="Arial"/>
                <w:lang w:val="fr-CA"/>
              </w:rPr>
              <w:t>Lan</w:t>
            </w:r>
          </w:p>
        </w:tc>
        <w:tc>
          <w:tcPr>
            <w:tcW w:w="2952" w:type="dxa"/>
          </w:tcPr>
          <w:p w:rsidR="003C00B1" w:rsidRPr="00C230CE" w:rsidRDefault="003C00B1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2952" w:type="dxa"/>
          </w:tcPr>
          <w:p w:rsidR="003C00B1" w:rsidRPr="00C230CE" w:rsidRDefault="003C00B1">
            <w:pPr>
              <w:rPr>
                <w:rFonts w:ascii="Arial" w:hAnsi="Arial"/>
                <w:lang w:val="fr-CA"/>
              </w:rPr>
            </w:pPr>
          </w:p>
        </w:tc>
      </w:tr>
      <w:tr w:rsidR="003C00B1" w:rsidRPr="00C230CE">
        <w:tc>
          <w:tcPr>
            <w:tcW w:w="2952" w:type="dxa"/>
          </w:tcPr>
          <w:p w:rsidR="003C00B1" w:rsidRPr="00C230CE" w:rsidRDefault="003C00B1">
            <w:pPr>
              <w:rPr>
                <w:rFonts w:ascii="Arial" w:hAnsi="Arial"/>
                <w:lang w:val="fr-CA"/>
              </w:rPr>
            </w:pPr>
            <w:r w:rsidRPr="00C230CE">
              <w:rPr>
                <w:rFonts w:ascii="Arial" w:hAnsi="Arial"/>
                <w:lang w:val="fr-CA"/>
              </w:rPr>
              <w:t>Vel</w:t>
            </w:r>
          </w:p>
        </w:tc>
        <w:tc>
          <w:tcPr>
            <w:tcW w:w="2952" w:type="dxa"/>
          </w:tcPr>
          <w:p w:rsidR="003C00B1" w:rsidRPr="00C230CE" w:rsidRDefault="003C00B1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2952" w:type="dxa"/>
          </w:tcPr>
          <w:p w:rsidR="003C00B1" w:rsidRPr="00C230CE" w:rsidRDefault="003C00B1">
            <w:pPr>
              <w:rPr>
                <w:rFonts w:ascii="Arial" w:hAnsi="Arial"/>
                <w:lang w:val="fr-CA"/>
              </w:rPr>
            </w:pPr>
          </w:p>
        </w:tc>
      </w:tr>
      <w:tr w:rsidR="003C00B1" w:rsidRPr="00C230CE">
        <w:tc>
          <w:tcPr>
            <w:tcW w:w="2952" w:type="dxa"/>
          </w:tcPr>
          <w:p w:rsidR="003C00B1" w:rsidRPr="00C230CE" w:rsidRDefault="003C00B1">
            <w:pPr>
              <w:rPr>
                <w:rFonts w:ascii="Arial" w:hAnsi="Arial"/>
                <w:lang w:val="fr-CA"/>
              </w:rPr>
            </w:pPr>
            <w:r w:rsidRPr="00C230CE">
              <w:rPr>
                <w:rFonts w:ascii="Arial" w:hAnsi="Arial"/>
                <w:lang w:val="fr-CA"/>
              </w:rPr>
              <w:t>Co</w:t>
            </w:r>
            <w:r w:rsidRPr="00C230CE">
              <w:rPr>
                <w:rFonts w:ascii="Arial" w:hAnsi="Arial"/>
                <w:vertAlign w:val="superscript"/>
                <w:lang w:val="fr-CA"/>
              </w:rPr>
              <w:t>a</w:t>
            </w:r>
          </w:p>
        </w:tc>
        <w:tc>
          <w:tcPr>
            <w:tcW w:w="2952" w:type="dxa"/>
          </w:tcPr>
          <w:p w:rsidR="003C00B1" w:rsidRPr="00C230CE" w:rsidRDefault="003C00B1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2952" w:type="dxa"/>
          </w:tcPr>
          <w:p w:rsidR="003C00B1" w:rsidRPr="00C230CE" w:rsidRDefault="003C00B1">
            <w:pPr>
              <w:rPr>
                <w:rFonts w:ascii="Arial" w:hAnsi="Arial"/>
                <w:lang w:val="fr-CA"/>
              </w:rPr>
            </w:pPr>
          </w:p>
        </w:tc>
      </w:tr>
      <w:tr w:rsidR="003C00B1" w:rsidRPr="00C230CE">
        <w:tc>
          <w:tcPr>
            <w:tcW w:w="2952" w:type="dxa"/>
          </w:tcPr>
          <w:p w:rsidR="003C00B1" w:rsidRPr="00C230CE" w:rsidRDefault="003C00B1">
            <w:pPr>
              <w:rPr>
                <w:rFonts w:ascii="Arial" w:hAnsi="Arial"/>
                <w:lang w:val="fr-CA"/>
              </w:rPr>
            </w:pPr>
            <w:r w:rsidRPr="00C230CE">
              <w:rPr>
                <w:rFonts w:ascii="Arial" w:hAnsi="Arial"/>
                <w:lang w:val="fr-CA"/>
              </w:rPr>
              <w:t>Cs</w:t>
            </w:r>
          </w:p>
        </w:tc>
        <w:tc>
          <w:tcPr>
            <w:tcW w:w="2952" w:type="dxa"/>
          </w:tcPr>
          <w:p w:rsidR="003C00B1" w:rsidRPr="00C230CE" w:rsidRDefault="003C00B1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2952" w:type="dxa"/>
          </w:tcPr>
          <w:p w:rsidR="003C00B1" w:rsidRPr="00C230CE" w:rsidRDefault="003C00B1">
            <w:pPr>
              <w:rPr>
                <w:rFonts w:ascii="Arial" w:hAnsi="Arial"/>
                <w:lang w:val="fr-CA"/>
              </w:rPr>
            </w:pPr>
          </w:p>
        </w:tc>
      </w:tr>
    </w:tbl>
    <w:p w:rsidR="00670180" w:rsidRDefault="00670180">
      <w:pPr>
        <w:rPr>
          <w:rFonts w:ascii="Arial" w:hAnsi="Arial"/>
          <w:sz w:val="18"/>
          <w:szCs w:val="18"/>
          <w:lang w:val="fr-CA"/>
        </w:rPr>
      </w:pPr>
    </w:p>
    <w:p w:rsidR="003C00B1" w:rsidRPr="00C230CE" w:rsidRDefault="003C00B1">
      <w:pPr>
        <w:rPr>
          <w:rFonts w:ascii="Arial" w:hAnsi="Arial"/>
          <w:lang w:val="fr-CA"/>
        </w:rPr>
      </w:pPr>
      <w:r w:rsidRPr="00C230CE">
        <w:rPr>
          <w:rFonts w:ascii="Arial" w:hAnsi="Arial"/>
          <w:sz w:val="24"/>
          <w:lang w:val="fr-CA"/>
        </w:rPr>
        <w:t xml:space="preserve">* </w:t>
      </w:r>
      <w:r w:rsidR="000C2082">
        <w:rPr>
          <w:rFonts w:ascii="Arial" w:hAnsi="Arial"/>
          <w:lang w:val="fr-CA"/>
        </w:rPr>
        <w:t>Intensification</w:t>
      </w:r>
      <w:r w:rsidR="00C230CE" w:rsidRPr="00C230CE">
        <w:rPr>
          <w:rFonts w:ascii="Arial" w:hAnsi="Arial"/>
          <w:lang w:val="fr-CA"/>
        </w:rPr>
        <w:t xml:space="preserve"> et/ou </w:t>
      </w:r>
      <w:r w:rsidRPr="00C230CE">
        <w:rPr>
          <w:rFonts w:ascii="Arial" w:hAnsi="Arial"/>
          <w:lang w:val="fr-CA"/>
        </w:rPr>
        <w:t>h</w:t>
      </w:r>
      <w:r w:rsidR="00C230CE" w:rsidRPr="00C230CE">
        <w:rPr>
          <w:rFonts w:ascii="Arial" w:hAnsi="Arial"/>
          <w:lang w:val="fr-CA"/>
        </w:rPr>
        <w:t>é</w:t>
      </w:r>
      <w:r w:rsidRPr="00C230CE">
        <w:rPr>
          <w:rFonts w:ascii="Arial" w:hAnsi="Arial"/>
          <w:lang w:val="fr-CA"/>
        </w:rPr>
        <w:t>molys</w:t>
      </w:r>
      <w:r w:rsidR="00C230CE" w:rsidRPr="00C230CE">
        <w:rPr>
          <w:rFonts w:ascii="Arial" w:hAnsi="Arial"/>
          <w:lang w:val="fr-CA"/>
        </w:rPr>
        <w:t>e observée avec certains échantillons</w:t>
      </w:r>
      <w:r w:rsidRPr="00C230CE">
        <w:rPr>
          <w:rFonts w:ascii="Arial" w:hAnsi="Arial"/>
          <w:lang w:val="fr-CA"/>
        </w:rPr>
        <w:t>.</w:t>
      </w:r>
    </w:p>
    <w:p w:rsidR="00291AF4" w:rsidRDefault="00291AF4">
      <w:pPr>
        <w:rPr>
          <w:rFonts w:ascii="Arial" w:hAnsi="Arial"/>
          <w:lang w:val="fr-CA"/>
        </w:rPr>
      </w:pPr>
    </w:p>
    <w:p w:rsidR="003C00B1" w:rsidRDefault="00670180" w:rsidP="00291AF4">
      <w:pPr>
        <w:ind w:left="567" w:hanging="709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 xml:space="preserve">Références : </w:t>
      </w:r>
      <w:r>
        <w:rPr>
          <w:rFonts w:ascii="Arial" w:hAnsi="Arial"/>
          <w:lang w:val="fr-CA"/>
        </w:rPr>
        <w:tab/>
        <w:t xml:space="preserve">1. </w:t>
      </w:r>
      <w:r w:rsidR="003C00B1" w:rsidRPr="00C230CE">
        <w:rPr>
          <w:rFonts w:ascii="Arial" w:hAnsi="Arial"/>
          <w:lang w:val="fr-CA"/>
        </w:rPr>
        <w:t>Berger</w:t>
      </w:r>
      <w:r w:rsidR="001116AF" w:rsidRPr="00C230CE">
        <w:rPr>
          <w:rFonts w:ascii="Arial" w:hAnsi="Arial"/>
          <w:lang w:val="fr-CA"/>
        </w:rPr>
        <w:t xml:space="preserve">, </w:t>
      </w:r>
      <w:r>
        <w:rPr>
          <w:rFonts w:ascii="Arial" w:hAnsi="Arial"/>
          <w:lang w:val="fr-CA"/>
        </w:rPr>
        <w:t xml:space="preserve">R. </w:t>
      </w:r>
      <w:r w:rsidR="001116AF" w:rsidRPr="00C230CE">
        <w:rPr>
          <w:rFonts w:ascii="Arial" w:hAnsi="Arial"/>
          <w:lang w:val="fr-CA"/>
        </w:rPr>
        <w:t xml:space="preserve">Laboratoire de </w:t>
      </w:r>
      <w:r w:rsidR="00C8286B" w:rsidRPr="00C230CE">
        <w:rPr>
          <w:rFonts w:ascii="Arial" w:hAnsi="Arial"/>
          <w:lang w:val="fr-CA"/>
        </w:rPr>
        <w:t>référence</w:t>
      </w:r>
      <w:r w:rsidR="001116AF" w:rsidRPr="00C230CE">
        <w:rPr>
          <w:rFonts w:ascii="Arial" w:hAnsi="Arial"/>
          <w:lang w:val="fr-CA"/>
        </w:rPr>
        <w:t xml:space="preserve"> national, SCCR</w:t>
      </w:r>
      <w:r w:rsidR="003C00B1" w:rsidRPr="00C230CE">
        <w:rPr>
          <w:rFonts w:ascii="Arial" w:hAnsi="Arial"/>
          <w:lang w:val="fr-CA"/>
        </w:rPr>
        <w:t>, Toronto</w:t>
      </w:r>
      <w:r>
        <w:rPr>
          <w:rFonts w:ascii="Arial" w:hAnsi="Arial"/>
          <w:lang w:val="fr-CA"/>
        </w:rPr>
        <w:t>.</w:t>
      </w:r>
    </w:p>
    <w:p w:rsidR="00670180" w:rsidRPr="00C230CE" w:rsidRDefault="00670180" w:rsidP="00291AF4">
      <w:pPr>
        <w:ind w:left="567" w:hanging="709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ab/>
      </w:r>
      <w:r>
        <w:rPr>
          <w:rFonts w:ascii="Arial" w:hAnsi="Arial"/>
          <w:lang w:val="fr-CA"/>
        </w:rPr>
        <w:tab/>
      </w:r>
      <w:r w:rsidR="00291AF4">
        <w:rPr>
          <w:rFonts w:ascii="Arial" w:hAnsi="Arial"/>
          <w:lang w:val="fr-CA"/>
        </w:rPr>
        <w:tab/>
      </w:r>
      <w:r w:rsidRPr="00F44642">
        <w:rPr>
          <w:rFonts w:ascii="Arial" w:hAnsi="Arial"/>
          <w:lang w:val="en-CA"/>
        </w:rPr>
        <w:t xml:space="preserve">2. Roback, JD. éd. </w:t>
      </w:r>
      <w:r w:rsidRPr="00F44642">
        <w:rPr>
          <w:rFonts w:ascii="Arial" w:hAnsi="Arial"/>
          <w:i/>
          <w:lang w:val="en-CA"/>
        </w:rPr>
        <w:t>AABB Technical Manual</w:t>
      </w:r>
      <w:r w:rsidRPr="00F44642">
        <w:rPr>
          <w:rFonts w:ascii="Arial" w:hAnsi="Arial"/>
          <w:lang w:val="en-CA"/>
        </w:rPr>
        <w:t>, 17</w:t>
      </w:r>
      <w:r w:rsidRPr="00F44642">
        <w:rPr>
          <w:rFonts w:ascii="Arial" w:hAnsi="Arial"/>
          <w:vertAlign w:val="superscript"/>
          <w:lang w:val="en-CA"/>
        </w:rPr>
        <w:t>e</w:t>
      </w:r>
      <w:r w:rsidRPr="00F44642">
        <w:rPr>
          <w:rFonts w:ascii="Arial" w:hAnsi="Arial"/>
          <w:lang w:val="en-CA"/>
        </w:rPr>
        <w:t xml:space="preserve"> éd. </w:t>
      </w:r>
      <w:r w:rsidRPr="00670180">
        <w:rPr>
          <w:rFonts w:ascii="Arial" w:hAnsi="Arial"/>
          <w:lang w:val="fr-CA"/>
        </w:rPr>
        <w:t>Bethesda MD: A</w:t>
      </w:r>
      <w:r>
        <w:rPr>
          <w:rFonts w:ascii="Arial" w:hAnsi="Arial"/>
          <w:lang w:val="fr-CA"/>
        </w:rPr>
        <w:t>ABB</w:t>
      </w:r>
      <w:r w:rsidR="00291AF4">
        <w:rPr>
          <w:rFonts w:ascii="Arial" w:hAnsi="Arial"/>
          <w:lang w:val="fr-CA"/>
        </w:rPr>
        <w:t> :</w:t>
      </w:r>
      <w:r>
        <w:rPr>
          <w:rFonts w:ascii="Arial" w:hAnsi="Arial"/>
          <w:lang w:val="fr-CA"/>
        </w:rPr>
        <w:t xml:space="preserve"> 478</w:t>
      </w:r>
      <w:r w:rsidRPr="00670180">
        <w:rPr>
          <w:rFonts w:ascii="Arial" w:hAnsi="Arial"/>
          <w:lang w:val="fr-CA"/>
        </w:rPr>
        <w:t xml:space="preserve"> </w:t>
      </w:r>
    </w:p>
    <w:sectPr w:rsidR="00670180" w:rsidRPr="00C230CE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166" w:right="1800" w:bottom="662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6B7" w:rsidRDefault="006736B7">
      <w:r>
        <w:separator/>
      </w:r>
    </w:p>
  </w:endnote>
  <w:endnote w:type="continuationSeparator" w:id="0">
    <w:p w:rsidR="006736B7" w:rsidRDefault="0067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0C2082">
      <w:trPr>
        <w:trHeight w:val="720"/>
      </w:trPr>
      <w:tc>
        <w:tcPr>
          <w:tcW w:w="1368" w:type="dxa"/>
        </w:tcPr>
        <w:p w:rsidR="000C2082" w:rsidRDefault="000C2082">
          <w:pPr>
            <w:pStyle w:val="Footer"/>
            <w:jc w:val="center"/>
            <w:rPr>
              <w:sz w:val="8"/>
            </w:rPr>
          </w:pPr>
        </w:p>
        <w:p w:rsidR="000C2082" w:rsidRDefault="00E1646B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2" name="Picture 2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0C2082" w:rsidRDefault="000C2082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1B4A9E" w:rsidRPr="00D52543" w:rsidRDefault="001B4A9E" w:rsidP="001B4A9E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1B4A9E" w:rsidRPr="00F44642" w:rsidRDefault="001B4A9E" w:rsidP="001B4A9E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  <w:r w:rsidRPr="00F44642">
            <w:rPr>
              <w:rFonts w:ascii="Arial" w:hAnsi="Arial"/>
              <w:sz w:val="18"/>
              <w:lang w:val="fr-CA"/>
            </w:rPr>
            <w:t xml:space="preserve"> </w:t>
          </w:r>
        </w:p>
        <w:p w:rsidR="000C2082" w:rsidRPr="00F44642" w:rsidRDefault="000C2082" w:rsidP="009A05AC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</w:tc>
      <w:tc>
        <w:tcPr>
          <w:tcW w:w="1494" w:type="dxa"/>
        </w:tcPr>
        <w:p w:rsidR="000C2082" w:rsidRPr="00F44642" w:rsidRDefault="000C2082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0C2082" w:rsidRDefault="000C2082" w:rsidP="003E48CE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PS.0</w:t>
          </w:r>
          <w:r w:rsidR="003E48CE">
            <w:rPr>
              <w:rFonts w:ascii="Arial" w:hAnsi="Arial"/>
              <w:sz w:val="18"/>
            </w:rPr>
            <w:t>09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>Page</w:t>
          </w:r>
          <w:r w:rsidR="00964356">
            <w:rPr>
              <w:rFonts w:ascii="Arial" w:hAnsi="Arial"/>
              <w:snapToGrid w:val="0"/>
              <w:sz w:val="18"/>
            </w:rPr>
            <w:t> 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F44642">
            <w:rPr>
              <w:rFonts w:ascii="Arial" w:hAnsi="Arial"/>
              <w:noProof/>
              <w:snapToGrid w:val="0"/>
              <w:sz w:val="18"/>
            </w:rPr>
            <w:t>5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F44642">
            <w:rPr>
              <w:rFonts w:ascii="Arial" w:hAnsi="Arial"/>
              <w:noProof/>
              <w:snapToGrid w:val="0"/>
              <w:sz w:val="18"/>
            </w:rPr>
            <w:t>5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0C2082" w:rsidRDefault="000C20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0C2082">
      <w:trPr>
        <w:trHeight w:val="720"/>
      </w:trPr>
      <w:tc>
        <w:tcPr>
          <w:tcW w:w="1368" w:type="dxa"/>
        </w:tcPr>
        <w:p w:rsidR="000C2082" w:rsidRDefault="000C2082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0C2082" w:rsidRDefault="00E1646B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3" name="Picture 3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0C2082" w:rsidRPr="001116AF" w:rsidRDefault="000C2082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  <w:p w:rsidR="001B4A9E" w:rsidRPr="00D52543" w:rsidRDefault="001B4A9E" w:rsidP="001B4A9E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1B4A9E" w:rsidRPr="00F44642" w:rsidRDefault="001B4A9E" w:rsidP="001B4A9E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  <w:r w:rsidRPr="00F44642">
            <w:rPr>
              <w:rFonts w:ascii="Arial" w:hAnsi="Arial"/>
              <w:sz w:val="18"/>
              <w:lang w:val="fr-CA"/>
            </w:rPr>
            <w:t xml:space="preserve"> </w:t>
          </w:r>
        </w:p>
        <w:p w:rsidR="000C2082" w:rsidRPr="001116AF" w:rsidRDefault="000C2082" w:rsidP="001B4A9E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</w:tc>
      <w:tc>
        <w:tcPr>
          <w:tcW w:w="1494" w:type="dxa"/>
        </w:tcPr>
        <w:p w:rsidR="000C2082" w:rsidRPr="001116AF" w:rsidRDefault="000C2082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0C2082" w:rsidRPr="001116AF" w:rsidRDefault="000C2082" w:rsidP="003E48CE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  <w:r w:rsidRPr="001116AF">
            <w:rPr>
              <w:rFonts w:ascii="Arial" w:hAnsi="Arial"/>
              <w:sz w:val="18"/>
              <w:lang w:val="fr-CA"/>
            </w:rPr>
            <w:t>PS.0</w:t>
          </w:r>
          <w:r w:rsidR="003E48CE">
            <w:rPr>
              <w:rFonts w:ascii="Arial" w:hAnsi="Arial"/>
              <w:sz w:val="18"/>
              <w:lang w:val="fr-CA"/>
            </w:rPr>
            <w:t>09</w:t>
          </w:r>
          <w:r w:rsidRPr="001116AF">
            <w:rPr>
              <w:rFonts w:ascii="Arial" w:hAnsi="Arial"/>
              <w:sz w:val="18"/>
              <w:lang w:val="fr-CA"/>
            </w:rPr>
            <w:br/>
          </w:r>
          <w:r w:rsidRPr="001116AF">
            <w:rPr>
              <w:rFonts w:ascii="Arial" w:hAnsi="Arial"/>
              <w:snapToGrid w:val="0"/>
              <w:sz w:val="18"/>
              <w:lang w:val="fr-CA"/>
            </w:rPr>
            <w:t>Page</w:t>
          </w:r>
          <w:r w:rsidR="00964356">
            <w:rPr>
              <w:rFonts w:ascii="Arial" w:hAnsi="Arial"/>
              <w:snapToGrid w:val="0"/>
              <w:sz w:val="18"/>
              <w:lang w:val="fr-CA"/>
            </w:rPr>
            <w:t> </w:t>
          </w:r>
          <w:r w:rsidRPr="001116AF">
            <w:rPr>
              <w:rFonts w:ascii="Arial" w:hAnsi="Arial"/>
              <w:snapToGrid w:val="0"/>
              <w:sz w:val="18"/>
              <w:lang w:val="fr-CA"/>
            </w:rPr>
            <w:fldChar w:fldCharType="begin"/>
          </w:r>
          <w:r w:rsidRPr="001116AF">
            <w:rPr>
              <w:rFonts w:ascii="Arial" w:hAnsi="Arial"/>
              <w:snapToGrid w:val="0"/>
              <w:sz w:val="18"/>
              <w:lang w:val="fr-CA"/>
            </w:rPr>
            <w:instrText xml:space="preserve"> PAGE </w:instrText>
          </w:r>
          <w:r w:rsidRPr="001116AF">
            <w:rPr>
              <w:rFonts w:ascii="Arial" w:hAnsi="Arial"/>
              <w:snapToGrid w:val="0"/>
              <w:sz w:val="18"/>
              <w:lang w:val="fr-CA"/>
            </w:rPr>
            <w:fldChar w:fldCharType="separate"/>
          </w:r>
          <w:r w:rsidR="00F44642">
            <w:rPr>
              <w:rFonts w:ascii="Arial" w:hAnsi="Arial"/>
              <w:noProof/>
              <w:snapToGrid w:val="0"/>
              <w:sz w:val="18"/>
              <w:lang w:val="fr-CA"/>
            </w:rPr>
            <w:t>1</w:t>
          </w:r>
          <w:r w:rsidRPr="001116AF">
            <w:rPr>
              <w:rFonts w:ascii="Arial" w:hAnsi="Arial"/>
              <w:snapToGrid w:val="0"/>
              <w:sz w:val="18"/>
              <w:lang w:val="fr-CA"/>
            </w:rPr>
            <w:fldChar w:fldCharType="end"/>
          </w:r>
          <w:r w:rsidRPr="001116AF">
            <w:rPr>
              <w:rFonts w:ascii="Arial" w:hAnsi="Arial"/>
              <w:snapToGrid w:val="0"/>
              <w:sz w:val="18"/>
              <w:lang w:val="fr-CA"/>
            </w:rPr>
            <w:t xml:space="preserve"> de </w:t>
          </w:r>
          <w:r w:rsidRPr="001116AF">
            <w:rPr>
              <w:rFonts w:ascii="Arial" w:hAnsi="Arial"/>
              <w:snapToGrid w:val="0"/>
              <w:sz w:val="18"/>
              <w:lang w:val="fr-CA"/>
            </w:rPr>
            <w:fldChar w:fldCharType="begin"/>
          </w:r>
          <w:r w:rsidRPr="001116AF">
            <w:rPr>
              <w:rFonts w:ascii="Arial" w:hAnsi="Arial"/>
              <w:snapToGrid w:val="0"/>
              <w:sz w:val="18"/>
              <w:lang w:val="fr-CA"/>
            </w:rPr>
            <w:instrText xml:space="preserve"> NUMPAGES </w:instrText>
          </w:r>
          <w:r w:rsidRPr="001116AF">
            <w:rPr>
              <w:rFonts w:ascii="Arial" w:hAnsi="Arial"/>
              <w:snapToGrid w:val="0"/>
              <w:sz w:val="18"/>
              <w:lang w:val="fr-CA"/>
            </w:rPr>
            <w:fldChar w:fldCharType="separate"/>
          </w:r>
          <w:r w:rsidR="00F44642">
            <w:rPr>
              <w:rFonts w:ascii="Arial" w:hAnsi="Arial"/>
              <w:noProof/>
              <w:snapToGrid w:val="0"/>
              <w:sz w:val="18"/>
              <w:lang w:val="fr-CA"/>
            </w:rPr>
            <w:t>5</w:t>
          </w:r>
          <w:r w:rsidRPr="001116AF">
            <w:rPr>
              <w:rFonts w:ascii="Arial" w:hAnsi="Arial"/>
              <w:snapToGrid w:val="0"/>
              <w:sz w:val="18"/>
              <w:lang w:val="fr-CA"/>
            </w:rPr>
            <w:fldChar w:fldCharType="end"/>
          </w:r>
        </w:p>
      </w:tc>
    </w:tr>
  </w:tbl>
  <w:p w:rsidR="000C2082" w:rsidRDefault="000C2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6B7" w:rsidRDefault="006736B7">
      <w:r>
        <w:separator/>
      </w:r>
    </w:p>
  </w:footnote>
  <w:footnote w:type="continuationSeparator" w:id="0">
    <w:p w:rsidR="006736B7" w:rsidRDefault="00673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082" w:rsidRPr="001116AF" w:rsidRDefault="000C2082" w:rsidP="001116AF">
    <w:pPr>
      <w:pStyle w:val="Header"/>
      <w:jc w:val="center"/>
      <w:rPr>
        <w:rFonts w:ascii="Arial" w:hAnsi="Arial"/>
        <w:b/>
        <w:sz w:val="28"/>
        <w:lang w:val="fr-CA"/>
      </w:rPr>
    </w:pPr>
    <w:r w:rsidRPr="001116AF">
      <w:rPr>
        <w:rFonts w:ascii="Arial" w:hAnsi="Arial"/>
        <w:b/>
        <w:sz w:val="28"/>
        <w:lang w:val="fr-CA"/>
      </w:rPr>
      <w:t>Préparation et analyse d</w:t>
    </w:r>
    <w:r w:rsidR="00964356">
      <w:rPr>
        <w:rFonts w:ascii="Arial" w:hAnsi="Arial"/>
        <w:b/>
        <w:sz w:val="28"/>
        <w:lang w:val="fr-CA"/>
      </w:rPr>
      <w:t>’</w:t>
    </w:r>
    <w:r w:rsidRPr="001116AF">
      <w:rPr>
        <w:rFonts w:ascii="Arial" w:hAnsi="Arial"/>
        <w:b/>
        <w:sz w:val="28"/>
        <w:lang w:val="fr-CA"/>
      </w:rPr>
      <w:t>hématies traitées par AET</w:t>
    </w:r>
  </w:p>
  <w:p w:rsidR="000C2082" w:rsidRPr="00F44642" w:rsidRDefault="000C2082">
    <w:pPr>
      <w:pStyle w:val="Header"/>
      <w:rPr>
        <w:rFonts w:ascii="Arial" w:hAnsi="Arial"/>
        <w:sz w:val="18"/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A9E" w:rsidRDefault="00E1646B" w:rsidP="001B4A9E">
    <w:pPr>
      <w:pStyle w:val="Header"/>
      <w:rPr>
        <w:rFonts w:ascii="Verdana" w:hAnsi="Verdana"/>
        <w:sz w:val="8"/>
      </w:rPr>
    </w:pPr>
    <w:r>
      <w:rPr>
        <w:rFonts w:ascii="Verdana" w:hAnsi="Verdana"/>
        <w:noProof/>
        <w:sz w:val="8"/>
      </w:rPr>
      <w:drawing>
        <wp:inline distT="0" distB="0" distL="0" distR="0">
          <wp:extent cx="1352550" cy="457200"/>
          <wp:effectExtent l="0" t="0" r="0" b="0"/>
          <wp:docPr id="1" name="Picture 1" descr="ORBCoN 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BCoN 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642" w:rsidRDefault="00F44642" w:rsidP="001B4A9E">
    <w:pPr>
      <w:pStyle w:val="Header"/>
      <w:rPr>
        <w:rFonts w:ascii="Verdana" w:hAnsi="Verdana"/>
        <w:sz w:val="8"/>
      </w:rPr>
    </w:pPr>
  </w:p>
  <w:p w:rsidR="001B4A9E" w:rsidRPr="000C64D0" w:rsidRDefault="001B4A9E" w:rsidP="001B4A9E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0C64D0">
      <w:rPr>
        <w:rFonts w:ascii="Arial" w:hAnsi="Arial" w:cs="Arial"/>
        <w:b/>
        <w:bCs/>
        <w:sz w:val="28"/>
        <w:szCs w:val="28"/>
        <w:lang w:val="fr-CA"/>
      </w:rPr>
      <w:t>Réseau régional ontarien de coordination du sang</w:t>
    </w:r>
  </w:p>
  <w:p w:rsidR="001B4A9E" w:rsidRPr="000C64D0" w:rsidRDefault="001B4A9E" w:rsidP="001B4A9E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0C64D0">
      <w:rPr>
        <w:rFonts w:ascii="Arial" w:hAnsi="Arial" w:cs="Arial"/>
        <w:b/>
        <w:bCs/>
        <w:sz w:val="28"/>
        <w:szCs w:val="28"/>
        <w:lang w:val="fr-CA"/>
      </w:rPr>
      <w:t>Manuel de ressources techniques en transfusion de l’Ontario</w:t>
    </w:r>
  </w:p>
  <w:p w:rsidR="000C2082" w:rsidRPr="001116AF" w:rsidRDefault="000C2082">
    <w:pPr>
      <w:pStyle w:val="Header"/>
      <w:jc w:val="center"/>
      <w:rPr>
        <w:rFonts w:ascii="Arial" w:hAnsi="Arial" w:cs="Arial"/>
        <w:b/>
        <w:bCs/>
        <w:sz w:val="22"/>
        <w:lang w:val="fr-CA"/>
      </w:rPr>
    </w:pPr>
  </w:p>
  <w:p w:rsidR="000C2082" w:rsidRPr="001116AF" w:rsidRDefault="000C2082">
    <w:pPr>
      <w:pStyle w:val="Header"/>
      <w:jc w:val="center"/>
      <w:rPr>
        <w:rFonts w:ascii="Arial" w:hAnsi="Arial"/>
        <w:b/>
        <w:sz w:val="28"/>
        <w:lang w:val="fr-CA"/>
      </w:rPr>
    </w:pPr>
    <w:r w:rsidRPr="001116AF">
      <w:rPr>
        <w:rFonts w:ascii="Arial" w:hAnsi="Arial"/>
        <w:b/>
        <w:sz w:val="28"/>
        <w:lang w:val="fr-CA"/>
      </w:rPr>
      <w:t>Préparation et analyse d</w:t>
    </w:r>
    <w:r w:rsidR="00964356">
      <w:rPr>
        <w:rFonts w:ascii="Arial" w:hAnsi="Arial"/>
        <w:b/>
        <w:sz w:val="28"/>
        <w:lang w:val="fr-CA"/>
      </w:rPr>
      <w:t>’</w:t>
    </w:r>
    <w:r w:rsidRPr="001116AF">
      <w:rPr>
        <w:rFonts w:ascii="Arial" w:hAnsi="Arial"/>
        <w:b/>
        <w:sz w:val="28"/>
        <w:lang w:val="fr-CA"/>
      </w:rPr>
      <w:t>hématies traitées par AET</w:t>
    </w:r>
  </w:p>
  <w:p w:rsidR="000C2082" w:rsidRPr="001116AF" w:rsidRDefault="000C2082">
    <w:pPr>
      <w:pStyle w:val="Header"/>
      <w:jc w:val="center"/>
      <w:rPr>
        <w:rFonts w:ascii="Arial" w:hAnsi="Arial" w:cs="Arial"/>
        <w:b/>
        <w:bCs/>
        <w:lang w:val="fr-CA"/>
      </w:rPr>
    </w:pPr>
  </w:p>
  <w:p w:rsidR="000C2082" w:rsidRPr="001116AF" w:rsidRDefault="00E1646B">
    <w:pPr>
      <w:pStyle w:val="Header"/>
      <w:jc w:val="center"/>
      <w:rPr>
        <w:rFonts w:ascii="Arial" w:hAnsi="Arial" w:cs="Arial"/>
        <w:b/>
        <w:bCs/>
        <w:lang w:val="fr-CA"/>
      </w:rPr>
    </w:pPr>
    <w:r w:rsidRPr="001116AF">
      <w:rPr>
        <w:rFonts w:ascii="Arial" w:hAnsi="Arial" w:cs="Arial"/>
        <w:noProof/>
        <w:lang w:val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1CC8D4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1r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A6S9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23"/>
      <w:gridCol w:w="4317"/>
    </w:tblGrid>
    <w:tr w:rsidR="000C2082" w:rsidRPr="001116AF">
      <w:tc>
        <w:tcPr>
          <w:tcW w:w="4428" w:type="dxa"/>
        </w:tcPr>
        <w:p w:rsidR="000C2082" w:rsidRPr="001116AF" w:rsidRDefault="009A05AC" w:rsidP="003D5582">
          <w:pPr>
            <w:pStyle w:val="Header"/>
            <w:rPr>
              <w:rFonts w:ascii="Arial" w:hAnsi="Arial" w:cs="Arial"/>
              <w:lang w:val="fr-CA"/>
            </w:rPr>
          </w:pPr>
          <w:r>
            <w:rPr>
              <w:rFonts w:ascii="Arial" w:hAnsi="Arial" w:cs="Arial"/>
              <w:lang w:val="fr-CA"/>
            </w:rPr>
            <w:t>Approbation </w:t>
          </w:r>
          <w:r w:rsidRPr="00F94C01">
            <w:rPr>
              <w:rFonts w:ascii="Arial" w:hAnsi="Arial" w:cs="Arial"/>
              <w:lang w:val="fr-CA"/>
            </w:rPr>
            <w:t>:</w:t>
          </w:r>
          <w:r>
            <w:rPr>
              <w:rFonts w:ascii="Arial" w:hAnsi="Arial" w:cs="Arial"/>
              <w:lang w:val="fr-CA"/>
            </w:rPr>
            <w:t xml:space="preserve"> </w:t>
          </w:r>
        </w:p>
      </w:tc>
      <w:tc>
        <w:tcPr>
          <w:tcW w:w="4428" w:type="dxa"/>
        </w:tcPr>
        <w:p w:rsidR="000C2082" w:rsidRPr="001116AF" w:rsidRDefault="000C2082" w:rsidP="003D5582">
          <w:pPr>
            <w:pStyle w:val="Header"/>
            <w:rPr>
              <w:rFonts w:ascii="Arial" w:hAnsi="Arial" w:cs="Arial"/>
              <w:lang w:val="fr-CA"/>
            </w:rPr>
          </w:pPr>
          <w:r w:rsidRPr="001116AF">
            <w:rPr>
              <w:rFonts w:ascii="Arial" w:hAnsi="Arial" w:cs="Arial"/>
              <w:lang w:val="fr-CA"/>
            </w:rPr>
            <w:t>Document no : PS.0</w:t>
          </w:r>
          <w:r w:rsidR="003D5582">
            <w:rPr>
              <w:rFonts w:ascii="Arial" w:hAnsi="Arial" w:cs="Arial"/>
              <w:lang w:val="fr-CA"/>
            </w:rPr>
            <w:t>09</w:t>
          </w:r>
        </w:p>
      </w:tc>
    </w:tr>
    <w:tr w:rsidR="000C2082" w:rsidRPr="001116AF">
      <w:tc>
        <w:tcPr>
          <w:tcW w:w="4428" w:type="dxa"/>
        </w:tcPr>
        <w:p w:rsidR="000C2082" w:rsidRPr="001116AF" w:rsidRDefault="000C2082">
          <w:pPr>
            <w:pStyle w:val="Header"/>
            <w:rPr>
              <w:rFonts w:ascii="Arial" w:hAnsi="Arial" w:cs="Arial"/>
              <w:lang w:val="fr-CA"/>
            </w:rPr>
          </w:pPr>
          <w:r w:rsidRPr="001116AF">
            <w:rPr>
              <w:rFonts w:ascii="Arial" w:hAnsi="Arial" w:cs="Arial"/>
              <w:lang w:val="fr-CA"/>
            </w:rPr>
            <w:t>Date de publication : 2006/08/01</w:t>
          </w:r>
        </w:p>
      </w:tc>
      <w:tc>
        <w:tcPr>
          <w:tcW w:w="4428" w:type="dxa"/>
        </w:tcPr>
        <w:p w:rsidR="000C2082" w:rsidRPr="001116AF" w:rsidRDefault="000C2082">
          <w:pPr>
            <w:pStyle w:val="Header"/>
            <w:rPr>
              <w:rFonts w:ascii="Arial" w:hAnsi="Arial" w:cs="Arial"/>
              <w:lang w:val="fr-CA"/>
            </w:rPr>
          </w:pPr>
          <w:r w:rsidRPr="001116AF">
            <w:rPr>
              <w:rFonts w:ascii="Arial" w:hAnsi="Arial" w:cs="Arial"/>
              <w:lang w:val="fr-CA"/>
            </w:rPr>
            <w:t>Catégorie : Procédures spéciales</w:t>
          </w:r>
        </w:p>
      </w:tc>
    </w:tr>
    <w:tr w:rsidR="000C2082" w:rsidRPr="001116AF">
      <w:tc>
        <w:tcPr>
          <w:tcW w:w="4428" w:type="dxa"/>
        </w:tcPr>
        <w:p w:rsidR="000C2082" w:rsidRPr="001116AF" w:rsidRDefault="009A05AC">
          <w:pPr>
            <w:pStyle w:val="Header"/>
            <w:rPr>
              <w:rFonts w:ascii="Arial" w:hAnsi="Arial" w:cs="Arial"/>
              <w:lang w:val="fr-CA"/>
            </w:rPr>
          </w:pPr>
          <w:r w:rsidRPr="00F94C01">
            <w:rPr>
              <w:rFonts w:ascii="Arial" w:hAnsi="Arial" w:cs="Arial"/>
              <w:lang w:val="fr-CA"/>
            </w:rPr>
            <w:t xml:space="preserve">Date de </w:t>
          </w:r>
          <w:r>
            <w:rPr>
              <w:rFonts w:ascii="Arial" w:hAnsi="Arial" w:cs="Arial"/>
              <w:lang w:val="fr-CA"/>
            </w:rPr>
            <w:t>révision </w:t>
          </w:r>
          <w:r w:rsidRPr="00F94C01">
            <w:rPr>
              <w:rFonts w:ascii="Arial" w:hAnsi="Arial" w:cs="Arial"/>
              <w:lang w:val="fr-CA"/>
            </w:rPr>
            <w:t>:</w:t>
          </w:r>
          <w:r>
            <w:rPr>
              <w:rFonts w:ascii="Arial" w:hAnsi="Arial" w:cs="Arial"/>
              <w:lang w:val="fr-CA"/>
            </w:rPr>
            <w:t xml:space="preserve"> 2009/12/31</w:t>
          </w:r>
          <w:r w:rsidR="003D5582">
            <w:rPr>
              <w:rFonts w:ascii="Arial" w:hAnsi="Arial" w:cs="Arial"/>
              <w:lang w:val="fr-CA"/>
            </w:rPr>
            <w:t>; 2018/09/01</w:t>
          </w:r>
        </w:p>
      </w:tc>
      <w:tc>
        <w:tcPr>
          <w:tcW w:w="4428" w:type="dxa"/>
        </w:tcPr>
        <w:p w:rsidR="000C2082" w:rsidRPr="001116AF" w:rsidRDefault="000C2082">
          <w:pPr>
            <w:pStyle w:val="Header"/>
            <w:rPr>
              <w:rFonts w:ascii="Arial" w:hAnsi="Arial" w:cs="Arial"/>
              <w:lang w:val="fr-CA"/>
            </w:rPr>
          </w:pPr>
          <w:r w:rsidRPr="001116AF">
            <w:rPr>
              <w:rFonts w:ascii="Arial" w:hAnsi="Arial" w:cs="Arial"/>
              <w:lang w:val="fr-CA"/>
            </w:rPr>
            <w:t xml:space="preserve">Pages : </w:t>
          </w:r>
          <w:r w:rsidRPr="001116AF">
            <w:rPr>
              <w:rFonts w:ascii="Arial" w:hAnsi="Arial" w:cs="Arial"/>
              <w:lang w:val="fr-CA"/>
            </w:rPr>
            <w:fldChar w:fldCharType="begin"/>
          </w:r>
          <w:r w:rsidRPr="001116AF">
            <w:rPr>
              <w:rFonts w:ascii="Arial" w:hAnsi="Arial" w:cs="Arial"/>
              <w:lang w:val="fr-CA"/>
            </w:rPr>
            <w:instrText xml:space="preserve"> NUMPAGES </w:instrText>
          </w:r>
          <w:r w:rsidRPr="001116AF">
            <w:rPr>
              <w:rFonts w:ascii="Arial" w:hAnsi="Arial" w:cs="Arial"/>
              <w:lang w:val="fr-CA"/>
            </w:rPr>
            <w:fldChar w:fldCharType="separate"/>
          </w:r>
          <w:r w:rsidR="00F44642">
            <w:rPr>
              <w:rFonts w:ascii="Arial" w:hAnsi="Arial" w:cs="Arial"/>
              <w:noProof/>
              <w:lang w:val="fr-CA"/>
            </w:rPr>
            <w:t>5</w:t>
          </w:r>
          <w:r w:rsidRPr="001116AF">
            <w:rPr>
              <w:rFonts w:ascii="Arial" w:hAnsi="Arial" w:cs="Arial"/>
              <w:lang w:val="fr-CA"/>
            </w:rPr>
            <w:fldChar w:fldCharType="end"/>
          </w:r>
        </w:p>
      </w:tc>
    </w:tr>
  </w:tbl>
  <w:p w:rsidR="000C2082" w:rsidRPr="001116AF" w:rsidRDefault="00E1646B">
    <w:pPr>
      <w:pStyle w:val="Header"/>
      <w:tabs>
        <w:tab w:val="clear" w:pos="8640"/>
        <w:tab w:val="left" w:pos="4714"/>
      </w:tabs>
      <w:rPr>
        <w:lang w:val="fr-CA"/>
      </w:rPr>
    </w:pPr>
    <w:r w:rsidRPr="001116AF">
      <w:rPr>
        <w:rFonts w:ascii="Arial" w:hAnsi="Arial" w:cs="Arial"/>
        <w:noProof/>
        <w:lang w:val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8ADF2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0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A6S9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ChaXQc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0C2082" w:rsidRPr="001116AF">
      <w:rPr>
        <w:rFonts w:ascii="Arial" w:hAnsi="Arial" w:cs="Arial"/>
        <w:lang w:val="fr-CA"/>
      </w:rPr>
      <w:tab/>
    </w:r>
    <w:r w:rsidR="000C2082" w:rsidRPr="001116AF">
      <w:rPr>
        <w:rFonts w:ascii="Arial" w:hAnsi="Arial" w:cs="Arial"/>
        <w:lang w:val="fr-CA"/>
      </w:rPr>
      <w:tab/>
    </w:r>
  </w:p>
  <w:p w:rsidR="000C2082" w:rsidRDefault="000C20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B62A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E932AE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203F35B4"/>
    <w:multiLevelType w:val="hybridMultilevel"/>
    <w:tmpl w:val="F1F25F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60670DD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6" w15:restartNumberingAfterBreak="0">
    <w:nsid w:val="31BD5AF2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8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77952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E04616B"/>
    <w:multiLevelType w:val="multilevel"/>
    <w:tmpl w:val="B822617E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 w15:restartNumberingAfterBreak="0">
    <w:nsid w:val="45300BFB"/>
    <w:multiLevelType w:val="hybridMultilevel"/>
    <w:tmpl w:val="0DF01D30"/>
    <w:lvl w:ilvl="0" w:tplc="F47CC610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342FAC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4AF448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B792486"/>
    <w:multiLevelType w:val="singleLevel"/>
    <w:tmpl w:val="CFD0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 w15:restartNumberingAfterBreak="0">
    <w:nsid w:val="4CD41447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7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0B734A"/>
    <w:multiLevelType w:val="hybridMultilevel"/>
    <w:tmpl w:val="F8184634"/>
    <w:lvl w:ilvl="0" w:tplc="AC62BB94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5"/>
  </w:num>
  <w:num w:numId="5">
    <w:abstractNumId w:val="20"/>
  </w:num>
  <w:num w:numId="6">
    <w:abstractNumId w:val="19"/>
  </w:num>
  <w:num w:numId="7">
    <w:abstractNumId w:val="17"/>
  </w:num>
  <w:num w:numId="8">
    <w:abstractNumId w:val="1"/>
  </w:num>
  <w:num w:numId="9">
    <w:abstractNumId w:val="14"/>
  </w:num>
  <w:num w:numId="10">
    <w:abstractNumId w:val="9"/>
  </w:num>
  <w:num w:numId="11">
    <w:abstractNumId w:val="13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4"/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8"/>
  </w:num>
  <w:num w:numId="16">
    <w:abstractNumId w:val="2"/>
  </w:num>
  <w:num w:numId="1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8"/>
  </w:num>
  <w:num w:numId="19">
    <w:abstractNumId w:val="12"/>
  </w:num>
  <w:num w:numId="20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3"/>
  </w:num>
  <w:num w:numId="22">
    <w:abstractNumId w:val="18"/>
  </w:num>
  <w:num w:numId="23">
    <w:abstractNumId w:val="1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AF"/>
    <w:rsid w:val="00053A74"/>
    <w:rsid w:val="000C2082"/>
    <w:rsid w:val="000C5AC3"/>
    <w:rsid w:val="001116AF"/>
    <w:rsid w:val="001270DA"/>
    <w:rsid w:val="001B4A9E"/>
    <w:rsid w:val="001D6E84"/>
    <w:rsid w:val="001F4231"/>
    <w:rsid w:val="00291AF4"/>
    <w:rsid w:val="00305CB9"/>
    <w:rsid w:val="0031273E"/>
    <w:rsid w:val="003C00B1"/>
    <w:rsid w:val="003D5582"/>
    <w:rsid w:val="003E48CE"/>
    <w:rsid w:val="0050561A"/>
    <w:rsid w:val="00590A95"/>
    <w:rsid w:val="005A314C"/>
    <w:rsid w:val="005B513A"/>
    <w:rsid w:val="006224BA"/>
    <w:rsid w:val="00642E2A"/>
    <w:rsid w:val="00670180"/>
    <w:rsid w:val="006736B7"/>
    <w:rsid w:val="006B5A41"/>
    <w:rsid w:val="006F2411"/>
    <w:rsid w:val="00724CB3"/>
    <w:rsid w:val="0079200C"/>
    <w:rsid w:val="007B2AA9"/>
    <w:rsid w:val="007B33FC"/>
    <w:rsid w:val="007C2B2A"/>
    <w:rsid w:val="00860541"/>
    <w:rsid w:val="008721A3"/>
    <w:rsid w:val="009271D1"/>
    <w:rsid w:val="00960CAE"/>
    <w:rsid w:val="00964356"/>
    <w:rsid w:val="00966C50"/>
    <w:rsid w:val="009A05AC"/>
    <w:rsid w:val="00A20327"/>
    <w:rsid w:val="00A50AB5"/>
    <w:rsid w:val="00BF24E0"/>
    <w:rsid w:val="00BF2802"/>
    <w:rsid w:val="00C230CE"/>
    <w:rsid w:val="00C743F8"/>
    <w:rsid w:val="00C8286B"/>
    <w:rsid w:val="00D12F65"/>
    <w:rsid w:val="00DA6EAD"/>
    <w:rsid w:val="00E1646B"/>
    <w:rsid w:val="00E273BD"/>
    <w:rsid w:val="00F02836"/>
    <w:rsid w:val="00F4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8EFB3E-9B9E-4CFD-8748-3C2FF62D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uppressAutoHyphens/>
      <w:spacing w:after="120"/>
      <w:ind w:left="720"/>
    </w:pPr>
    <w:rPr>
      <w:rFonts w:ascii="Arial" w:hAnsi="Arial"/>
      <w:spacing w:val="-2"/>
      <w:sz w:val="24"/>
      <w:lang w:val="en-GB"/>
    </w:rPr>
  </w:style>
  <w:style w:type="paragraph" w:styleId="BodyTextIndent2">
    <w:name w:val="Body Text Indent 2"/>
    <w:basedOn w:val="Normal"/>
    <w:pPr>
      <w:ind w:left="1440"/>
    </w:pPr>
    <w:rPr>
      <w:rFonts w:ascii="Arial" w:hAnsi="Arial"/>
      <w:spacing w:val="-2"/>
      <w:sz w:val="24"/>
      <w:lang w:val="en-GB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sid w:val="001116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A9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1CD54-6C7A-4266-A1DC-7C4D2175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SP.010 - AET treated Red Cells - Preparation and Testing</vt:lpstr>
      <vt:lpstr>EFFETS DE L’AET SUR LES ANTIGÈNES</vt:lpstr>
      <vt:lpstr>SP.010 - AET treated Red Cells - Preparation and Testing</vt:lpstr>
    </vt:vector>
  </TitlesOfParts>
  <Company>The Ottawa Hospital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SP.010 - AET treated Red Cells - Preparation and Testing</dc:title>
  <dc:subject/>
  <dc:creator>Transfusion Ontario Program Office</dc:creator>
  <cp:keywords/>
  <cp:lastModifiedBy>Nesrallah, Heather</cp:lastModifiedBy>
  <cp:revision>2</cp:revision>
  <cp:lastPrinted>2010-07-07T21:12:00Z</cp:lastPrinted>
  <dcterms:created xsi:type="dcterms:W3CDTF">2020-08-11T15:33:00Z</dcterms:created>
  <dcterms:modified xsi:type="dcterms:W3CDTF">2020-08-11T15:33:00Z</dcterms:modified>
</cp:coreProperties>
</file>