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Principe</w:t>
      </w:r>
    </w:p>
    <w:p w:rsidR="00C057BC" w:rsidRDefault="00C057BC">
      <w:pPr>
        <w:rPr>
          <w:rFonts w:ascii="Arial" w:hAnsi="Arial"/>
          <w:sz w:val="24"/>
          <w:lang w:val="fr-CA"/>
        </w:rPr>
      </w:pPr>
    </w:p>
    <w:p w:rsidR="00C057BC" w:rsidRDefault="00C057BC">
      <w:pPr>
        <w:pStyle w:val="BodyTextIndent"/>
        <w:rPr>
          <w:lang w:val="fr-CA"/>
        </w:rPr>
      </w:pPr>
      <w:r>
        <w:rPr>
          <w:lang w:val="fr-CA"/>
        </w:rPr>
        <w:t xml:space="preserve">Les globules rouges ayant un TDA positif ne peuvent pas être testés de façon précise avec des réactifs de typage sanguin qui nécessitent une technique </w:t>
      </w:r>
      <w:proofErr w:type="spellStart"/>
      <w:r>
        <w:rPr>
          <w:lang w:val="fr-CA"/>
        </w:rPr>
        <w:t>antiglobuline</w:t>
      </w:r>
      <w:proofErr w:type="spellEnd"/>
      <w:r>
        <w:rPr>
          <w:lang w:val="fr-CA"/>
        </w:rPr>
        <w:t xml:space="preserve"> indirecte</w:t>
      </w:r>
      <w:r w:rsidR="002B0E8C">
        <w:rPr>
          <w:lang w:val="fr-CA"/>
        </w:rPr>
        <w:t>.</w:t>
      </w:r>
      <w:r>
        <w:rPr>
          <w:lang w:val="fr-CA"/>
        </w:rPr>
        <w:t xml:space="preserve"> Le diphosphate de chloroquine dissocie l’IgG de la membrane des globules rouges </w:t>
      </w:r>
      <w:r w:rsidR="006D406F">
        <w:rPr>
          <w:lang w:val="fr-CA"/>
        </w:rPr>
        <w:t xml:space="preserve">sans nuire ou presque à </w:t>
      </w:r>
      <w:r>
        <w:rPr>
          <w:lang w:val="fr-CA"/>
        </w:rPr>
        <w:t>son intégrité s’il est utilisé dans des conditions contrôlées.</w:t>
      </w:r>
    </w:p>
    <w:p w:rsidR="00C057BC" w:rsidRDefault="00C057BC">
      <w:pPr>
        <w:rPr>
          <w:rFonts w:ascii="Arial" w:hAnsi="Arial"/>
          <w:sz w:val="24"/>
          <w:lang w:val="fr-CA"/>
        </w:rPr>
      </w:pPr>
    </w:p>
    <w:p w:rsidR="002B0E8C" w:rsidRPr="002B0E8C" w:rsidRDefault="00C057BC">
      <w:pPr>
        <w:numPr>
          <w:ilvl w:val="0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8"/>
          <w:lang w:val="fr-CA"/>
        </w:rPr>
        <w:t>Portée et politiques connexes</w:t>
      </w:r>
    </w:p>
    <w:p w:rsidR="00C057BC" w:rsidRDefault="00BC5981" w:rsidP="002B0E8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8"/>
          <w:lang w:val="fr-CA"/>
        </w:rPr>
        <w:br/>
      </w:r>
      <w:r w:rsidR="002B0E8C">
        <w:rPr>
          <w:rFonts w:ascii="Arial" w:hAnsi="Arial"/>
          <w:sz w:val="24"/>
          <w:lang w:val="fr-CA"/>
        </w:rPr>
        <w:t>Tout réactif préparé en laboratoire interne qui contient une substance contrôlée doit être étiqueté conformément au règlement du SIMDUT</w:t>
      </w:r>
      <w:r w:rsidR="002B0E8C">
        <w:rPr>
          <w:rFonts w:ascii="Arial" w:hAnsi="Arial"/>
          <w:sz w:val="24"/>
          <w:vertAlign w:val="superscript"/>
          <w:lang w:val="fr-CA"/>
        </w:rPr>
        <w:t>9.1</w:t>
      </w:r>
      <w:r w:rsidR="002B0E8C">
        <w:rPr>
          <w:rFonts w:ascii="Arial" w:hAnsi="Arial"/>
          <w:sz w:val="24"/>
          <w:lang w:val="fr-CA"/>
        </w:rPr>
        <w:t>.</w:t>
      </w:r>
    </w:p>
    <w:p w:rsidR="002B0E8C" w:rsidRPr="002B0E8C" w:rsidRDefault="002B0E8C" w:rsidP="002B0E8C">
      <w:pPr>
        <w:ind w:left="720"/>
        <w:rPr>
          <w:rFonts w:ascii="Arial" w:hAnsi="Arial"/>
          <w:sz w:val="24"/>
          <w:lang w:val="fr-CA"/>
        </w:rPr>
      </w:pP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Échantillons – S.O.</w:t>
      </w:r>
    </w:p>
    <w:p w:rsidR="00C057BC" w:rsidRDefault="00C057BC">
      <w:pPr>
        <w:rPr>
          <w:rFonts w:ascii="Arial" w:hAnsi="Arial"/>
          <w:sz w:val="24"/>
          <w:lang w:val="fr-CA"/>
        </w:rPr>
      </w:pP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C057BC" w:rsidRDefault="00C057BC">
      <w:pPr>
        <w:rPr>
          <w:rFonts w:ascii="Arial" w:hAnsi="Arial"/>
          <w:sz w:val="24"/>
          <w:lang w:val="fr-CA"/>
        </w:rPr>
      </w:pP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Équipement :</w:t>
      </w:r>
      <w:r>
        <w:rPr>
          <w:rFonts w:ascii="Arial" w:hAnsi="Arial"/>
          <w:sz w:val="24"/>
          <w:lang w:val="fr-CA"/>
        </w:rPr>
        <w:tab/>
      </w:r>
      <w:r w:rsidR="006D406F">
        <w:rPr>
          <w:rFonts w:ascii="Arial" w:hAnsi="Arial"/>
          <w:sz w:val="24"/>
          <w:lang w:val="fr-CA"/>
        </w:rPr>
        <w:t>b</w:t>
      </w:r>
      <w:r>
        <w:rPr>
          <w:rFonts w:ascii="Arial" w:hAnsi="Arial"/>
          <w:sz w:val="24"/>
          <w:lang w:val="fr-CA"/>
        </w:rPr>
        <w:t>alance</w:t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Fournitures :</w:t>
      </w:r>
      <w:r>
        <w:rPr>
          <w:rFonts w:ascii="Arial" w:hAnsi="Arial"/>
          <w:sz w:val="24"/>
          <w:lang w:val="fr-CA"/>
        </w:rPr>
        <w:tab/>
      </w:r>
      <w:r w:rsidR="00F12F38">
        <w:rPr>
          <w:rFonts w:ascii="Arial" w:hAnsi="Arial"/>
          <w:sz w:val="24"/>
          <w:lang w:val="fr-CA"/>
        </w:rPr>
        <w:t>récipient</w:t>
      </w:r>
      <w:r w:rsidR="00CF53CA">
        <w:rPr>
          <w:rFonts w:ascii="Arial" w:hAnsi="Arial"/>
          <w:sz w:val="24"/>
          <w:lang w:val="fr-CA"/>
        </w:rPr>
        <w:t>s</w:t>
      </w:r>
      <w:r w:rsidR="00F12F38">
        <w:rPr>
          <w:rFonts w:ascii="Arial" w:hAnsi="Arial"/>
          <w:sz w:val="24"/>
          <w:lang w:val="fr-CA"/>
        </w:rPr>
        <w:t xml:space="preserve"> de pesée</w:t>
      </w:r>
    </w:p>
    <w:p w:rsidR="00C057BC" w:rsidRDefault="006D406F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b</w:t>
      </w:r>
      <w:r w:rsidR="00C057BC">
        <w:rPr>
          <w:rFonts w:ascii="Arial" w:hAnsi="Arial"/>
          <w:sz w:val="24"/>
          <w:lang w:val="fr-CA"/>
        </w:rPr>
        <w:t>outeille</w:t>
      </w:r>
      <w:proofErr w:type="gramEnd"/>
      <w:r w:rsidR="00C057BC">
        <w:rPr>
          <w:rFonts w:ascii="Arial" w:hAnsi="Arial"/>
          <w:sz w:val="24"/>
          <w:lang w:val="fr-CA"/>
        </w:rPr>
        <w:t xml:space="preserve"> de verre à réactif </w:t>
      </w:r>
    </w:p>
    <w:p w:rsidR="00C057BC" w:rsidRDefault="002B0E8C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bécher</w:t>
      </w:r>
      <w:proofErr w:type="gramEnd"/>
      <w:r>
        <w:rPr>
          <w:rFonts w:ascii="Arial" w:hAnsi="Arial"/>
          <w:sz w:val="24"/>
          <w:lang w:val="fr-CA"/>
        </w:rPr>
        <w:t xml:space="preserve"> ou flacon de verre</w:t>
      </w:r>
      <w:r>
        <w:rPr>
          <w:rFonts w:ascii="Arial" w:hAnsi="Arial"/>
          <w:sz w:val="24"/>
          <w:lang w:val="fr-CA"/>
        </w:rPr>
        <w:br/>
      </w:r>
      <w:r>
        <w:rPr>
          <w:rFonts w:ascii="Arial" w:hAnsi="Arial"/>
          <w:sz w:val="24"/>
          <w:lang w:val="fr-CA"/>
        </w:rPr>
        <w:tab/>
      </w:r>
      <w:r w:rsidR="006D406F">
        <w:rPr>
          <w:rFonts w:ascii="Arial" w:hAnsi="Arial"/>
          <w:sz w:val="24"/>
          <w:lang w:val="fr-CA"/>
        </w:rPr>
        <w:t>p</w:t>
      </w:r>
      <w:r w:rsidR="00C057BC">
        <w:rPr>
          <w:rFonts w:ascii="Arial" w:hAnsi="Arial"/>
          <w:sz w:val="24"/>
          <w:lang w:val="fr-CA"/>
        </w:rPr>
        <w:t>ipettes sérologiques</w:t>
      </w:r>
    </w:p>
    <w:p w:rsidR="00C057BC" w:rsidRDefault="006D406F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b</w:t>
      </w:r>
      <w:r w:rsidR="00C057BC">
        <w:rPr>
          <w:rFonts w:ascii="Arial" w:hAnsi="Arial"/>
          <w:sz w:val="24"/>
          <w:lang w:val="fr-CA"/>
        </w:rPr>
        <w:t>ande</w:t>
      </w:r>
      <w:r w:rsidR="00CF53CA">
        <w:rPr>
          <w:rFonts w:ascii="Arial" w:hAnsi="Arial"/>
          <w:sz w:val="24"/>
          <w:lang w:val="fr-CA"/>
        </w:rPr>
        <w:t>lettes</w:t>
      </w:r>
      <w:proofErr w:type="gramEnd"/>
      <w:r w:rsidR="00CF53CA">
        <w:rPr>
          <w:rFonts w:ascii="Arial" w:hAnsi="Arial"/>
          <w:sz w:val="24"/>
          <w:lang w:val="fr-CA"/>
        </w:rPr>
        <w:t xml:space="preserve"> indicatrices de</w:t>
      </w:r>
      <w:r w:rsidR="00C057BC">
        <w:rPr>
          <w:rFonts w:ascii="Arial" w:hAnsi="Arial"/>
          <w:sz w:val="24"/>
          <w:lang w:val="fr-CA"/>
        </w:rPr>
        <w:t xml:space="preserve"> pH </w:t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Réactifs 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CA0FED">
        <w:rPr>
          <w:rFonts w:ascii="Arial" w:hAnsi="Arial"/>
          <w:sz w:val="24"/>
          <w:lang w:val="fr-CA"/>
        </w:rPr>
        <w:t xml:space="preserve">solution </w:t>
      </w:r>
      <w:r>
        <w:rPr>
          <w:rFonts w:ascii="Arial" w:hAnsi="Arial"/>
          <w:sz w:val="24"/>
          <w:lang w:val="fr-CA"/>
        </w:rPr>
        <w:t>saline</w:t>
      </w:r>
      <w:r w:rsidR="00FC06BF">
        <w:rPr>
          <w:rFonts w:ascii="Arial" w:hAnsi="Arial"/>
          <w:sz w:val="24"/>
          <w:lang w:val="fr-CA"/>
        </w:rPr>
        <w:t xml:space="preserve"> normale</w:t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 xml:space="preserve">1 N </w:t>
      </w:r>
      <w:proofErr w:type="spellStart"/>
      <w:r>
        <w:rPr>
          <w:rFonts w:ascii="Arial" w:hAnsi="Arial"/>
          <w:sz w:val="24"/>
          <w:lang w:val="fr-CA"/>
        </w:rPr>
        <w:t>NaOH</w:t>
      </w:r>
      <w:proofErr w:type="spellEnd"/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CA0FED">
        <w:rPr>
          <w:rFonts w:ascii="Arial" w:hAnsi="Arial"/>
          <w:sz w:val="24"/>
          <w:lang w:val="fr-CA"/>
        </w:rPr>
        <w:t>sel</w:t>
      </w:r>
      <w:proofErr w:type="gramEnd"/>
      <w:r w:rsidR="00CA0FED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de diphosphate de chloroquine</w:t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:rsidR="000349DF" w:rsidRDefault="000349DF">
      <w:pPr>
        <w:ind w:left="720"/>
        <w:rPr>
          <w:rFonts w:ascii="Arial" w:hAnsi="Arial"/>
          <w:sz w:val="24"/>
          <w:lang w:val="fr-CA"/>
        </w:rPr>
      </w:pPr>
    </w:p>
    <w:p w:rsidR="000349DF" w:rsidRDefault="000349DF">
      <w:pPr>
        <w:ind w:left="720"/>
        <w:rPr>
          <w:rFonts w:ascii="Arial" w:hAnsi="Arial"/>
          <w:sz w:val="24"/>
          <w:lang w:val="fr-CA"/>
        </w:rPr>
      </w:pPr>
    </w:p>
    <w:p w:rsidR="000349DF" w:rsidRDefault="000349DF">
      <w:pPr>
        <w:ind w:left="720"/>
        <w:rPr>
          <w:rFonts w:ascii="Arial" w:hAnsi="Arial"/>
          <w:sz w:val="24"/>
          <w:lang w:val="fr-CA"/>
        </w:rPr>
      </w:pP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lastRenderedPageBreak/>
        <w:t>Contrôle de la qualité</w:t>
      </w:r>
    </w:p>
    <w:p w:rsidR="000349DF" w:rsidRDefault="000349DF" w:rsidP="000349DF">
      <w:pPr>
        <w:ind w:left="720"/>
        <w:rPr>
          <w:rFonts w:ascii="Arial" w:hAnsi="Arial"/>
          <w:b/>
          <w:sz w:val="28"/>
          <w:lang w:val="fr-CA"/>
        </w:rPr>
      </w:pPr>
    </w:p>
    <w:p w:rsidR="00C057BC" w:rsidRDefault="002B0E8C" w:rsidP="000349DF">
      <w:pPr>
        <w:ind w:left="720"/>
        <w:rPr>
          <w:rFonts w:ascii="Arial" w:hAnsi="Arial"/>
          <w:sz w:val="24"/>
          <w:lang w:val="fr-CA"/>
        </w:rPr>
      </w:pPr>
      <w:r w:rsidRPr="00946C19">
        <w:rPr>
          <w:rFonts w:ascii="Arial" w:hAnsi="Arial"/>
          <w:sz w:val="24"/>
          <w:lang w:val="fr-CA"/>
        </w:rPr>
        <w:t>Les pipettes sérologiques doivent être entretenues conformément aux recommandations du fabricant, y compris en ce qui concerne la précision du volume, la diminution des transferts et l’absence de contamination</w:t>
      </w:r>
      <w:r w:rsidRPr="00946C19">
        <w:rPr>
          <w:rFonts w:ascii="Arial" w:hAnsi="Arial"/>
          <w:sz w:val="24"/>
          <w:vertAlign w:val="superscript"/>
          <w:lang w:val="fr-CA"/>
        </w:rPr>
        <w:t>9</w:t>
      </w:r>
      <w:r>
        <w:rPr>
          <w:rFonts w:ascii="Arial" w:hAnsi="Arial"/>
          <w:sz w:val="24"/>
          <w:vertAlign w:val="superscript"/>
          <w:lang w:val="fr-CA"/>
        </w:rPr>
        <w:t>.2</w:t>
      </w:r>
      <w:r>
        <w:rPr>
          <w:rFonts w:ascii="Arial" w:hAnsi="Arial"/>
          <w:sz w:val="24"/>
          <w:lang w:val="fr-CA"/>
        </w:rPr>
        <w:t>.</w:t>
      </w:r>
    </w:p>
    <w:p w:rsidR="002B0E8C" w:rsidRPr="002B0E8C" w:rsidRDefault="002B0E8C">
      <w:pPr>
        <w:rPr>
          <w:rFonts w:ascii="Arial" w:hAnsi="Arial"/>
          <w:b/>
          <w:sz w:val="24"/>
          <w:lang w:val="fr-CA"/>
        </w:rPr>
      </w:pP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Procédure</w:t>
      </w:r>
    </w:p>
    <w:p w:rsidR="00C057BC" w:rsidRDefault="00C057BC">
      <w:pPr>
        <w:rPr>
          <w:rFonts w:ascii="Arial" w:hAnsi="Arial"/>
          <w:b/>
          <w:sz w:val="28"/>
          <w:lang w:val="fr-CA"/>
        </w:rPr>
      </w:pPr>
    </w:p>
    <w:p w:rsidR="00C057BC" w:rsidRDefault="00C057B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Dissoudre 20 g de diphosphate de chloroquine dans 100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de solution saline</w:t>
      </w:r>
      <w:r w:rsidR="00B91973">
        <w:rPr>
          <w:rFonts w:ascii="Arial" w:hAnsi="Arial"/>
          <w:sz w:val="24"/>
          <w:lang w:val="fr-CA"/>
        </w:rPr>
        <w:t xml:space="preserve"> normale</w:t>
      </w:r>
      <w:r>
        <w:rPr>
          <w:rFonts w:ascii="Arial" w:hAnsi="Arial"/>
          <w:sz w:val="24"/>
          <w:lang w:val="fr-CA"/>
        </w:rPr>
        <w:t>.</w:t>
      </w:r>
    </w:p>
    <w:p w:rsidR="00C057BC" w:rsidRDefault="00C057BC">
      <w:pPr>
        <w:rPr>
          <w:rFonts w:ascii="Arial" w:hAnsi="Arial"/>
          <w:sz w:val="24"/>
          <w:lang w:val="fr-CA"/>
        </w:rPr>
      </w:pPr>
    </w:p>
    <w:p w:rsidR="00C057BC" w:rsidRDefault="00C057B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Ajuster le pH à 5,1 à l’aide de 1 N </w:t>
      </w:r>
      <w:proofErr w:type="spellStart"/>
      <w:r>
        <w:rPr>
          <w:rFonts w:ascii="Arial" w:hAnsi="Arial"/>
          <w:sz w:val="24"/>
          <w:lang w:val="fr-CA"/>
        </w:rPr>
        <w:t>NaOH</w:t>
      </w:r>
      <w:proofErr w:type="spellEnd"/>
      <w:r>
        <w:rPr>
          <w:rFonts w:ascii="Arial" w:hAnsi="Arial"/>
          <w:sz w:val="24"/>
          <w:lang w:val="fr-CA"/>
        </w:rPr>
        <w:t>.</w:t>
      </w:r>
    </w:p>
    <w:p w:rsidR="00C057BC" w:rsidRDefault="00C057BC">
      <w:pPr>
        <w:rPr>
          <w:rFonts w:ascii="Arial" w:hAnsi="Arial"/>
          <w:sz w:val="24"/>
          <w:lang w:val="fr-CA"/>
        </w:rPr>
      </w:pPr>
    </w:p>
    <w:p w:rsidR="00C057BC" w:rsidRDefault="00B9197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Étiqueter et c</w:t>
      </w:r>
      <w:r w:rsidR="00C057BC">
        <w:rPr>
          <w:rFonts w:ascii="Arial" w:hAnsi="Arial"/>
          <w:sz w:val="24"/>
          <w:lang w:val="fr-CA"/>
        </w:rPr>
        <w:t xml:space="preserve">onserver dans une bouteille à réactif </w:t>
      </w:r>
      <w:r w:rsidR="00CA0FED">
        <w:rPr>
          <w:rFonts w:ascii="Arial" w:hAnsi="Arial"/>
          <w:sz w:val="24"/>
          <w:lang w:val="fr-CA"/>
        </w:rPr>
        <w:t xml:space="preserve">en verre </w:t>
      </w:r>
      <w:r w:rsidR="002B0E8C">
        <w:rPr>
          <w:rFonts w:ascii="Arial" w:hAnsi="Arial"/>
          <w:sz w:val="24"/>
          <w:lang w:val="fr-CA"/>
        </w:rPr>
        <w:t xml:space="preserve">entre </w:t>
      </w:r>
      <w:r w:rsidR="00C057BC">
        <w:rPr>
          <w:rFonts w:ascii="Arial" w:hAnsi="Arial"/>
          <w:sz w:val="24"/>
          <w:lang w:val="fr-CA"/>
        </w:rPr>
        <w:t>2</w:t>
      </w:r>
      <w:r w:rsidR="000349DF">
        <w:rPr>
          <w:rFonts w:ascii="Arial" w:hAnsi="Arial"/>
          <w:sz w:val="24"/>
          <w:lang w:val="fr-CA"/>
        </w:rPr>
        <w:t xml:space="preserve"> et 8</w:t>
      </w:r>
      <w:r w:rsidR="00C057BC">
        <w:rPr>
          <w:rFonts w:ascii="Arial" w:hAnsi="Arial" w:cs="Arial"/>
          <w:sz w:val="24"/>
          <w:lang w:val="fr-CA"/>
        </w:rPr>
        <w:t>°</w:t>
      </w:r>
      <w:r w:rsidR="00C057BC">
        <w:rPr>
          <w:rFonts w:ascii="Arial" w:hAnsi="Arial"/>
          <w:sz w:val="24"/>
          <w:lang w:val="fr-CA"/>
        </w:rPr>
        <w:t xml:space="preserve">C pendant six </w:t>
      </w:r>
      <w:r>
        <w:rPr>
          <w:rFonts w:ascii="Arial" w:hAnsi="Arial"/>
          <w:sz w:val="24"/>
          <w:lang w:val="fr-CA"/>
        </w:rPr>
        <w:t xml:space="preserve">(6) </w:t>
      </w:r>
      <w:r w:rsidR="00C057BC">
        <w:rPr>
          <w:rFonts w:ascii="Arial" w:hAnsi="Arial"/>
          <w:sz w:val="24"/>
          <w:lang w:val="fr-CA"/>
        </w:rPr>
        <w:t>mois.</w:t>
      </w:r>
    </w:p>
    <w:p w:rsidR="00C057BC" w:rsidRDefault="00C057BC">
      <w:pPr>
        <w:ind w:left="720"/>
        <w:rPr>
          <w:rFonts w:ascii="Arial" w:hAnsi="Arial"/>
          <w:sz w:val="24"/>
          <w:lang w:val="fr-CA"/>
        </w:rPr>
      </w:pP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 – S.O.</w:t>
      </w:r>
    </w:p>
    <w:p w:rsidR="00C057BC" w:rsidRDefault="00C057BC">
      <w:pPr>
        <w:rPr>
          <w:rFonts w:ascii="Arial" w:hAnsi="Arial"/>
          <w:b/>
          <w:sz w:val="28"/>
          <w:lang w:val="fr-CA"/>
        </w:rPr>
      </w:pP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Remarques – S.O.</w:t>
      </w:r>
    </w:p>
    <w:p w:rsidR="00C057BC" w:rsidRDefault="00C057BC">
      <w:pPr>
        <w:rPr>
          <w:rFonts w:ascii="Arial" w:hAnsi="Arial"/>
          <w:b/>
          <w:sz w:val="24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 </w:t>
      </w:r>
    </w:p>
    <w:p w:rsidR="00C057BC" w:rsidRDefault="00C057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Références</w:t>
      </w:r>
    </w:p>
    <w:p w:rsidR="00C057BC" w:rsidRDefault="00C057BC">
      <w:pPr>
        <w:rPr>
          <w:rFonts w:ascii="Arial" w:hAnsi="Arial"/>
          <w:b/>
          <w:sz w:val="24"/>
          <w:lang w:val="fr-CA"/>
        </w:rPr>
      </w:pPr>
    </w:p>
    <w:p w:rsidR="00DA10E9" w:rsidRPr="00DA10E9" w:rsidRDefault="00DA10E9" w:rsidP="00DA10E9">
      <w:pPr>
        <w:numPr>
          <w:ilvl w:val="1"/>
          <w:numId w:val="1"/>
        </w:numPr>
        <w:rPr>
          <w:rFonts w:ascii="Arial" w:hAnsi="Arial"/>
          <w:sz w:val="28"/>
        </w:rPr>
      </w:pPr>
      <w:r w:rsidRPr="00DA10E9">
        <w:rPr>
          <w:rFonts w:ascii="Arial" w:hAnsi="Arial"/>
          <w:sz w:val="24"/>
          <w:szCs w:val="24"/>
        </w:rPr>
        <w:t xml:space="preserve">WHMIS </w:t>
      </w:r>
      <w:hyperlink r:id="rId7" w:history="1">
        <w:r w:rsidRPr="00DA10E9">
          <w:rPr>
            <w:rStyle w:val="Hyperlink"/>
            <w:rFonts w:ascii="Arial" w:hAnsi="Arial"/>
            <w:sz w:val="24"/>
            <w:szCs w:val="24"/>
          </w:rPr>
          <w:t>www.whmis.ca</w:t>
        </w:r>
      </w:hyperlink>
      <w:r w:rsidRPr="00DA10E9">
        <w:rPr>
          <w:rFonts w:ascii="Arial" w:hAnsi="Arial"/>
          <w:sz w:val="24"/>
          <w:szCs w:val="24"/>
        </w:rPr>
        <w:t>.</w:t>
      </w:r>
    </w:p>
    <w:p w:rsidR="00DA10E9" w:rsidRPr="00DA10E9" w:rsidRDefault="00DA10E9" w:rsidP="00DA10E9">
      <w:pPr>
        <w:tabs>
          <w:tab w:val="num" w:pos="1440"/>
        </w:tabs>
        <w:ind w:left="1440" w:hanging="720"/>
        <w:rPr>
          <w:rFonts w:ascii="Arial" w:hAnsi="Arial"/>
          <w:sz w:val="28"/>
        </w:rPr>
      </w:pPr>
    </w:p>
    <w:p w:rsidR="00DA10E9" w:rsidRPr="002B0E8C" w:rsidRDefault="00DA10E9" w:rsidP="00DA10E9">
      <w:pPr>
        <w:numPr>
          <w:ilvl w:val="1"/>
          <w:numId w:val="1"/>
        </w:numPr>
        <w:rPr>
          <w:rFonts w:ascii="Arial" w:hAnsi="Arial"/>
          <w:sz w:val="24"/>
        </w:rPr>
      </w:pPr>
      <w:r w:rsidRPr="00DA10E9">
        <w:rPr>
          <w:rFonts w:ascii="Arial" w:hAnsi="Arial"/>
          <w:sz w:val="24"/>
        </w:rPr>
        <w:t>CSTM Standards for Hospital Transfusion Services, ver</w:t>
      </w:r>
      <w:r w:rsidR="002B0E8C">
        <w:rPr>
          <w:rFonts w:ascii="Arial" w:hAnsi="Arial"/>
          <w:sz w:val="24"/>
        </w:rPr>
        <w:t>sion</w:t>
      </w:r>
      <w:r w:rsidRPr="00DA10E9">
        <w:rPr>
          <w:rFonts w:ascii="Arial" w:hAnsi="Arial"/>
          <w:sz w:val="24"/>
        </w:rPr>
        <w:t xml:space="preserve"> 3 </w:t>
      </w:r>
      <w:proofErr w:type="spellStart"/>
      <w:r w:rsidR="002B0E8C">
        <w:rPr>
          <w:rFonts w:ascii="Arial" w:hAnsi="Arial"/>
          <w:sz w:val="24"/>
        </w:rPr>
        <w:t>février</w:t>
      </w:r>
      <w:proofErr w:type="spellEnd"/>
      <w:r w:rsidR="002B0E8C">
        <w:rPr>
          <w:rFonts w:ascii="Arial" w:hAnsi="Arial"/>
          <w:sz w:val="24"/>
        </w:rPr>
        <w:t xml:space="preserve"> </w:t>
      </w:r>
      <w:r w:rsidRPr="00DA10E9">
        <w:rPr>
          <w:rFonts w:ascii="Arial" w:hAnsi="Arial"/>
          <w:sz w:val="24"/>
        </w:rPr>
        <w:t>2011:3.4.5.1.</w:t>
      </w:r>
    </w:p>
    <w:p w:rsidR="00DA10E9" w:rsidRPr="002B0E8C" w:rsidRDefault="00DA10E9" w:rsidP="00DA10E9">
      <w:pPr>
        <w:pStyle w:val="ListParagraph"/>
        <w:tabs>
          <w:tab w:val="num" w:pos="1440"/>
        </w:tabs>
        <w:ind w:left="1440" w:hanging="720"/>
        <w:rPr>
          <w:rFonts w:ascii="Arial" w:hAnsi="Arial"/>
          <w:sz w:val="24"/>
        </w:rPr>
      </w:pPr>
    </w:p>
    <w:p w:rsidR="00DA10E9" w:rsidRPr="002B0E8C" w:rsidRDefault="00DA10E9" w:rsidP="00DA10E9">
      <w:pPr>
        <w:numPr>
          <w:ilvl w:val="1"/>
          <w:numId w:val="1"/>
        </w:numPr>
        <w:rPr>
          <w:rFonts w:ascii="Arial" w:hAnsi="Arial"/>
          <w:sz w:val="24"/>
        </w:rPr>
      </w:pPr>
      <w:r w:rsidRPr="002B0E8C">
        <w:rPr>
          <w:rFonts w:ascii="Arial" w:hAnsi="Arial"/>
          <w:sz w:val="24"/>
        </w:rPr>
        <w:t>Fung MK Ed. Technical Manual 18</w:t>
      </w:r>
      <w:r w:rsidR="002B0E8C">
        <w:rPr>
          <w:rFonts w:ascii="Arial" w:hAnsi="Arial"/>
          <w:sz w:val="24"/>
          <w:vertAlign w:val="superscript"/>
        </w:rPr>
        <w:t xml:space="preserve">e </w:t>
      </w:r>
      <w:proofErr w:type="spellStart"/>
      <w:r w:rsidR="002B0E8C" w:rsidRPr="002B0E8C">
        <w:rPr>
          <w:rFonts w:ascii="Arial" w:hAnsi="Arial"/>
          <w:sz w:val="24"/>
        </w:rPr>
        <w:t>éd</w:t>
      </w:r>
      <w:proofErr w:type="spellEnd"/>
      <w:r w:rsidR="002B0E8C">
        <w:rPr>
          <w:rFonts w:ascii="Arial" w:hAnsi="Arial"/>
          <w:sz w:val="24"/>
        </w:rPr>
        <w:t>.</w:t>
      </w:r>
      <w:r w:rsidRPr="002B0E8C">
        <w:rPr>
          <w:rFonts w:ascii="Arial" w:hAnsi="Arial"/>
          <w:sz w:val="24"/>
        </w:rPr>
        <w:t xml:space="preserve"> AABB Press Bethesda MD; 2014 Method (2</w:t>
      </w:r>
      <w:r w:rsidRPr="0060149A">
        <w:rPr>
          <w:rFonts w:ascii="Arial" w:hAnsi="Arial"/>
          <w:sz w:val="24"/>
        </w:rPr>
        <w:t>-20).</w:t>
      </w:r>
    </w:p>
    <w:p w:rsidR="00DA10E9" w:rsidRPr="002E2FBD" w:rsidRDefault="00DA10E9" w:rsidP="00DA10E9">
      <w:pPr>
        <w:pStyle w:val="ListParagraph"/>
        <w:rPr>
          <w:rFonts w:ascii="Arial" w:hAnsi="Arial"/>
          <w:b/>
          <w:sz w:val="24"/>
        </w:rPr>
      </w:pPr>
    </w:p>
    <w:p w:rsidR="00E463E8" w:rsidRPr="00AA3396" w:rsidRDefault="00E463E8" w:rsidP="00E463E8">
      <w:pPr>
        <w:pStyle w:val="ListParagraph"/>
        <w:numPr>
          <w:ilvl w:val="0"/>
          <w:numId w:val="14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E463E8" w:rsidRPr="00AA3396" w:rsidRDefault="00E463E8" w:rsidP="00E463E8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207"/>
      </w:tblGrid>
      <w:tr w:rsidR="00E463E8" w:rsidRPr="00AA3396" w:rsidTr="00046655">
        <w:trPr>
          <w:cantSplit/>
        </w:trPr>
        <w:tc>
          <w:tcPr>
            <w:tcW w:w="3510" w:type="dxa"/>
            <w:shd w:val="clear" w:color="auto" w:fill="F2F2F2"/>
          </w:tcPr>
          <w:p w:rsidR="00E463E8" w:rsidRPr="004050E8" w:rsidRDefault="00E463E8" w:rsidP="00046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E463E8" w:rsidRPr="004050E8" w:rsidRDefault="00E463E8" w:rsidP="000466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E463E8" w:rsidRPr="00AA3396" w:rsidTr="000349DF">
        <w:trPr>
          <w:cantSplit/>
          <w:trHeight w:val="1639"/>
        </w:trPr>
        <w:tc>
          <w:tcPr>
            <w:tcW w:w="3510" w:type="dxa"/>
          </w:tcPr>
          <w:p w:rsidR="00E463E8" w:rsidRPr="00AA3396" w:rsidRDefault="00E463E8" w:rsidP="00012ED3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proofErr w:type="gramStart"/>
            <w:r w:rsidR="00012ED3">
              <w:rPr>
                <w:rFonts w:ascii="Arial" w:hAnsi="Arial"/>
                <w:sz w:val="22"/>
                <w:szCs w:val="22"/>
                <w:lang w:val="fr-CA"/>
              </w:rPr>
              <w:t xml:space="preserve">décembre 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</w:t>
            </w:r>
            <w:proofErr w:type="gramEnd"/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346" w:type="dxa"/>
          </w:tcPr>
          <w:p w:rsidR="00E463E8" w:rsidRPr="00AA3396" w:rsidRDefault="00E463E8" w:rsidP="00E463E8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2B0E8C" w:rsidRDefault="002B0E8C" w:rsidP="00E463E8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Ajout aux sections 2.0 et 5.0</w:t>
            </w:r>
            <w:r w:rsidR="000349DF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E463E8">
              <w:rPr>
                <w:rFonts w:ascii="Arial" w:hAnsi="Arial"/>
                <w:sz w:val="22"/>
                <w:szCs w:val="22"/>
                <w:lang w:val="fr-CA"/>
              </w:rPr>
              <w:t>Changement du libellé de la section 2 pour refléter l</w:t>
            </w:r>
          </w:p>
          <w:p w:rsidR="002B0E8C" w:rsidRDefault="002B0E8C" w:rsidP="002B0E8C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de la température maximale de 6 à 8 à la ligne 6.3</w:t>
            </w:r>
          </w:p>
          <w:p w:rsidR="00E463E8" w:rsidRPr="00AA3396" w:rsidRDefault="00E463E8" w:rsidP="002B0E8C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E463E8" w:rsidRPr="000349DF" w:rsidRDefault="00E463E8" w:rsidP="00E463E8">
      <w:pPr>
        <w:rPr>
          <w:rFonts w:ascii="Arial" w:hAnsi="Arial"/>
          <w:b/>
          <w:sz w:val="2"/>
          <w:szCs w:val="2"/>
          <w:lang w:val="fr-CA"/>
        </w:rPr>
      </w:pPr>
    </w:p>
    <w:p w:rsidR="00E463E8" w:rsidRPr="00FF4937" w:rsidRDefault="00E463E8" w:rsidP="00E463E8">
      <w:pPr>
        <w:suppressAutoHyphens/>
        <w:ind w:left="1440" w:right="720"/>
        <w:rPr>
          <w:rFonts w:ascii="Arial" w:hAnsi="Arial" w:cs="Arial"/>
          <w:sz w:val="24"/>
          <w:highlight w:val="yellow"/>
          <w:lang w:val="fr-CA"/>
        </w:rPr>
      </w:pPr>
    </w:p>
    <w:sectPr w:rsidR="00E463E8" w:rsidRPr="00FF493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64" w:rsidRDefault="00A73964">
      <w:r>
        <w:separator/>
      </w:r>
    </w:p>
  </w:endnote>
  <w:endnote w:type="continuationSeparator" w:id="0">
    <w:p w:rsidR="00A73964" w:rsidRDefault="00A7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7447A">
      <w:trPr>
        <w:trHeight w:val="720"/>
      </w:trPr>
      <w:tc>
        <w:tcPr>
          <w:tcW w:w="1368" w:type="dxa"/>
        </w:tcPr>
        <w:p w:rsidR="0057447A" w:rsidRDefault="0057447A">
          <w:pPr>
            <w:pStyle w:val="Footer"/>
            <w:jc w:val="center"/>
            <w:rPr>
              <w:sz w:val="8"/>
            </w:rPr>
          </w:pPr>
        </w:p>
        <w:p w:rsidR="0057447A" w:rsidRDefault="00B913B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BC5981" w:rsidRPr="007523A2" w:rsidRDefault="00BC5981" w:rsidP="00BC5981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E463E8" w:rsidRDefault="00E463E8" w:rsidP="00E463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E463E8" w:rsidRPr="000349DF" w:rsidRDefault="00E463E8" w:rsidP="00E463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0349DF">
            <w:rPr>
              <w:rFonts w:ascii="Arial" w:hAnsi="Arial"/>
              <w:sz w:val="18"/>
              <w:lang w:val="fr-CA"/>
            </w:rPr>
            <w:t xml:space="preserve"> </w:t>
          </w:r>
        </w:p>
        <w:p w:rsidR="0057447A" w:rsidRPr="000349DF" w:rsidRDefault="0057447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57447A" w:rsidRPr="000349DF" w:rsidRDefault="0057447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7447A" w:rsidRDefault="0057447A" w:rsidP="00E463E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PR.006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349D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349D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7447A" w:rsidRDefault="00574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7447A">
      <w:trPr>
        <w:trHeight w:val="720"/>
      </w:trPr>
      <w:tc>
        <w:tcPr>
          <w:tcW w:w="1368" w:type="dxa"/>
        </w:tcPr>
        <w:p w:rsidR="0057447A" w:rsidRDefault="005744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7447A" w:rsidRDefault="00B913B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7447A" w:rsidRDefault="005744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463E8" w:rsidRDefault="00E463E8" w:rsidP="00E463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E463E8" w:rsidRPr="000349DF" w:rsidRDefault="00E463E8" w:rsidP="00E463E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0349DF">
            <w:rPr>
              <w:rFonts w:ascii="Arial" w:hAnsi="Arial"/>
              <w:sz w:val="18"/>
              <w:lang w:val="fr-CA"/>
            </w:rPr>
            <w:t xml:space="preserve"> </w:t>
          </w:r>
        </w:p>
        <w:p w:rsidR="0057447A" w:rsidRPr="000349DF" w:rsidRDefault="0057447A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57447A" w:rsidRPr="000349DF" w:rsidRDefault="0057447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7447A" w:rsidRDefault="0057447A" w:rsidP="00E463E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PR.006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669A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669A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7447A" w:rsidRDefault="0057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64" w:rsidRDefault="00A73964">
      <w:r>
        <w:separator/>
      </w:r>
    </w:p>
  </w:footnote>
  <w:footnote w:type="continuationSeparator" w:id="0">
    <w:p w:rsidR="00A73964" w:rsidRDefault="00A7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A" w:rsidRDefault="0057447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bCs/>
        <w:sz w:val="28"/>
        <w:lang w:val="fr-CA"/>
      </w:rPr>
      <w:t>Préparation de diphosphate de chloroquine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3E8" w:rsidRDefault="00E463E8">
    <w:pPr>
      <w:pStyle w:val="Header"/>
      <w:jc w:val="center"/>
      <w:rPr>
        <w:rFonts w:ascii="Verdana" w:hAnsi="Verdana"/>
        <w:sz w:val="8"/>
      </w:rPr>
    </w:pPr>
  </w:p>
  <w:p w:rsidR="00E463E8" w:rsidRDefault="00E463E8">
    <w:pPr>
      <w:pStyle w:val="Header"/>
      <w:jc w:val="center"/>
      <w:rPr>
        <w:rFonts w:ascii="Verdana" w:hAnsi="Verdana"/>
        <w:sz w:val="8"/>
      </w:rPr>
    </w:pPr>
  </w:p>
  <w:p w:rsidR="00E463E8" w:rsidRDefault="00B913BC" w:rsidP="00E463E8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9DF" w:rsidRDefault="000349DF" w:rsidP="00E463E8">
    <w:pPr>
      <w:pStyle w:val="Header"/>
      <w:rPr>
        <w:rFonts w:ascii="Verdana" w:hAnsi="Verdana"/>
        <w:sz w:val="8"/>
      </w:rPr>
    </w:pPr>
  </w:p>
  <w:p w:rsidR="00E463E8" w:rsidRPr="000C64D0" w:rsidRDefault="00E463E8" w:rsidP="00E463E8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E463E8" w:rsidRPr="000C64D0" w:rsidRDefault="00E463E8" w:rsidP="00E463E8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57447A" w:rsidRDefault="0057447A">
    <w:pPr>
      <w:pStyle w:val="Header"/>
      <w:jc w:val="center"/>
      <w:rPr>
        <w:rFonts w:ascii="Arial" w:hAnsi="Arial"/>
        <w:b/>
        <w:sz w:val="28"/>
        <w:lang w:val="fr-CA"/>
      </w:rPr>
    </w:pPr>
  </w:p>
  <w:p w:rsidR="0057447A" w:rsidRDefault="0057447A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>Préparation de diphosphate de chloroquine</w:t>
    </w:r>
  </w:p>
  <w:p w:rsidR="0057447A" w:rsidRDefault="0057447A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57447A" w:rsidRDefault="0057447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B913B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DFEA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0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LE2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66HNN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9092" w:type="dxa"/>
      <w:tblLook w:val="0000" w:firstRow="0" w:lastRow="0" w:firstColumn="0" w:lastColumn="0" w:noHBand="0" w:noVBand="0"/>
    </w:tblPr>
    <w:tblGrid>
      <w:gridCol w:w="4428"/>
      <w:gridCol w:w="236"/>
      <w:gridCol w:w="4428"/>
    </w:tblGrid>
    <w:tr w:rsidR="00E463E8" w:rsidTr="00E463E8">
      <w:tc>
        <w:tcPr>
          <w:tcW w:w="4428" w:type="dxa"/>
        </w:tcPr>
        <w:p w:rsidR="00E463E8" w:rsidRPr="00A87C02" w:rsidRDefault="00E463E8" w:rsidP="00046655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Pr="00A87C02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236" w:type="dxa"/>
        </w:tcPr>
        <w:p w:rsidR="00E463E8" w:rsidRDefault="00E463E8" w:rsidP="00E463E8">
          <w:pPr>
            <w:pStyle w:val="Header"/>
            <w:tabs>
              <w:tab w:val="clear" w:pos="4320"/>
              <w:tab w:val="center" w:pos="-33"/>
            </w:tabs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E463E8" w:rsidRDefault="00E463E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PR.006</w:t>
          </w:r>
        </w:p>
      </w:tc>
    </w:tr>
    <w:tr w:rsidR="00E463E8" w:rsidTr="00E463E8">
      <w:trPr>
        <w:trHeight w:val="314"/>
      </w:trPr>
      <w:tc>
        <w:tcPr>
          <w:tcW w:w="4428" w:type="dxa"/>
        </w:tcPr>
        <w:p w:rsidR="00E463E8" w:rsidRPr="00A87C02" w:rsidRDefault="00E463E8" w:rsidP="00046655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publication </w:t>
          </w:r>
          <w:r w:rsidRPr="00A87C02">
            <w:rPr>
              <w:rFonts w:ascii="Arial" w:hAnsi="Arial" w:cs="Arial"/>
              <w:lang w:val="fr-CA"/>
            </w:rPr>
            <w:t>: 200</w:t>
          </w:r>
          <w:r>
            <w:rPr>
              <w:rFonts w:ascii="Arial" w:hAnsi="Arial" w:cs="Arial"/>
              <w:lang w:val="fr-CA"/>
            </w:rPr>
            <w:t>4</w:t>
          </w:r>
          <w:r w:rsidRPr="00A87C02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4</w:t>
          </w:r>
          <w:r w:rsidRPr="00A87C02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5</w:t>
          </w:r>
        </w:p>
      </w:tc>
      <w:tc>
        <w:tcPr>
          <w:tcW w:w="236" w:type="dxa"/>
        </w:tcPr>
        <w:p w:rsidR="00E463E8" w:rsidRDefault="00E463E8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E463E8" w:rsidRDefault="00E463E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 : Préparation des réactifs</w:t>
          </w:r>
        </w:p>
      </w:tc>
    </w:tr>
    <w:tr w:rsidR="00E463E8" w:rsidTr="00E463E8">
      <w:tc>
        <w:tcPr>
          <w:tcW w:w="4428" w:type="dxa"/>
        </w:tcPr>
        <w:p w:rsidR="00E463E8" w:rsidRPr="00A87C02" w:rsidRDefault="00E463E8" w:rsidP="002B0E8C">
          <w:pPr>
            <w:pStyle w:val="Header"/>
            <w:rPr>
              <w:rFonts w:ascii="Arial" w:hAnsi="Arial" w:cs="Arial"/>
              <w:lang w:val="fr-CA"/>
            </w:rPr>
          </w:pPr>
          <w:r w:rsidRPr="00A87C02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révision </w:t>
          </w:r>
          <w:r w:rsidRPr="00A87C02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2009/09/31;</w:t>
          </w:r>
          <w:r w:rsidR="002B0E8C">
            <w:rPr>
              <w:rFonts w:ascii="Arial" w:hAnsi="Arial" w:cs="Arial"/>
              <w:lang w:val="fr-CA"/>
            </w:rPr>
            <w:t xml:space="preserve"> </w:t>
          </w:r>
          <w:r w:rsidRPr="000349DF">
            <w:rPr>
              <w:rFonts w:ascii="Arial" w:hAnsi="Arial" w:cs="Arial"/>
              <w:lang w:val="fr-CA"/>
            </w:rPr>
            <w:t>2014/</w:t>
          </w:r>
          <w:r w:rsidR="002B0E8C" w:rsidRPr="000349DF">
            <w:rPr>
              <w:rFonts w:ascii="Arial" w:hAnsi="Arial" w:cs="Arial"/>
              <w:lang w:val="fr-CA"/>
            </w:rPr>
            <w:t>12</w:t>
          </w:r>
          <w:r w:rsidRPr="000349DF">
            <w:rPr>
              <w:rFonts w:ascii="Arial" w:hAnsi="Arial" w:cs="Arial"/>
              <w:lang w:val="fr-CA"/>
            </w:rPr>
            <w:t>/01</w:t>
          </w:r>
        </w:p>
      </w:tc>
      <w:tc>
        <w:tcPr>
          <w:tcW w:w="236" w:type="dxa"/>
        </w:tcPr>
        <w:p w:rsidR="00E463E8" w:rsidRDefault="00E463E8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E463E8" w:rsidRDefault="00E463E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Pages : </w:t>
          </w:r>
          <w:r>
            <w:rPr>
              <w:rFonts w:ascii="Arial" w:hAnsi="Arial" w:cs="Arial"/>
              <w:lang w:val="fr-CA"/>
            </w:rPr>
            <w:fldChar w:fldCharType="begin"/>
          </w:r>
          <w:r>
            <w:rPr>
              <w:rFonts w:ascii="Arial" w:hAnsi="Arial" w:cs="Arial"/>
              <w:lang w:val="fr-CA"/>
            </w:rPr>
            <w:instrText xml:space="preserve"> NUMPAGES </w:instrText>
          </w:r>
          <w:r>
            <w:rPr>
              <w:rFonts w:ascii="Arial" w:hAnsi="Arial" w:cs="Arial"/>
              <w:lang w:val="fr-CA"/>
            </w:rPr>
            <w:fldChar w:fldCharType="separate"/>
          </w:r>
          <w:r w:rsidR="00E669AC">
            <w:rPr>
              <w:rFonts w:ascii="Arial" w:hAnsi="Arial" w:cs="Arial"/>
              <w:noProof/>
              <w:lang w:val="fr-CA"/>
            </w:rPr>
            <w:t>1</w:t>
          </w:r>
          <w:r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57447A" w:rsidRDefault="00B913BC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DC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ChaXQc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57447A">
      <w:rPr>
        <w:rFonts w:ascii="Arial" w:hAnsi="Arial" w:cs="Arial"/>
      </w:rPr>
      <w:tab/>
    </w:r>
    <w:r w:rsidR="0057447A">
      <w:rPr>
        <w:rFonts w:ascii="Arial" w:hAnsi="Arial" w:cs="Arial"/>
      </w:rPr>
      <w:tab/>
    </w:r>
  </w:p>
  <w:p w:rsidR="0057447A" w:rsidRDefault="0057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9D28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F336264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8A72A59"/>
    <w:multiLevelType w:val="hybridMultilevel"/>
    <w:tmpl w:val="B9B609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7B"/>
    <w:rsid w:val="00012ED3"/>
    <w:rsid w:val="000349DF"/>
    <w:rsid w:val="00046655"/>
    <w:rsid w:val="000873D5"/>
    <w:rsid w:val="00133B0A"/>
    <w:rsid w:val="0015397D"/>
    <w:rsid w:val="001C03B9"/>
    <w:rsid w:val="001D6134"/>
    <w:rsid w:val="0023757B"/>
    <w:rsid w:val="002B0E8C"/>
    <w:rsid w:val="0036377A"/>
    <w:rsid w:val="003C5495"/>
    <w:rsid w:val="00486EAB"/>
    <w:rsid w:val="004F725F"/>
    <w:rsid w:val="0057447A"/>
    <w:rsid w:val="005E4C91"/>
    <w:rsid w:val="0069775F"/>
    <w:rsid w:val="006D406F"/>
    <w:rsid w:val="007463A8"/>
    <w:rsid w:val="00764803"/>
    <w:rsid w:val="009E3EF7"/>
    <w:rsid w:val="00A73964"/>
    <w:rsid w:val="00AE25FB"/>
    <w:rsid w:val="00B3771D"/>
    <w:rsid w:val="00B443F4"/>
    <w:rsid w:val="00B607B1"/>
    <w:rsid w:val="00B913BC"/>
    <w:rsid w:val="00B91973"/>
    <w:rsid w:val="00BB5549"/>
    <w:rsid w:val="00BC131C"/>
    <w:rsid w:val="00BC5981"/>
    <w:rsid w:val="00C057BC"/>
    <w:rsid w:val="00C57D9B"/>
    <w:rsid w:val="00C8067A"/>
    <w:rsid w:val="00C9691F"/>
    <w:rsid w:val="00CA0FED"/>
    <w:rsid w:val="00CF53CA"/>
    <w:rsid w:val="00D02C0C"/>
    <w:rsid w:val="00D0611D"/>
    <w:rsid w:val="00D1589D"/>
    <w:rsid w:val="00DA10E9"/>
    <w:rsid w:val="00DC701C"/>
    <w:rsid w:val="00E41B66"/>
    <w:rsid w:val="00E463E8"/>
    <w:rsid w:val="00E669AC"/>
    <w:rsid w:val="00F12F38"/>
    <w:rsid w:val="00F148C6"/>
    <w:rsid w:val="00F652F8"/>
    <w:rsid w:val="00F90073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27A98-8E99-4526-AF5D-A2A77EE1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3757B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B9197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DA10E9"/>
    <w:pPr>
      <w:ind w:left="720"/>
    </w:pPr>
  </w:style>
  <w:style w:type="character" w:styleId="Hyperlink">
    <w:name w:val="Hyperlink"/>
    <w:uiPriority w:val="99"/>
    <w:unhideWhenUsed/>
    <w:rsid w:val="00DA1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RP.006 Preparation of Chloroquine Diphosphate Reagent</vt:lpstr>
      <vt:lpstr>RP.006 Preparation of Chloroquine Diphosphate Reagent</vt:lpstr>
    </vt:vector>
  </TitlesOfParts>
  <Company>Microsoft</Company>
  <LinksUpToDate>false</LinksUpToDate>
  <CharactersWithSpaces>1863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RP.006 Preparation of Chloroquine Diphosphate Reagent</dc:title>
  <dc:subject/>
  <dc:creator>Transfusion Ontario Program Office</dc:creator>
  <cp:keywords/>
  <cp:lastModifiedBy>Nesrallah, Heather</cp:lastModifiedBy>
  <cp:revision>2</cp:revision>
  <cp:lastPrinted>2010-03-09T18:42:00Z</cp:lastPrinted>
  <dcterms:created xsi:type="dcterms:W3CDTF">2020-08-11T20:20:00Z</dcterms:created>
  <dcterms:modified xsi:type="dcterms:W3CDTF">2020-08-11T20:20:00Z</dcterms:modified>
</cp:coreProperties>
</file>