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61" w:rsidRDefault="008D7361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>
        <w:rPr>
          <w:rFonts w:ascii="Arial" w:hAnsi="Arial"/>
          <w:b/>
          <w:sz w:val="28"/>
          <w:lang w:val="fr-CA"/>
        </w:rPr>
        <w:t>Principe</w:t>
      </w:r>
    </w:p>
    <w:p w:rsidR="008D7361" w:rsidRDefault="00CC3DE5" w:rsidP="00CC3DE5">
      <w:pPr>
        <w:tabs>
          <w:tab w:val="left" w:pos="3360"/>
        </w:tabs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</w:p>
    <w:p w:rsidR="008D7361" w:rsidRPr="00CA2932" w:rsidRDefault="008D7361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Le traitement de globules rouges par de l’AET à 6 % (</w:t>
      </w:r>
      <w:r w:rsidR="008F05A5">
        <w:rPr>
          <w:rFonts w:ascii="Arial" w:hAnsi="Arial"/>
          <w:sz w:val="24"/>
          <w:lang w:val="fr-CA"/>
        </w:rPr>
        <w:t xml:space="preserve">bromure de </w:t>
      </w:r>
      <w:r w:rsidRPr="00922B11">
        <w:rPr>
          <w:rFonts w:ascii="Arial" w:hAnsi="Arial"/>
          <w:sz w:val="24"/>
          <w:lang w:val="fr-CA"/>
        </w:rPr>
        <w:t>2-aminoéthylisothirouronium</w:t>
      </w:r>
      <w:r>
        <w:rPr>
          <w:rFonts w:ascii="Arial" w:hAnsi="Arial"/>
          <w:sz w:val="24"/>
          <w:lang w:val="fr-CA"/>
        </w:rPr>
        <w:t xml:space="preserve">) inactive les antigènes Kell (à l’exception de </w:t>
      </w:r>
      <w:proofErr w:type="spellStart"/>
      <w:r>
        <w:rPr>
          <w:rFonts w:ascii="Arial" w:hAnsi="Arial"/>
          <w:sz w:val="24"/>
          <w:lang w:val="fr-CA"/>
        </w:rPr>
        <w:t>K</w:t>
      </w:r>
      <w:r>
        <w:rPr>
          <w:rFonts w:ascii="Arial" w:hAnsi="Arial"/>
          <w:sz w:val="24"/>
          <w:vertAlign w:val="subscript"/>
          <w:lang w:val="fr-CA"/>
        </w:rPr>
        <w:t>x</w:t>
      </w:r>
      <w:proofErr w:type="spellEnd"/>
      <w:r>
        <w:rPr>
          <w:rFonts w:ascii="Arial" w:hAnsi="Arial"/>
          <w:sz w:val="24"/>
          <w:lang w:val="fr-CA"/>
        </w:rPr>
        <w:t xml:space="preserve">) et entraîne </w:t>
      </w:r>
      <w:r w:rsidR="00FF431A">
        <w:rPr>
          <w:rFonts w:ascii="Arial" w:hAnsi="Arial"/>
          <w:sz w:val="24"/>
          <w:lang w:val="fr-CA"/>
        </w:rPr>
        <w:t>la formation d’</w:t>
      </w:r>
      <w:r>
        <w:rPr>
          <w:rFonts w:ascii="Arial" w:hAnsi="Arial"/>
          <w:sz w:val="24"/>
          <w:lang w:val="fr-CA"/>
        </w:rPr>
        <w:t>une cellule K</w:t>
      </w:r>
      <w:r>
        <w:rPr>
          <w:rFonts w:ascii="Arial" w:hAnsi="Arial"/>
          <w:sz w:val="24"/>
          <w:vertAlign w:val="subscript"/>
          <w:lang w:val="fr-CA"/>
        </w:rPr>
        <w:t>o</w:t>
      </w:r>
      <w:r>
        <w:rPr>
          <w:rFonts w:ascii="Arial" w:hAnsi="Arial"/>
          <w:sz w:val="24"/>
          <w:lang w:val="fr-CA"/>
        </w:rPr>
        <w:t xml:space="preserve"> artificielle.</w:t>
      </w:r>
      <w:r w:rsidR="00CA2932" w:rsidRPr="00CA2932">
        <w:rPr>
          <w:rFonts w:ascii="Arial" w:hAnsi="Arial"/>
          <w:sz w:val="24"/>
          <w:lang w:val="fr-CA"/>
        </w:rPr>
        <w:t xml:space="preserve"> </w:t>
      </w:r>
      <w:r w:rsidR="00CA2932">
        <w:rPr>
          <w:rFonts w:ascii="Arial" w:hAnsi="Arial"/>
          <w:sz w:val="24"/>
          <w:lang w:val="fr-CA"/>
        </w:rPr>
        <w:t xml:space="preserve">De plus, la plupart des antigènes suivants sont affaiblis ou détruits par l’AET : système </w:t>
      </w:r>
      <w:proofErr w:type="spellStart"/>
      <w:r w:rsidR="00CA2932">
        <w:rPr>
          <w:rFonts w:ascii="Arial" w:hAnsi="Arial"/>
          <w:sz w:val="24"/>
          <w:lang w:val="fr-CA"/>
        </w:rPr>
        <w:t>Knops</w:t>
      </w:r>
      <w:proofErr w:type="spellEnd"/>
      <w:r w:rsidR="00CA2932">
        <w:rPr>
          <w:rFonts w:ascii="Arial" w:hAnsi="Arial"/>
          <w:sz w:val="24"/>
          <w:lang w:val="fr-CA"/>
        </w:rPr>
        <w:t xml:space="preserve"> -</w:t>
      </w:r>
      <w:proofErr w:type="spellStart"/>
      <w:r w:rsidR="00CA2932">
        <w:rPr>
          <w:rFonts w:ascii="Arial" w:hAnsi="Arial"/>
          <w:sz w:val="24"/>
          <w:lang w:val="fr-CA"/>
        </w:rPr>
        <w:t>LW</w:t>
      </w:r>
      <w:r w:rsidR="00CA2932" w:rsidRPr="00CA2932">
        <w:rPr>
          <w:rFonts w:ascii="Arial" w:hAnsi="Arial"/>
          <w:sz w:val="24"/>
          <w:vertAlign w:val="superscript"/>
          <w:lang w:val="fr-CA"/>
        </w:rPr>
        <w:t>a</w:t>
      </w:r>
      <w:proofErr w:type="spellEnd"/>
      <w:r w:rsidR="00CA2932">
        <w:rPr>
          <w:rFonts w:ascii="Arial" w:hAnsi="Arial"/>
          <w:sz w:val="24"/>
          <w:lang w:val="fr-CA"/>
        </w:rPr>
        <w:t xml:space="preserve">, </w:t>
      </w:r>
      <w:proofErr w:type="spellStart"/>
      <w:r w:rsidR="00CA2932">
        <w:rPr>
          <w:rFonts w:ascii="Arial" w:hAnsi="Arial"/>
          <w:sz w:val="24"/>
          <w:lang w:val="fr-CA"/>
        </w:rPr>
        <w:t>Yt</w:t>
      </w:r>
      <w:r w:rsidR="00CA2932" w:rsidRPr="00CA2932">
        <w:rPr>
          <w:rFonts w:ascii="Arial" w:hAnsi="Arial"/>
          <w:sz w:val="24"/>
          <w:vertAlign w:val="superscript"/>
          <w:lang w:val="fr-CA"/>
        </w:rPr>
        <w:t>a</w:t>
      </w:r>
      <w:proofErr w:type="spellEnd"/>
      <w:r w:rsidR="00CA2932">
        <w:rPr>
          <w:rFonts w:ascii="Arial" w:hAnsi="Arial"/>
          <w:sz w:val="24"/>
          <w:lang w:val="fr-CA"/>
        </w:rPr>
        <w:t xml:space="preserve">, </w:t>
      </w:r>
      <w:proofErr w:type="spellStart"/>
      <w:r w:rsidR="00CA2932">
        <w:rPr>
          <w:rFonts w:ascii="Arial" w:hAnsi="Arial"/>
          <w:sz w:val="24"/>
          <w:lang w:val="fr-CA"/>
        </w:rPr>
        <w:t>Yt</w:t>
      </w:r>
      <w:r w:rsidR="00CA2932">
        <w:rPr>
          <w:rFonts w:ascii="Arial" w:hAnsi="Arial"/>
          <w:sz w:val="24"/>
          <w:vertAlign w:val="superscript"/>
          <w:lang w:val="fr-CA"/>
        </w:rPr>
        <w:t>b</w:t>
      </w:r>
      <w:proofErr w:type="spellEnd"/>
      <w:r w:rsidR="00CA2932">
        <w:rPr>
          <w:rFonts w:ascii="Arial" w:hAnsi="Arial"/>
          <w:sz w:val="24"/>
          <w:lang w:val="fr-CA"/>
        </w:rPr>
        <w:t xml:space="preserve">, </w:t>
      </w:r>
      <w:proofErr w:type="spellStart"/>
      <w:r w:rsidR="00CA2932">
        <w:rPr>
          <w:rFonts w:ascii="Arial" w:hAnsi="Arial"/>
          <w:sz w:val="24"/>
          <w:lang w:val="fr-CA"/>
        </w:rPr>
        <w:t>Do</w:t>
      </w:r>
      <w:r w:rsidR="00CA2932">
        <w:rPr>
          <w:rFonts w:ascii="Arial" w:hAnsi="Arial"/>
          <w:sz w:val="24"/>
          <w:vertAlign w:val="superscript"/>
          <w:lang w:val="fr-CA"/>
        </w:rPr>
        <w:t>a</w:t>
      </w:r>
      <w:proofErr w:type="spellEnd"/>
      <w:r w:rsidR="00CA2932">
        <w:rPr>
          <w:rFonts w:ascii="Arial" w:hAnsi="Arial"/>
          <w:sz w:val="24"/>
          <w:lang w:val="fr-CA"/>
        </w:rPr>
        <w:t xml:space="preserve">, </w:t>
      </w:r>
      <w:proofErr w:type="spellStart"/>
      <w:r w:rsidR="00CA2932">
        <w:rPr>
          <w:rFonts w:ascii="Arial" w:hAnsi="Arial"/>
          <w:sz w:val="24"/>
          <w:lang w:val="fr-CA"/>
        </w:rPr>
        <w:t>Do</w:t>
      </w:r>
      <w:r w:rsidR="00CA2932">
        <w:rPr>
          <w:rFonts w:ascii="Arial" w:hAnsi="Arial"/>
          <w:sz w:val="24"/>
          <w:vertAlign w:val="superscript"/>
          <w:lang w:val="fr-CA"/>
        </w:rPr>
        <w:t>b</w:t>
      </w:r>
      <w:proofErr w:type="spellEnd"/>
      <w:r w:rsidR="00CA2932">
        <w:rPr>
          <w:rFonts w:ascii="Arial" w:hAnsi="Arial"/>
          <w:sz w:val="24"/>
          <w:lang w:val="fr-CA"/>
        </w:rPr>
        <w:t xml:space="preserve">, </w:t>
      </w:r>
      <w:proofErr w:type="spellStart"/>
      <w:r w:rsidR="00CA2932">
        <w:rPr>
          <w:rFonts w:ascii="Arial" w:hAnsi="Arial"/>
          <w:sz w:val="24"/>
          <w:lang w:val="fr-CA"/>
        </w:rPr>
        <w:t>Gy</w:t>
      </w:r>
      <w:r w:rsidR="00CA2932">
        <w:rPr>
          <w:rFonts w:ascii="Arial" w:hAnsi="Arial"/>
          <w:sz w:val="24"/>
          <w:vertAlign w:val="superscript"/>
          <w:lang w:val="fr-CA"/>
        </w:rPr>
        <w:t>a</w:t>
      </w:r>
      <w:proofErr w:type="spellEnd"/>
      <w:r w:rsidR="00CA2932">
        <w:rPr>
          <w:rFonts w:ascii="Arial" w:hAnsi="Arial"/>
          <w:sz w:val="24"/>
          <w:lang w:val="fr-CA"/>
        </w:rPr>
        <w:t xml:space="preserve">, Hy, </w:t>
      </w:r>
      <w:proofErr w:type="spellStart"/>
      <w:r w:rsidR="00CA2932">
        <w:rPr>
          <w:rFonts w:ascii="Arial" w:hAnsi="Arial"/>
          <w:sz w:val="24"/>
          <w:lang w:val="fr-CA"/>
        </w:rPr>
        <w:t>Jo</w:t>
      </w:r>
      <w:r w:rsidR="00CA2932">
        <w:rPr>
          <w:rFonts w:ascii="Arial" w:hAnsi="Arial"/>
          <w:sz w:val="24"/>
          <w:vertAlign w:val="superscript"/>
          <w:lang w:val="fr-CA"/>
        </w:rPr>
        <w:t>a</w:t>
      </w:r>
      <w:proofErr w:type="spellEnd"/>
      <w:r w:rsidR="00CA2932">
        <w:rPr>
          <w:rFonts w:ascii="Arial" w:hAnsi="Arial"/>
          <w:sz w:val="24"/>
          <w:lang w:val="fr-CA"/>
        </w:rPr>
        <w:t>.</w:t>
      </w:r>
    </w:p>
    <w:p w:rsidR="008D7361" w:rsidRDefault="008D7361">
      <w:pPr>
        <w:rPr>
          <w:rFonts w:ascii="Arial" w:hAnsi="Arial"/>
          <w:sz w:val="24"/>
          <w:lang w:val="fr-CA"/>
        </w:rPr>
      </w:pPr>
    </w:p>
    <w:p w:rsidR="008D7361" w:rsidRDefault="008D7361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 xml:space="preserve">Portée et politiques connexes </w:t>
      </w:r>
      <w:r w:rsidR="00107EB7">
        <w:rPr>
          <w:rFonts w:ascii="Arial" w:hAnsi="Arial"/>
          <w:b/>
          <w:sz w:val="28"/>
          <w:lang w:val="fr-CA"/>
        </w:rPr>
        <w:br/>
      </w:r>
    </w:p>
    <w:p w:rsidR="00CA2932" w:rsidRPr="0008585D" w:rsidRDefault="00CA2932" w:rsidP="00CA2932">
      <w:pPr>
        <w:ind w:left="709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  <w:t>Tout réactif préparé en laboratoire interne qui contient une substance contrôlée doit être étiqueté conformément au règlement du SIMDUT</w:t>
      </w:r>
      <w:r>
        <w:rPr>
          <w:rFonts w:ascii="Arial" w:hAnsi="Arial"/>
          <w:sz w:val="24"/>
          <w:vertAlign w:val="superscript"/>
          <w:lang w:val="fr-CA"/>
        </w:rPr>
        <w:t>9.1</w:t>
      </w:r>
      <w:r>
        <w:rPr>
          <w:rFonts w:ascii="Arial" w:hAnsi="Arial"/>
          <w:sz w:val="24"/>
          <w:lang w:val="fr-CA"/>
        </w:rPr>
        <w:t>.</w:t>
      </w:r>
    </w:p>
    <w:p w:rsidR="00107EB7" w:rsidRDefault="00107EB7" w:rsidP="00107EB7">
      <w:pPr>
        <w:rPr>
          <w:rFonts w:ascii="Arial" w:hAnsi="Arial"/>
          <w:sz w:val="24"/>
          <w:lang w:val="fr-CA"/>
        </w:rPr>
      </w:pPr>
    </w:p>
    <w:p w:rsidR="008D7361" w:rsidRDefault="008D7361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Échantillons – S.O.</w:t>
      </w:r>
    </w:p>
    <w:p w:rsidR="008D7361" w:rsidRDefault="008D7361">
      <w:pPr>
        <w:rPr>
          <w:rFonts w:ascii="Arial" w:hAnsi="Arial"/>
          <w:sz w:val="24"/>
          <w:lang w:val="fr-CA"/>
        </w:rPr>
      </w:pPr>
    </w:p>
    <w:p w:rsidR="008D7361" w:rsidRDefault="008D7361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Matériel</w:t>
      </w:r>
    </w:p>
    <w:p w:rsidR="008D7361" w:rsidRDefault="008D7361">
      <w:pPr>
        <w:rPr>
          <w:rFonts w:ascii="Arial" w:hAnsi="Arial"/>
          <w:sz w:val="24"/>
          <w:lang w:val="fr-CA"/>
        </w:rPr>
      </w:pPr>
    </w:p>
    <w:p w:rsidR="008D7361" w:rsidRDefault="008D7361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t>Équipement :</w:t>
      </w:r>
      <w:r w:rsidR="00FF431A">
        <w:rPr>
          <w:rFonts w:ascii="Arial" w:hAnsi="Arial"/>
          <w:sz w:val="24"/>
          <w:lang w:val="fr-CA"/>
        </w:rPr>
        <w:tab/>
        <w:t>b</w:t>
      </w:r>
      <w:r>
        <w:rPr>
          <w:rFonts w:ascii="Arial" w:hAnsi="Arial"/>
          <w:sz w:val="24"/>
          <w:lang w:val="fr-CA"/>
        </w:rPr>
        <w:t>alance</w:t>
      </w:r>
    </w:p>
    <w:p w:rsidR="008D7361" w:rsidRPr="00946C19" w:rsidRDefault="008D7361">
      <w:pPr>
        <w:ind w:left="720"/>
        <w:rPr>
          <w:rFonts w:ascii="Arial" w:hAnsi="Arial"/>
          <w:sz w:val="16"/>
          <w:szCs w:val="16"/>
          <w:lang w:val="fr-CA"/>
        </w:rPr>
      </w:pPr>
    </w:p>
    <w:p w:rsidR="008D7361" w:rsidRDefault="008D7361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t>Fournitures :</w:t>
      </w:r>
      <w:r>
        <w:rPr>
          <w:rFonts w:ascii="Arial" w:hAnsi="Arial"/>
          <w:sz w:val="24"/>
          <w:lang w:val="fr-CA"/>
        </w:rPr>
        <w:tab/>
      </w:r>
      <w:r w:rsidR="00A806F0">
        <w:rPr>
          <w:rFonts w:ascii="Arial" w:hAnsi="Arial"/>
          <w:sz w:val="24"/>
          <w:lang w:val="fr-CA"/>
        </w:rPr>
        <w:t>récipient</w:t>
      </w:r>
      <w:r w:rsidR="00107EB7">
        <w:rPr>
          <w:rFonts w:ascii="Arial" w:hAnsi="Arial"/>
          <w:sz w:val="24"/>
          <w:lang w:val="fr-CA"/>
        </w:rPr>
        <w:t>s</w:t>
      </w:r>
      <w:r w:rsidR="00A806F0">
        <w:rPr>
          <w:rFonts w:ascii="Arial" w:hAnsi="Arial"/>
          <w:sz w:val="24"/>
          <w:lang w:val="fr-CA"/>
        </w:rPr>
        <w:t xml:space="preserve"> de pesée</w:t>
      </w:r>
    </w:p>
    <w:p w:rsidR="00946C19" w:rsidRDefault="00946C19" w:rsidP="00946C19">
      <w:pPr>
        <w:ind w:left="2160" w:firstLine="72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flacon</w:t>
      </w:r>
      <w:proofErr w:type="gramEnd"/>
      <w:r>
        <w:rPr>
          <w:rFonts w:ascii="Arial" w:hAnsi="Arial"/>
          <w:sz w:val="24"/>
          <w:lang w:val="fr-CA"/>
        </w:rPr>
        <w:t xml:space="preserve"> ou bécher de verre</w:t>
      </w:r>
    </w:p>
    <w:p w:rsidR="008D7361" w:rsidRDefault="00FF431A">
      <w:pPr>
        <w:ind w:left="2160" w:firstLine="72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p</w:t>
      </w:r>
      <w:r w:rsidR="008D7361">
        <w:rPr>
          <w:rFonts w:ascii="Arial" w:hAnsi="Arial"/>
          <w:sz w:val="24"/>
          <w:lang w:val="fr-CA"/>
        </w:rPr>
        <w:t>ipettes</w:t>
      </w:r>
      <w:proofErr w:type="gramEnd"/>
      <w:r w:rsidR="008D7361">
        <w:rPr>
          <w:rFonts w:ascii="Arial" w:hAnsi="Arial"/>
          <w:sz w:val="24"/>
          <w:lang w:val="fr-CA"/>
        </w:rPr>
        <w:t xml:space="preserve"> sérologiques</w:t>
      </w:r>
    </w:p>
    <w:p w:rsidR="008D7361" w:rsidRDefault="008D7361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proofErr w:type="gramStart"/>
      <w:r w:rsidR="00FF431A">
        <w:rPr>
          <w:rFonts w:ascii="Arial" w:hAnsi="Arial"/>
          <w:sz w:val="24"/>
          <w:lang w:val="fr-CA"/>
        </w:rPr>
        <w:t>b</w:t>
      </w:r>
      <w:r>
        <w:rPr>
          <w:rFonts w:ascii="Arial" w:hAnsi="Arial"/>
          <w:sz w:val="24"/>
          <w:lang w:val="fr-CA"/>
        </w:rPr>
        <w:t>ande</w:t>
      </w:r>
      <w:r w:rsidR="00107EB7">
        <w:rPr>
          <w:rFonts w:ascii="Arial" w:hAnsi="Arial"/>
          <w:sz w:val="24"/>
          <w:lang w:val="fr-CA"/>
        </w:rPr>
        <w:t>lettes</w:t>
      </w:r>
      <w:proofErr w:type="gramEnd"/>
      <w:r w:rsidR="00107EB7">
        <w:rPr>
          <w:rFonts w:ascii="Arial" w:hAnsi="Arial"/>
          <w:sz w:val="24"/>
          <w:lang w:val="fr-CA"/>
        </w:rPr>
        <w:t xml:space="preserve"> indicatrices de</w:t>
      </w:r>
      <w:r>
        <w:rPr>
          <w:rFonts w:ascii="Arial" w:hAnsi="Arial"/>
          <w:sz w:val="24"/>
          <w:lang w:val="fr-CA"/>
        </w:rPr>
        <w:t xml:space="preserve"> pH </w:t>
      </w:r>
    </w:p>
    <w:p w:rsidR="008D7361" w:rsidRPr="00946C19" w:rsidRDefault="008D7361">
      <w:pPr>
        <w:ind w:left="720"/>
        <w:rPr>
          <w:rFonts w:ascii="Arial" w:hAnsi="Arial"/>
          <w:sz w:val="16"/>
          <w:szCs w:val="16"/>
          <w:lang w:val="fr-CA"/>
        </w:rPr>
      </w:pPr>
    </w:p>
    <w:p w:rsidR="008D7361" w:rsidRDefault="008D7361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t>Réactifs :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 w:rsidR="00946C19">
        <w:rPr>
          <w:rFonts w:ascii="Arial" w:hAnsi="Arial"/>
          <w:sz w:val="24"/>
          <w:lang w:val="fr-CA"/>
        </w:rPr>
        <w:t xml:space="preserve">10 </w:t>
      </w:r>
      <w:proofErr w:type="spellStart"/>
      <w:r w:rsidR="00946C19">
        <w:rPr>
          <w:rFonts w:ascii="Arial" w:hAnsi="Arial"/>
          <w:sz w:val="24"/>
          <w:lang w:val="fr-CA"/>
        </w:rPr>
        <w:t>mL</w:t>
      </w:r>
      <w:proofErr w:type="spellEnd"/>
      <w:r w:rsidR="00946C19">
        <w:rPr>
          <w:rFonts w:ascii="Arial" w:hAnsi="Arial"/>
          <w:sz w:val="24"/>
          <w:lang w:val="fr-CA"/>
        </w:rPr>
        <w:t xml:space="preserve"> d’</w:t>
      </w:r>
      <w:r w:rsidR="005A4437">
        <w:rPr>
          <w:rFonts w:ascii="Arial" w:hAnsi="Arial"/>
          <w:sz w:val="24"/>
          <w:lang w:val="fr-CA"/>
        </w:rPr>
        <w:t>e</w:t>
      </w:r>
      <w:r>
        <w:rPr>
          <w:rFonts w:ascii="Arial" w:hAnsi="Arial"/>
          <w:sz w:val="24"/>
          <w:lang w:val="fr-CA"/>
        </w:rPr>
        <w:t xml:space="preserve">au distillée </w:t>
      </w:r>
    </w:p>
    <w:p w:rsidR="008D7361" w:rsidRDefault="008D7361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AET (</w:t>
      </w:r>
      <w:r w:rsidR="008F05A5">
        <w:rPr>
          <w:rFonts w:ascii="Arial" w:hAnsi="Arial"/>
          <w:sz w:val="24"/>
          <w:lang w:val="fr-CA"/>
        </w:rPr>
        <w:t xml:space="preserve">bromure de </w:t>
      </w:r>
      <w:r w:rsidRPr="00922B11">
        <w:rPr>
          <w:rFonts w:ascii="Arial" w:hAnsi="Arial"/>
          <w:sz w:val="24"/>
          <w:lang w:val="fr-CA"/>
        </w:rPr>
        <w:t>2-amino</w:t>
      </w:r>
      <w:r w:rsidR="008F05A5">
        <w:rPr>
          <w:rFonts w:ascii="Arial" w:hAnsi="Arial"/>
          <w:sz w:val="24"/>
          <w:lang w:val="fr-CA"/>
        </w:rPr>
        <w:t>é</w:t>
      </w:r>
      <w:r w:rsidRPr="00922B11">
        <w:rPr>
          <w:rFonts w:ascii="Arial" w:hAnsi="Arial"/>
          <w:sz w:val="24"/>
          <w:lang w:val="fr-CA"/>
        </w:rPr>
        <w:t>thylisothirouronium</w:t>
      </w:r>
      <w:r>
        <w:rPr>
          <w:rFonts w:ascii="Arial" w:hAnsi="Arial"/>
          <w:sz w:val="24"/>
          <w:lang w:val="fr-CA"/>
        </w:rPr>
        <w:t>)</w:t>
      </w:r>
    </w:p>
    <w:p w:rsidR="008D7361" w:rsidRDefault="008D7361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 xml:space="preserve">5 N </w:t>
      </w:r>
      <w:proofErr w:type="spellStart"/>
      <w:r>
        <w:rPr>
          <w:rFonts w:ascii="Arial" w:hAnsi="Arial"/>
          <w:sz w:val="24"/>
          <w:lang w:val="fr-CA"/>
        </w:rPr>
        <w:t>NaOH</w:t>
      </w:r>
      <w:proofErr w:type="spellEnd"/>
    </w:p>
    <w:p w:rsidR="008D7361" w:rsidRDefault="008D7361">
      <w:pPr>
        <w:rPr>
          <w:rFonts w:ascii="Arial" w:hAnsi="Arial"/>
          <w:sz w:val="24"/>
          <w:lang w:val="fr-CA"/>
        </w:rPr>
      </w:pPr>
    </w:p>
    <w:p w:rsidR="008D7361" w:rsidRPr="00946C19" w:rsidRDefault="008D7361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Contrôle de la qualité</w:t>
      </w:r>
      <w:r w:rsidRPr="00946C19">
        <w:rPr>
          <w:rFonts w:ascii="Arial" w:hAnsi="Arial"/>
          <w:sz w:val="24"/>
          <w:lang w:val="fr-CA"/>
        </w:rPr>
        <w:t xml:space="preserve"> </w:t>
      </w:r>
      <w:r w:rsidR="00946C19">
        <w:rPr>
          <w:rFonts w:ascii="Arial" w:hAnsi="Arial"/>
          <w:sz w:val="24"/>
          <w:lang w:val="fr-CA"/>
        </w:rPr>
        <w:br/>
      </w:r>
    </w:p>
    <w:p w:rsidR="00946C19" w:rsidRPr="00946C19" w:rsidRDefault="00946C19" w:rsidP="00946C19">
      <w:pPr>
        <w:numPr>
          <w:ilvl w:val="1"/>
          <w:numId w:val="1"/>
        </w:numPr>
        <w:rPr>
          <w:rFonts w:ascii="Arial" w:hAnsi="Arial"/>
          <w:sz w:val="28"/>
          <w:lang w:val="fr-CA"/>
        </w:rPr>
      </w:pPr>
      <w:r w:rsidRPr="00946C19">
        <w:rPr>
          <w:rFonts w:ascii="Arial" w:hAnsi="Arial"/>
          <w:sz w:val="24"/>
          <w:lang w:val="fr-CA"/>
        </w:rPr>
        <w:t xml:space="preserve">Les pipettes sérologiques doivent être entretenues conformément aux recommandations du fabricant, y compris en ce qui concerne la </w:t>
      </w:r>
      <w:r w:rsidRPr="00946C19">
        <w:rPr>
          <w:rFonts w:ascii="Arial" w:hAnsi="Arial"/>
          <w:sz w:val="24"/>
          <w:lang w:val="fr-CA"/>
        </w:rPr>
        <w:lastRenderedPageBreak/>
        <w:t>précision du volume, la diminution des transferts et l’absence de contamination</w:t>
      </w:r>
      <w:r w:rsidRPr="00946C19">
        <w:rPr>
          <w:rFonts w:ascii="Arial" w:hAnsi="Arial"/>
          <w:sz w:val="24"/>
          <w:vertAlign w:val="superscript"/>
          <w:lang w:val="fr-CA"/>
        </w:rPr>
        <w:t>9</w:t>
      </w:r>
      <w:r>
        <w:rPr>
          <w:rFonts w:ascii="Arial" w:hAnsi="Arial"/>
          <w:sz w:val="24"/>
          <w:vertAlign w:val="superscript"/>
          <w:lang w:val="fr-CA"/>
        </w:rPr>
        <w:t>.2</w:t>
      </w:r>
      <w:r w:rsidRPr="00946C19">
        <w:rPr>
          <w:rFonts w:ascii="Arial" w:hAnsi="Arial"/>
          <w:sz w:val="24"/>
          <w:lang w:val="fr-CA"/>
        </w:rPr>
        <w:t>.</w:t>
      </w:r>
    </w:p>
    <w:p w:rsidR="008D7361" w:rsidRDefault="008D7361">
      <w:pPr>
        <w:rPr>
          <w:rFonts w:ascii="Arial" w:hAnsi="Arial"/>
          <w:b/>
          <w:sz w:val="24"/>
          <w:lang w:val="fr-CA"/>
        </w:rPr>
      </w:pPr>
    </w:p>
    <w:p w:rsidR="008D7361" w:rsidRDefault="008D7361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Procédure</w:t>
      </w:r>
    </w:p>
    <w:p w:rsidR="008D7361" w:rsidRDefault="008D7361">
      <w:pPr>
        <w:rPr>
          <w:rFonts w:ascii="Arial" w:hAnsi="Arial"/>
          <w:b/>
          <w:sz w:val="28"/>
          <w:lang w:val="fr-CA"/>
        </w:rPr>
      </w:pPr>
    </w:p>
    <w:p w:rsidR="008D7361" w:rsidRDefault="008D7361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Mesurer </w:t>
      </w:r>
      <w:r w:rsidR="003B04DB">
        <w:rPr>
          <w:rFonts w:ascii="Arial" w:hAnsi="Arial"/>
          <w:sz w:val="24"/>
          <w:lang w:val="fr-CA"/>
        </w:rPr>
        <w:t>0</w:t>
      </w:r>
      <w:r>
        <w:rPr>
          <w:rFonts w:ascii="Arial" w:hAnsi="Arial"/>
          <w:sz w:val="24"/>
          <w:lang w:val="fr-CA"/>
        </w:rPr>
        <w:t>,</w:t>
      </w:r>
      <w:r w:rsidR="003B04DB">
        <w:rPr>
          <w:rFonts w:ascii="Arial" w:hAnsi="Arial"/>
          <w:sz w:val="24"/>
          <w:lang w:val="fr-CA"/>
        </w:rPr>
        <w:t>6</w:t>
      </w:r>
      <w:r>
        <w:rPr>
          <w:rFonts w:ascii="Arial" w:hAnsi="Arial"/>
          <w:sz w:val="24"/>
          <w:lang w:val="fr-CA"/>
        </w:rPr>
        <w:t xml:space="preserve"> g d’AET dans le </w:t>
      </w:r>
      <w:r w:rsidR="00A806F0">
        <w:rPr>
          <w:rFonts w:ascii="Arial" w:hAnsi="Arial"/>
          <w:sz w:val="24"/>
          <w:lang w:val="fr-CA"/>
        </w:rPr>
        <w:t>récipient de pesée</w:t>
      </w:r>
      <w:r>
        <w:rPr>
          <w:rFonts w:ascii="Arial" w:hAnsi="Arial"/>
          <w:sz w:val="24"/>
          <w:lang w:val="fr-CA"/>
        </w:rPr>
        <w:t>.</w:t>
      </w:r>
    </w:p>
    <w:p w:rsidR="008D7361" w:rsidRDefault="008D7361">
      <w:pPr>
        <w:rPr>
          <w:rFonts w:ascii="Arial" w:hAnsi="Arial"/>
          <w:sz w:val="24"/>
          <w:lang w:val="fr-CA"/>
        </w:rPr>
      </w:pPr>
    </w:p>
    <w:p w:rsidR="008D7361" w:rsidRDefault="008D7361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Ajouter </w:t>
      </w:r>
      <w:r w:rsidR="00A806F0">
        <w:rPr>
          <w:rFonts w:ascii="Arial" w:hAnsi="Arial"/>
          <w:sz w:val="24"/>
          <w:lang w:val="fr-CA"/>
        </w:rPr>
        <w:t xml:space="preserve">à la poudre AET </w:t>
      </w:r>
      <w:r>
        <w:rPr>
          <w:rFonts w:ascii="Arial" w:hAnsi="Arial"/>
          <w:sz w:val="24"/>
          <w:lang w:val="fr-CA"/>
        </w:rPr>
        <w:t>un petit volume d</w:t>
      </w:r>
      <w:r w:rsidR="00A806F0">
        <w:rPr>
          <w:rFonts w:ascii="Arial" w:hAnsi="Arial"/>
          <w:sz w:val="24"/>
          <w:lang w:val="fr-CA"/>
        </w:rPr>
        <w:t>es</w:t>
      </w:r>
      <w:r>
        <w:rPr>
          <w:rFonts w:ascii="Arial" w:hAnsi="Arial"/>
          <w:sz w:val="24"/>
          <w:lang w:val="fr-CA"/>
        </w:rPr>
        <w:t xml:space="preserve"> </w:t>
      </w:r>
      <w:r w:rsidR="003B04DB">
        <w:rPr>
          <w:rFonts w:ascii="Arial" w:hAnsi="Arial"/>
          <w:sz w:val="24"/>
          <w:lang w:val="fr-CA"/>
        </w:rPr>
        <w:t>10</w:t>
      </w:r>
      <w:r>
        <w:rPr>
          <w:rFonts w:ascii="Arial" w:hAnsi="Arial"/>
          <w:sz w:val="24"/>
          <w:lang w:val="fr-CA"/>
        </w:rPr>
        <w:t> </w:t>
      </w:r>
      <w:proofErr w:type="spellStart"/>
      <w:r>
        <w:rPr>
          <w:rFonts w:ascii="Arial" w:hAnsi="Arial"/>
          <w:sz w:val="24"/>
          <w:lang w:val="fr-CA"/>
        </w:rPr>
        <w:t>mL</w:t>
      </w:r>
      <w:proofErr w:type="spellEnd"/>
      <w:r>
        <w:rPr>
          <w:rFonts w:ascii="Arial" w:hAnsi="Arial"/>
          <w:sz w:val="24"/>
          <w:lang w:val="fr-CA"/>
        </w:rPr>
        <w:t xml:space="preserve"> d’eau distillée requis pour la dissoudre. Verser ce mélange dans un bécher ou un flacon.</w:t>
      </w:r>
    </w:p>
    <w:p w:rsidR="008D7361" w:rsidRDefault="00E669D2">
      <w:p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   </w:t>
      </w:r>
    </w:p>
    <w:p w:rsidR="008D7361" w:rsidRDefault="008D7361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Ajouter le restant d’eau.</w:t>
      </w:r>
    </w:p>
    <w:p w:rsidR="008D7361" w:rsidRDefault="008D7361">
      <w:pPr>
        <w:rPr>
          <w:rFonts w:ascii="Arial" w:hAnsi="Arial"/>
          <w:sz w:val="24"/>
          <w:lang w:val="fr-CA"/>
        </w:rPr>
      </w:pPr>
    </w:p>
    <w:p w:rsidR="008D7361" w:rsidRDefault="008D7361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Ajuster le pH à 8,0 en ajoutant </w:t>
      </w:r>
      <w:r w:rsidR="00107EB7">
        <w:rPr>
          <w:rFonts w:ascii="Arial" w:hAnsi="Arial"/>
          <w:sz w:val="24"/>
          <w:lang w:val="fr-CA"/>
        </w:rPr>
        <w:t xml:space="preserve">lentement le </w:t>
      </w:r>
      <w:r>
        <w:rPr>
          <w:rFonts w:ascii="Arial" w:hAnsi="Arial"/>
          <w:sz w:val="24"/>
          <w:lang w:val="fr-CA"/>
        </w:rPr>
        <w:t xml:space="preserve">5 N </w:t>
      </w:r>
      <w:proofErr w:type="spellStart"/>
      <w:r>
        <w:rPr>
          <w:rFonts w:ascii="Arial" w:hAnsi="Arial"/>
          <w:sz w:val="24"/>
          <w:lang w:val="fr-CA"/>
        </w:rPr>
        <w:t>NaOH</w:t>
      </w:r>
      <w:proofErr w:type="spellEnd"/>
      <w:r w:rsidR="00107EB7">
        <w:rPr>
          <w:rFonts w:ascii="Arial" w:hAnsi="Arial"/>
          <w:sz w:val="24"/>
          <w:lang w:val="fr-CA"/>
        </w:rPr>
        <w:t>, goutte à goutte et en mesur</w:t>
      </w:r>
      <w:r>
        <w:rPr>
          <w:rFonts w:ascii="Arial" w:hAnsi="Arial"/>
          <w:sz w:val="24"/>
          <w:lang w:val="fr-CA"/>
        </w:rPr>
        <w:t>ant souvent le pH.</w:t>
      </w:r>
    </w:p>
    <w:p w:rsidR="008D7361" w:rsidRDefault="008D7361">
      <w:pPr>
        <w:rPr>
          <w:rFonts w:ascii="Arial" w:hAnsi="Arial"/>
          <w:sz w:val="24"/>
          <w:lang w:val="fr-CA"/>
        </w:rPr>
      </w:pPr>
    </w:p>
    <w:p w:rsidR="008D7361" w:rsidRDefault="008D7361">
      <w:pPr>
        <w:ind w:left="1440" w:hanging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6.5</w:t>
      </w:r>
      <w:r>
        <w:rPr>
          <w:rFonts w:ascii="Arial" w:hAnsi="Arial"/>
          <w:sz w:val="24"/>
          <w:lang w:val="fr-CA"/>
        </w:rPr>
        <w:tab/>
        <w:t>Le réacti</w:t>
      </w:r>
      <w:r w:rsidR="00C7707C">
        <w:rPr>
          <w:rFonts w:ascii="Arial" w:hAnsi="Arial"/>
          <w:sz w:val="24"/>
          <w:lang w:val="fr-CA"/>
        </w:rPr>
        <w:t>f est bon pendant 24 heures à 4</w:t>
      </w:r>
      <w:r>
        <w:rPr>
          <w:rFonts w:ascii="Arial" w:hAnsi="Arial" w:cs="Arial"/>
          <w:sz w:val="24"/>
          <w:lang w:val="fr-CA"/>
        </w:rPr>
        <w:t>°</w:t>
      </w:r>
      <w:r>
        <w:rPr>
          <w:rFonts w:ascii="Arial" w:hAnsi="Arial"/>
          <w:sz w:val="24"/>
          <w:lang w:val="fr-CA"/>
        </w:rPr>
        <w:t>C</w:t>
      </w:r>
      <w:r w:rsidR="00FF431A">
        <w:rPr>
          <w:rFonts w:ascii="Arial" w:hAnsi="Arial"/>
          <w:sz w:val="24"/>
          <w:lang w:val="fr-CA"/>
        </w:rPr>
        <w:t xml:space="preserve">. On peut aussi le séparer </w:t>
      </w:r>
      <w:r>
        <w:rPr>
          <w:rFonts w:ascii="Arial" w:hAnsi="Arial"/>
          <w:sz w:val="24"/>
          <w:lang w:val="fr-CA"/>
        </w:rPr>
        <w:t>en aliquotes</w:t>
      </w:r>
      <w:r w:rsidR="003B04DB">
        <w:rPr>
          <w:rFonts w:ascii="Arial" w:hAnsi="Arial"/>
          <w:sz w:val="24"/>
          <w:lang w:val="fr-CA"/>
        </w:rPr>
        <w:t>, l</w:t>
      </w:r>
      <w:r w:rsidR="006267CE">
        <w:rPr>
          <w:rFonts w:ascii="Arial" w:hAnsi="Arial"/>
          <w:sz w:val="24"/>
          <w:lang w:val="fr-CA"/>
        </w:rPr>
        <w:t>’</w:t>
      </w:r>
      <w:r w:rsidR="003B04DB">
        <w:rPr>
          <w:rFonts w:ascii="Arial" w:hAnsi="Arial"/>
          <w:sz w:val="24"/>
          <w:lang w:val="fr-CA"/>
        </w:rPr>
        <w:t>étiqueter</w:t>
      </w:r>
      <w:r>
        <w:rPr>
          <w:rFonts w:ascii="Arial" w:hAnsi="Arial"/>
          <w:sz w:val="24"/>
          <w:lang w:val="fr-CA"/>
        </w:rPr>
        <w:t xml:space="preserve"> et </w:t>
      </w:r>
      <w:r w:rsidR="00FF431A">
        <w:rPr>
          <w:rFonts w:ascii="Arial" w:hAnsi="Arial"/>
          <w:sz w:val="24"/>
          <w:lang w:val="fr-CA"/>
        </w:rPr>
        <w:t xml:space="preserve">le </w:t>
      </w:r>
      <w:r>
        <w:rPr>
          <w:rFonts w:ascii="Arial" w:hAnsi="Arial"/>
          <w:sz w:val="24"/>
          <w:lang w:val="fr-CA"/>
        </w:rPr>
        <w:t>congel</w:t>
      </w:r>
      <w:r w:rsidR="00FF431A">
        <w:rPr>
          <w:rFonts w:ascii="Arial" w:hAnsi="Arial"/>
          <w:sz w:val="24"/>
          <w:lang w:val="fr-CA"/>
        </w:rPr>
        <w:t>er</w:t>
      </w:r>
      <w:r>
        <w:rPr>
          <w:rFonts w:ascii="Arial" w:hAnsi="Arial"/>
          <w:sz w:val="24"/>
          <w:lang w:val="fr-CA"/>
        </w:rPr>
        <w:t xml:space="preserve"> à </w:t>
      </w:r>
      <w:r w:rsidR="00FF431A">
        <w:rPr>
          <w:rFonts w:ascii="Arial" w:hAnsi="Arial"/>
          <w:sz w:val="24"/>
          <w:lang w:val="fr-CA"/>
        </w:rPr>
        <w:t>-</w:t>
      </w:r>
      <w:r w:rsidR="00C7707C">
        <w:rPr>
          <w:rFonts w:ascii="Arial" w:hAnsi="Arial"/>
          <w:sz w:val="24"/>
          <w:lang w:val="fr-CA"/>
        </w:rPr>
        <w:t>30</w:t>
      </w:r>
      <w:r>
        <w:rPr>
          <w:rFonts w:ascii="Arial" w:hAnsi="Arial" w:cs="Arial"/>
          <w:sz w:val="24"/>
          <w:lang w:val="fr-CA"/>
        </w:rPr>
        <w:t>°</w:t>
      </w:r>
      <w:r>
        <w:rPr>
          <w:rFonts w:ascii="Arial" w:hAnsi="Arial"/>
          <w:sz w:val="24"/>
          <w:lang w:val="fr-CA"/>
        </w:rPr>
        <w:t xml:space="preserve">C pendant jusqu’à six </w:t>
      </w:r>
      <w:r w:rsidR="003B04DB">
        <w:rPr>
          <w:rFonts w:ascii="Arial" w:hAnsi="Arial"/>
          <w:sz w:val="24"/>
          <w:lang w:val="fr-CA"/>
        </w:rPr>
        <w:t xml:space="preserve">(6) </w:t>
      </w:r>
      <w:r>
        <w:rPr>
          <w:rFonts w:ascii="Arial" w:hAnsi="Arial"/>
          <w:sz w:val="24"/>
          <w:lang w:val="fr-CA"/>
        </w:rPr>
        <w:t>mois.</w:t>
      </w:r>
    </w:p>
    <w:p w:rsidR="008D7361" w:rsidRDefault="008D7361">
      <w:pPr>
        <w:rPr>
          <w:rFonts w:ascii="Arial" w:hAnsi="Arial"/>
          <w:b/>
          <w:sz w:val="24"/>
          <w:lang w:val="fr-CA"/>
        </w:rPr>
      </w:pPr>
    </w:p>
    <w:p w:rsidR="008D7361" w:rsidRDefault="008D7361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Documentation – S.O.</w:t>
      </w:r>
    </w:p>
    <w:p w:rsidR="008D7361" w:rsidRDefault="008D7361">
      <w:pPr>
        <w:rPr>
          <w:rFonts w:ascii="Arial" w:hAnsi="Arial"/>
          <w:sz w:val="24"/>
          <w:lang w:val="fr-CA"/>
        </w:rPr>
      </w:pPr>
    </w:p>
    <w:p w:rsidR="008D7361" w:rsidRPr="00946C19" w:rsidRDefault="008D7361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 xml:space="preserve">Remarques </w:t>
      </w:r>
      <w:r w:rsidR="00946C19">
        <w:rPr>
          <w:rFonts w:ascii="Arial" w:hAnsi="Arial"/>
          <w:b/>
          <w:sz w:val="28"/>
          <w:lang w:val="fr-CA"/>
        </w:rPr>
        <w:t>– S.O.</w:t>
      </w:r>
    </w:p>
    <w:p w:rsidR="008D7361" w:rsidRPr="00946C19" w:rsidRDefault="008D7361">
      <w:pPr>
        <w:rPr>
          <w:rFonts w:ascii="Arial" w:hAnsi="Arial"/>
          <w:b/>
          <w:sz w:val="28"/>
          <w:lang w:val="fr-CA"/>
        </w:rPr>
      </w:pPr>
    </w:p>
    <w:p w:rsidR="008D7361" w:rsidRPr="00C7707C" w:rsidRDefault="008D7361">
      <w:pPr>
        <w:numPr>
          <w:ilvl w:val="0"/>
          <w:numId w:val="1"/>
        </w:numPr>
        <w:rPr>
          <w:rFonts w:ascii="Arial" w:hAnsi="Arial"/>
          <w:b/>
          <w:sz w:val="28"/>
          <w:szCs w:val="24"/>
          <w:lang w:val="fr-CA"/>
        </w:rPr>
      </w:pPr>
      <w:r w:rsidRPr="00946C19">
        <w:rPr>
          <w:rFonts w:ascii="Arial" w:hAnsi="Arial"/>
          <w:b/>
          <w:sz w:val="28"/>
          <w:lang w:val="fr-CA"/>
        </w:rPr>
        <w:t>Références</w:t>
      </w:r>
    </w:p>
    <w:p w:rsidR="00C7707C" w:rsidRPr="00946C19" w:rsidRDefault="00C7707C" w:rsidP="00C7707C">
      <w:pPr>
        <w:rPr>
          <w:rFonts w:ascii="Arial" w:hAnsi="Arial"/>
          <w:b/>
          <w:sz w:val="28"/>
          <w:szCs w:val="24"/>
          <w:lang w:val="fr-CA"/>
        </w:rPr>
      </w:pPr>
    </w:p>
    <w:p w:rsidR="009B617C" w:rsidRPr="009B617C" w:rsidRDefault="009B617C" w:rsidP="009B617C">
      <w:pPr>
        <w:numPr>
          <w:ilvl w:val="1"/>
          <w:numId w:val="1"/>
        </w:numPr>
        <w:rPr>
          <w:rFonts w:ascii="Arial" w:hAnsi="Arial"/>
          <w:sz w:val="24"/>
          <w:szCs w:val="24"/>
        </w:rPr>
      </w:pPr>
      <w:r w:rsidRPr="009B617C">
        <w:rPr>
          <w:rFonts w:ascii="Arial" w:hAnsi="Arial"/>
          <w:sz w:val="24"/>
          <w:szCs w:val="24"/>
        </w:rPr>
        <w:t xml:space="preserve">WHMIS </w:t>
      </w:r>
      <w:hyperlink r:id="rId7" w:history="1">
        <w:r w:rsidRPr="009B617C">
          <w:rPr>
            <w:rStyle w:val="Hyperlink"/>
            <w:rFonts w:ascii="Arial" w:hAnsi="Arial"/>
            <w:sz w:val="24"/>
            <w:szCs w:val="24"/>
          </w:rPr>
          <w:t>www.whmis.ca</w:t>
        </w:r>
      </w:hyperlink>
    </w:p>
    <w:p w:rsidR="00C7707C" w:rsidRDefault="00C7707C" w:rsidP="00C7707C">
      <w:pPr>
        <w:ind w:left="1440"/>
        <w:rPr>
          <w:rFonts w:ascii="Arial" w:hAnsi="Arial"/>
          <w:sz w:val="24"/>
          <w:szCs w:val="24"/>
        </w:rPr>
      </w:pPr>
    </w:p>
    <w:p w:rsidR="009B617C" w:rsidRPr="009B617C" w:rsidRDefault="009B617C" w:rsidP="009B617C">
      <w:pPr>
        <w:numPr>
          <w:ilvl w:val="1"/>
          <w:numId w:val="1"/>
        </w:numPr>
        <w:rPr>
          <w:rFonts w:ascii="Arial" w:hAnsi="Arial"/>
          <w:sz w:val="24"/>
          <w:szCs w:val="24"/>
        </w:rPr>
      </w:pPr>
      <w:r w:rsidRPr="009B617C">
        <w:rPr>
          <w:rFonts w:ascii="Arial" w:hAnsi="Arial"/>
          <w:sz w:val="24"/>
          <w:szCs w:val="24"/>
        </w:rPr>
        <w:t xml:space="preserve">CSTM Standards for Hospital Transfusion Services, </w:t>
      </w:r>
      <w:proofErr w:type="spellStart"/>
      <w:r w:rsidRPr="009B617C">
        <w:rPr>
          <w:rFonts w:ascii="Arial" w:hAnsi="Arial"/>
          <w:sz w:val="24"/>
          <w:szCs w:val="24"/>
        </w:rPr>
        <w:t>ver</w:t>
      </w:r>
      <w:proofErr w:type="spellEnd"/>
      <w:r w:rsidRPr="009B617C">
        <w:rPr>
          <w:rFonts w:ascii="Arial" w:hAnsi="Arial"/>
          <w:sz w:val="24"/>
          <w:szCs w:val="24"/>
        </w:rPr>
        <w:t xml:space="preserve"> 3 February 2011:3.4.5.1.</w:t>
      </w:r>
    </w:p>
    <w:p w:rsidR="00C7707C" w:rsidRDefault="00C7707C" w:rsidP="00C7707C">
      <w:pPr>
        <w:ind w:left="1440"/>
        <w:rPr>
          <w:rFonts w:ascii="Arial" w:hAnsi="Arial"/>
          <w:sz w:val="24"/>
          <w:szCs w:val="24"/>
        </w:rPr>
      </w:pPr>
    </w:p>
    <w:p w:rsidR="009B617C" w:rsidRPr="009B617C" w:rsidRDefault="009B617C" w:rsidP="009B617C">
      <w:pPr>
        <w:numPr>
          <w:ilvl w:val="1"/>
          <w:numId w:val="1"/>
        </w:numPr>
        <w:rPr>
          <w:rFonts w:ascii="Arial" w:hAnsi="Arial"/>
          <w:sz w:val="24"/>
          <w:szCs w:val="24"/>
        </w:rPr>
      </w:pPr>
      <w:r w:rsidRPr="009B617C">
        <w:rPr>
          <w:rFonts w:ascii="Arial" w:hAnsi="Arial"/>
          <w:sz w:val="24"/>
          <w:szCs w:val="24"/>
        </w:rPr>
        <w:t>Fung MK Ed. Technical Manual 18th Edition. AABB Press Bethesda MD; 2014 Method (3-18).</w:t>
      </w:r>
    </w:p>
    <w:p w:rsidR="009B617C" w:rsidRPr="007463CE" w:rsidRDefault="009B617C" w:rsidP="009B617C">
      <w:pPr>
        <w:pStyle w:val="ListParagraph"/>
        <w:rPr>
          <w:rFonts w:ascii="Arial" w:hAnsi="Arial"/>
          <w:b/>
          <w:sz w:val="24"/>
        </w:rPr>
      </w:pPr>
    </w:p>
    <w:p w:rsidR="006402E2" w:rsidRPr="00AA3396" w:rsidRDefault="006402E2" w:rsidP="006402E2">
      <w:pPr>
        <w:pStyle w:val="ListParagraph"/>
        <w:numPr>
          <w:ilvl w:val="0"/>
          <w:numId w:val="16"/>
        </w:numPr>
        <w:contextualSpacing/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</w:p>
    <w:p w:rsidR="006402E2" w:rsidRPr="00AA3396" w:rsidRDefault="006402E2" w:rsidP="006402E2">
      <w:pPr>
        <w:pStyle w:val="ListParagraph"/>
        <w:jc w:val="center"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5207"/>
      </w:tblGrid>
      <w:tr w:rsidR="006402E2" w:rsidRPr="00AA3396" w:rsidTr="002F7A2F">
        <w:trPr>
          <w:cantSplit/>
        </w:trPr>
        <w:tc>
          <w:tcPr>
            <w:tcW w:w="3510" w:type="dxa"/>
            <w:shd w:val="clear" w:color="auto" w:fill="F2F2F2"/>
          </w:tcPr>
          <w:p w:rsidR="006402E2" w:rsidRPr="004050E8" w:rsidRDefault="006402E2" w:rsidP="002F7A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346" w:type="dxa"/>
            <w:shd w:val="clear" w:color="auto" w:fill="F2F2F2"/>
          </w:tcPr>
          <w:p w:rsidR="006402E2" w:rsidRPr="004050E8" w:rsidRDefault="006402E2" w:rsidP="002F7A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6402E2" w:rsidRPr="00AA3396" w:rsidTr="00C7707C">
        <w:trPr>
          <w:cantSplit/>
          <w:trHeight w:val="1794"/>
        </w:trPr>
        <w:tc>
          <w:tcPr>
            <w:tcW w:w="3510" w:type="dxa"/>
          </w:tcPr>
          <w:p w:rsidR="006402E2" w:rsidRPr="00AA3396" w:rsidRDefault="006402E2" w:rsidP="002F7A2F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1</w:t>
            </w:r>
            <w:r w:rsidRPr="007E6852">
              <w:rPr>
                <w:rFonts w:ascii="Arial" w:hAnsi="Arial"/>
                <w:sz w:val="22"/>
                <w:szCs w:val="22"/>
                <w:vertAlign w:val="superscript"/>
                <w:lang w:val="fr-CA"/>
              </w:rPr>
              <w:t>er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  <w:lang w:val="fr-CA"/>
              </w:rPr>
              <w:t xml:space="preserve">décembre 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2014</w:t>
            </w:r>
            <w:proofErr w:type="gramEnd"/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5346" w:type="dxa"/>
          </w:tcPr>
          <w:p w:rsidR="006402E2" w:rsidRPr="00AA3396" w:rsidRDefault="006402E2" w:rsidP="006402E2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A3396">
              <w:rPr>
                <w:rFonts w:ascii="Arial" w:hAnsi="Arial" w:cs="Arial"/>
                <w:sz w:val="22"/>
                <w:szCs w:val="22"/>
                <w:lang w:val="fr-CA"/>
              </w:rPr>
              <w:t xml:space="preserve">Changement du nom du manuel </w:t>
            </w:r>
          </w:p>
          <w:p w:rsidR="006402E2" w:rsidRDefault="006402E2" w:rsidP="006402E2">
            <w:pPr>
              <w:pStyle w:val="ListParagraph"/>
              <w:keepLines/>
              <w:widowControl w:val="0"/>
              <w:numPr>
                <w:ilvl w:val="0"/>
                <w:numId w:val="15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Change</w:t>
            </w:r>
            <w:r w:rsidR="00946C19">
              <w:rPr>
                <w:rFonts w:ascii="Arial" w:hAnsi="Arial"/>
                <w:sz w:val="22"/>
                <w:szCs w:val="22"/>
                <w:lang w:val="fr-CA"/>
              </w:rPr>
              <w:t>ment du libellé de la section 1 pour préciser que « </w:t>
            </w:r>
            <w:r w:rsidR="00946C19" w:rsidRPr="00946C19">
              <w:rPr>
                <w:rFonts w:ascii="Arial" w:hAnsi="Arial"/>
                <w:sz w:val="22"/>
                <w:lang w:val="fr-CA"/>
              </w:rPr>
              <w:t xml:space="preserve">la plupart des antigènes suivants sont </w:t>
            </w:r>
            <w:r w:rsidR="00946C19" w:rsidRPr="00946C19">
              <w:rPr>
                <w:rFonts w:ascii="Arial" w:hAnsi="Arial"/>
                <w:sz w:val="22"/>
                <w:szCs w:val="22"/>
                <w:lang w:val="fr-CA"/>
              </w:rPr>
              <w:t>affaiblis ou détruits</w:t>
            </w:r>
            <w:r w:rsidR="00946C19">
              <w:rPr>
                <w:rFonts w:ascii="Arial" w:hAnsi="Arial"/>
                <w:sz w:val="22"/>
                <w:szCs w:val="22"/>
                <w:lang w:val="fr-CA"/>
              </w:rPr>
              <w:t> »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.</w:t>
            </w:r>
          </w:p>
          <w:p w:rsidR="00946C19" w:rsidRDefault="00946C19" w:rsidP="006402E2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Ajout à la section 5.0</w:t>
            </w:r>
          </w:p>
          <w:p w:rsidR="00946C19" w:rsidRDefault="006402E2" w:rsidP="006402E2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 xml:space="preserve">Révision des </w:t>
            </w:r>
            <w:r w:rsidR="00946C19">
              <w:rPr>
                <w:rFonts w:ascii="Arial" w:hAnsi="Arial"/>
                <w:sz w:val="22"/>
                <w:szCs w:val="22"/>
                <w:lang w:val="fr-CA"/>
              </w:rPr>
              <w:t>sections 6.0 et 8.0</w:t>
            </w:r>
          </w:p>
          <w:p w:rsidR="006402E2" w:rsidRPr="00AA3396" w:rsidRDefault="006402E2" w:rsidP="006402E2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8D7361" w:rsidRDefault="008D7361" w:rsidP="006402E2">
      <w:pPr>
        <w:rPr>
          <w:rFonts w:ascii="Arial" w:hAnsi="Arial"/>
          <w:sz w:val="24"/>
          <w:lang w:val="fr-CA"/>
        </w:rPr>
      </w:pPr>
    </w:p>
    <w:sectPr w:rsidR="008D736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9A" w:rsidRDefault="00D71E9A">
      <w:r>
        <w:separator/>
      </w:r>
    </w:p>
  </w:endnote>
  <w:endnote w:type="continuationSeparator" w:id="0">
    <w:p w:rsidR="00D71E9A" w:rsidRDefault="00D7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F51E6">
      <w:trPr>
        <w:trHeight w:val="720"/>
      </w:trPr>
      <w:tc>
        <w:tcPr>
          <w:tcW w:w="1368" w:type="dxa"/>
        </w:tcPr>
        <w:p w:rsidR="00CF51E6" w:rsidRDefault="00CF51E6">
          <w:pPr>
            <w:pStyle w:val="Footer"/>
            <w:jc w:val="center"/>
            <w:rPr>
              <w:sz w:val="8"/>
            </w:rPr>
          </w:pPr>
        </w:p>
        <w:p w:rsidR="00CF51E6" w:rsidRDefault="00F639AF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F51E6" w:rsidRDefault="00CF51E6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483CDE" w:rsidRDefault="00483CDE" w:rsidP="00483CDE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483CDE" w:rsidRPr="00C7707C" w:rsidRDefault="00483CDE" w:rsidP="00483CDE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C7707C">
            <w:rPr>
              <w:rFonts w:ascii="Arial" w:hAnsi="Arial"/>
              <w:sz w:val="18"/>
              <w:lang w:val="fr-CA"/>
            </w:rPr>
            <w:t xml:space="preserve"> </w:t>
          </w:r>
        </w:p>
        <w:p w:rsidR="00CF51E6" w:rsidRPr="00C7707C" w:rsidRDefault="00CF51E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CF51E6" w:rsidRPr="00C7707C" w:rsidRDefault="00CF51E6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CF51E6" w:rsidRDefault="00CF51E6" w:rsidP="00483CDE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PR.005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4B7735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4B7735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CF51E6" w:rsidRDefault="00CF5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F51E6">
      <w:trPr>
        <w:trHeight w:val="720"/>
      </w:trPr>
      <w:tc>
        <w:tcPr>
          <w:tcW w:w="1368" w:type="dxa"/>
        </w:tcPr>
        <w:p w:rsidR="00CF51E6" w:rsidRDefault="00CF51E6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F51E6" w:rsidRDefault="00F639AF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F51E6" w:rsidRDefault="00CF51E6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483CDE" w:rsidRDefault="00483CDE" w:rsidP="00483CDE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483CDE" w:rsidRPr="00C7707C" w:rsidRDefault="00483CDE" w:rsidP="00483CDE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C7707C">
            <w:rPr>
              <w:rFonts w:ascii="Arial" w:hAnsi="Arial"/>
              <w:sz w:val="18"/>
              <w:lang w:val="fr-CA"/>
            </w:rPr>
            <w:t xml:space="preserve"> </w:t>
          </w:r>
        </w:p>
        <w:p w:rsidR="00CF51E6" w:rsidRPr="00C7707C" w:rsidRDefault="00CF51E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CF51E6" w:rsidRPr="00C7707C" w:rsidRDefault="00CF51E6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CF51E6" w:rsidRDefault="00CF51E6" w:rsidP="00483CDE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PR.005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4B7735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4B7735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CF51E6" w:rsidRDefault="00CF5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9A" w:rsidRDefault="00D71E9A">
      <w:r>
        <w:separator/>
      </w:r>
    </w:p>
  </w:footnote>
  <w:footnote w:type="continuationSeparator" w:id="0">
    <w:p w:rsidR="00D71E9A" w:rsidRDefault="00D7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1E6" w:rsidRDefault="00CF51E6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bCs/>
        <w:sz w:val="28"/>
        <w:lang w:val="fr-CA"/>
      </w:rPr>
      <w:t>Préparation d’AET à 6 %</w:t>
    </w:r>
    <w:r>
      <w:rPr>
        <w:rFonts w:ascii="Arial" w:hAnsi="Arial"/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1E6" w:rsidRDefault="00F639AF">
    <w:pPr>
      <w:pStyle w:val="Header"/>
      <w:tabs>
        <w:tab w:val="clear" w:pos="8640"/>
        <w:tab w:val="left" w:pos="4783"/>
      </w:tabs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257300" cy="4191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707C" w:rsidRDefault="00C7707C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483CDE" w:rsidRPr="000C64D0" w:rsidRDefault="00483CDE" w:rsidP="00483CDE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483CDE" w:rsidRPr="000C64D0" w:rsidRDefault="00483CDE" w:rsidP="00483CDE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CF51E6" w:rsidRDefault="00CF51E6">
    <w:pPr>
      <w:pStyle w:val="Header"/>
      <w:jc w:val="center"/>
      <w:rPr>
        <w:rFonts w:ascii="Arial" w:hAnsi="Arial"/>
        <w:b/>
        <w:sz w:val="28"/>
        <w:lang w:val="fr-CA"/>
      </w:rPr>
    </w:pPr>
  </w:p>
  <w:p w:rsidR="00CF51E6" w:rsidRDefault="00CF51E6">
    <w:pPr>
      <w:pStyle w:val="Header"/>
      <w:jc w:val="center"/>
      <w:rPr>
        <w:rFonts w:ascii="Arial" w:hAnsi="Arial"/>
        <w:b/>
        <w:sz w:val="28"/>
        <w:lang w:val="fr-CA"/>
      </w:rPr>
    </w:pPr>
    <w:r>
      <w:rPr>
        <w:rFonts w:ascii="Arial" w:hAnsi="Arial"/>
        <w:b/>
        <w:bCs/>
        <w:sz w:val="28"/>
        <w:lang w:val="fr-CA"/>
      </w:rPr>
      <w:t>Préparation d’AET à 6 %</w:t>
    </w:r>
  </w:p>
  <w:p w:rsidR="00CF51E6" w:rsidRDefault="00CF51E6">
    <w:pPr>
      <w:pStyle w:val="Header"/>
      <w:jc w:val="center"/>
      <w:rPr>
        <w:rFonts w:ascii="Arial" w:hAnsi="Arial"/>
        <w:b/>
        <w:spacing w:val="-2"/>
        <w:sz w:val="28"/>
        <w:lang w:val="en-GB"/>
      </w:rPr>
    </w:pPr>
  </w:p>
  <w:p w:rsidR="00CF51E6" w:rsidRDefault="00CF51E6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F639A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0752C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01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pLE2f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66HNNR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9092" w:type="dxa"/>
      <w:tblLook w:val="0000" w:firstRow="0" w:lastRow="0" w:firstColumn="0" w:lastColumn="0" w:noHBand="0" w:noVBand="0"/>
    </w:tblPr>
    <w:tblGrid>
      <w:gridCol w:w="4428"/>
      <w:gridCol w:w="236"/>
      <w:gridCol w:w="4428"/>
    </w:tblGrid>
    <w:tr w:rsidR="00483CDE" w:rsidTr="00483CDE">
      <w:tc>
        <w:tcPr>
          <w:tcW w:w="4428" w:type="dxa"/>
        </w:tcPr>
        <w:p w:rsidR="00483CDE" w:rsidRPr="00A87C02" w:rsidRDefault="00483CDE" w:rsidP="002F7A2F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Approbation </w:t>
          </w:r>
          <w:r w:rsidRPr="00A87C02">
            <w:rPr>
              <w:rFonts w:ascii="Arial" w:hAnsi="Arial" w:cs="Arial"/>
              <w:lang w:val="fr-CA"/>
            </w:rPr>
            <w:t>:</w:t>
          </w:r>
          <w:r>
            <w:rPr>
              <w:rFonts w:ascii="Arial" w:hAnsi="Arial" w:cs="Arial"/>
              <w:lang w:val="fr-CA"/>
            </w:rPr>
            <w:t xml:space="preserve"> </w:t>
          </w:r>
        </w:p>
      </w:tc>
      <w:tc>
        <w:tcPr>
          <w:tcW w:w="236" w:type="dxa"/>
        </w:tcPr>
        <w:p w:rsidR="00483CDE" w:rsidRDefault="00483CDE" w:rsidP="000D0F80">
          <w:pPr>
            <w:pStyle w:val="Header"/>
            <w:rPr>
              <w:rFonts w:ascii="Arial" w:hAnsi="Arial" w:cs="Arial"/>
              <w:lang w:val="fr-CA"/>
            </w:rPr>
          </w:pPr>
        </w:p>
      </w:tc>
      <w:tc>
        <w:tcPr>
          <w:tcW w:w="4428" w:type="dxa"/>
        </w:tcPr>
        <w:p w:rsidR="00483CDE" w:rsidRDefault="00483CDE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Document n</w:t>
          </w:r>
          <w:r>
            <w:rPr>
              <w:rFonts w:ascii="Arial" w:hAnsi="Arial" w:cs="Arial"/>
              <w:vertAlign w:val="superscript"/>
              <w:lang w:val="fr-CA"/>
            </w:rPr>
            <w:t>o</w:t>
          </w:r>
          <w:r>
            <w:rPr>
              <w:rFonts w:ascii="Arial" w:hAnsi="Arial" w:cs="Arial"/>
              <w:lang w:val="fr-CA"/>
            </w:rPr>
            <w:t xml:space="preserve"> : PR.005</w:t>
          </w:r>
        </w:p>
      </w:tc>
    </w:tr>
    <w:tr w:rsidR="00483CDE" w:rsidTr="00483CDE">
      <w:tc>
        <w:tcPr>
          <w:tcW w:w="4428" w:type="dxa"/>
        </w:tcPr>
        <w:p w:rsidR="00483CDE" w:rsidRPr="00A87C02" w:rsidRDefault="00483CDE" w:rsidP="002F7A2F">
          <w:pPr>
            <w:pStyle w:val="Header"/>
            <w:rPr>
              <w:rFonts w:ascii="Arial" w:hAnsi="Arial" w:cs="Arial"/>
              <w:lang w:val="fr-CA"/>
            </w:rPr>
          </w:pPr>
          <w:r w:rsidRPr="00A87C02">
            <w:rPr>
              <w:rFonts w:ascii="Arial" w:hAnsi="Arial" w:cs="Arial"/>
              <w:lang w:val="fr-CA"/>
            </w:rPr>
            <w:t xml:space="preserve">Date de </w:t>
          </w:r>
          <w:r>
            <w:rPr>
              <w:rFonts w:ascii="Arial" w:hAnsi="Arial" w:cs="Arial"/>
              <w:lang w:val="fr-CA"/>
            </w:rPr>
            <w:t>publication </w:t>
          </w:r>
          <w:r w:rsidRPr="00A87C02">
            <w:rPr>
              <w:rFonts w:ascii="Arial" w:hAnsi="Arial" w:cs="Arial"/>
              <w:lang w:val="fr-CA"/>
            </w:rPr>
            <w:t>: 200</w:t>
          </w:r>
          <w:r>
            <w:rPr>
              <w:rFonts w:ascii="Arial" w:hAnsi="Arial" w:cs="Arial"/>
              <w:lang w:val="fr-CA"/>
            </w:rPr>
            <w:t>4</w:t>
          </w:r>
          <w:r w:rsidRPr="00A87C02">
            <w:rPr>
              <w:rFonts w:ascii="Arial" w:hAnsi="Arial" w:cs="Arial"/>
              <w:lang w:val="fr-CA"/>
            </w:rPr>
            <w:t>/0</w:t>
          </w:r>
          <w:r>
            <w:rPr>
              <w:rFonts w:ascii="Arial" w:hAnsi="Arial" w:cs="Arial"/>
              <w:lang w:val="fr-CA"/>
            </w:rPr>
            <w:t>4</w:t>
          </w:r>
          <w:r w:rsidRPr="00A87C02">
            <w:rPr>
              <w:rFonts w:ascii="Arial" w:hAnsi="Arial" w:cs="Arial"/>
              <w:lang w:val="fr-CA"/>
            </w:rPr>
            <w:t>/0</w:t>
          </w:r>
          <w:r>
            <w:rPr>
              <w:rFonts w:ascii="Arial" w:hAnsi="Arial" w:cs="Arial"/>
              <w:lang w:val="fr-CA"/>
            </w:rPr>
            <w:t>5</w:t>
          </w:r>
        </w:p>
      </w:tc>
      <w:tc>
        <w:tcPr>
          <w:tcW w:w="236" w:type="dxa"/>
        </w:tcPr>
        <w:p w:rsidR="00483CDE" w:rsidRDefault="00483CDE">
          <w:pPr>
            <w:pStyle w:val="Header"/>
            <w:rPr>
              <w:rFonts w:ascii="Arial" w:hAnsi="Arial" w:cs="Arial"/>
              <w:lang w:val="fr-CA"/>
            </w:rPr>
          </w:pPr>
        </w:p>
      </w:tc>
      <w:tc>
        <w:tcPr>
          <w:tcW w:w="4428" w:type="dxa"/>
        </w:tcPr>
        <w:p w:rsidR="00483CDE" w:rsidRDefault="00483CDE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Catégorie : Préparation des réactifs</w:t>
          </w:r>
        </w:p>
      </w:tc>
    </w:tr>
    <w:tr w:rsidR="00483CDE" w:rsidTr="00483CDE">
      <w:tc>
        <w:tcPr>
          <w:tcW w:w="4428" w:type="dxa"/>
        </w:tcPr>
        <w:p w:rsidR="00483CDE" w:rsidRPr="00A87C02" w:rsidRDefault="00483CDE" w:rsidP="00946C19">
          <w:pPr>
            <w:pStyle w:val="Header"/>
            <w:rPr>
              <w:rFonts w:ascii="Arial" w:hAnsi="Arial" w:cs="Arial"/>
              <w:lang w:val="fr-CA"/>
            </w:rPr>
          </w:pPr>
          <w:r w:rsidRPr="00A87C02">
            <w:rPr>
              <w:rFonts w:ascii="Arial" w:hAnsi="Arial" w:cs="Arial"/>
              <w:lang w:val="fr-CA"/>
            </w:rPr>
            <w:t xml:space="preserve">Date de </w:t>
          </w:r>
          <w:r>
            <w:rPr>
              <w:rFonts w:ascii="Arial" w:hAnsi="Arial" w:cs="Arial"/>
              <w:lang w:val="fr-CA"/>
            </w:rPr>
            <w:t>révision </w:t>
          </w:r>
          <w:r w:rsidRPr="00A87C02">
            <w:rPr>
              <w:rFonts w:ascii="Arial" w:hAnsi="Arial" w:cs="Arial"/>
              <w:lang w:val="fr-CA"/>
            </w:rPr>
            <w:t>:</w:t>
          </w:r>
          <w:r>
            <w:rPr>
              <w:rFonts w:ascii="Arial" w:hAnsi="Arial" w:cs="Arial"/>
              <w:lang w:val="fr-CA"/>
            </w:rPr>
            <w:t xml:space="preserve"> 2009/09/31;</w:t>
          </w:r>
          <w:r w:rsidR="00C7707C">
            <w:rPr>
              <w:rFonts w:ascii="Arial" w:hAnsi="Arial" w:cs="Arial"/>
              <w:lang w:val="fr-CA"/>
            </w:rPr>
            <w:t xml:space="preserve"> </w:t>
          </w:r>
          <w:r w:rsidRPr="00C7707C">
            <w:rPr>
              <w:rFonts w:ascii="Arial" w:hAnsi="Arial" w:cs="Arial"/>
              <w:lang w:val="fr-CA"/>
            </w:rPr>
            <w:t>201</w:t>
          </w:r>
          <w:r w:rsidR="00946C19" w:rsidRPr="00C7707C">
            <w:rPr>
              <w:rFonts w:ascii="Arial" w:hAnsi="Arial" w:cs="Arial"/>
              <w:lang w:val="fr-CA"/>
            </w:rPr>
            <w:t>4</w:t>
          </w:r>
          <w:r w:rsidRPr="00C7707C">
            <w:rPr>
              <w:rFonts w:ascii="Arial" w:hAnsi="Arial" w:cs="Arial"/>
              <w:lang w:val="fr-CA"/>
            </w:rPr>
            <w:t>/</w:t>
          </w:r>
          <w:r w:rsidR="00946C19" w:rsidRPr="00C7707C">
            <w:rPr>
              <w:rFonts w:ascii="Arial" w:hAnsi="Arial" w:cs="Arial"/>
              <w:lang w:val="fr-CA"/>
            </w:rPr>
            <w:t>12</w:t>
          </w:r>
          <w:r w:rsidRPr="00C7707C">
            <w:rPr>
              <w:rFonts w:ascii="Arial" w:hAnsi="Arial" w:cs="Arial"/>
              <w:lang w:val="fr-CA"/>
            </w:rPr>
            <w:t>/01</w:t>
          </w:r>
        </w:p>
      </w:tc>
      <w:tc>
        <w:tcPr>
          <w:tcW w:w="236" w:type="dxa"/>
        </w:tcPr>
        <w:p w:rsidR="00483CDE" w:rsidRDefault="00483CDE" w:rsidP="00107EB7">
          <w:pPr>
            <w:pStyle w:val="Header"/>
            <w:rPr>
              <w:rFonts w:ascii="Arial" w:hAnsi="Arial" w:cs="Arial"/>
              <w:lang w:val="fr-CA"/>
            </w:rPr>
          </w:pPr>
        </w:p>
      </w:tc>
      <w:tc>
        <w:tcPr>
          <w:tcW w:w="4428" w:type="dxa"/>
        </w:tcPr>
        <w:p w:rsidR="00483CDE" w:rsidRDefault="00483CDE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 xml:space="preserve">Pages : </w:t>
          </w:r>
          <w:r>
            <w:rPr>
              <w:rFonts w:ascii="Arial" w:hAnsi="Arial" w:cs="Arial"/>
              <w:lang w:val="fr-CA"/>
            </w:rPr>
            <w:fldChar w:fldCharType="begin"/>
          </w:r>
          <w:r>
            <w:rPr>
              <w:rFonts w:ascii="Arial" w:hAnsi="Arial" w:cs="Arial"/>
              <w:lang w:val="fr-CA"/>
            </w:rPr>
            <w:instrText xml:space="preserve"> NUMPAGES </w:instrText>
          </w:r>
          <w:r>
            <w:rPr>
              <w:rFonts w:ascii="Arial" w:hAnsi="Arial" w:cs="Arial"/>
              <w:lang w:val="fr-CA"/>
            </w:rPr>
            <w:fldChar w:fldCharType="separate"/>
          </w:r>
          <w:r w:rsidR="004B7735">
            <w:rPr>
              <w:rFonts w:ascii="Arial" w:hAnsi="Arial" w:cs="Arial"/>
              <w:noProof/>
              <w:lang w:val="fr-CA"/>
            </w:rPr>
            <w:t>1</w:t>
          </w:r>
          <w:r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CF51E6" w:rsidRDefault="00F639AF">
    <w:pPr>
      <w:pStyle w:val="Header"/>
      <w:tabs>
        <w:tab w:val="clear" w:pos="8640"/>
        <w:tab w:val="left" w:pos="4714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ADFA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0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ChaXQc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CF51E6">
      <w:rPr>
        <w:rFonts w:ascii="Arial" w:hAnsi="Arial" w:cs="Arial"/>
      </w:rPr>
      <w:tab/>
    </w:r>
    <w:r w:rsidR="00CF51E6">
      <w:rPr>
        <w:rFonts w:ascii="Arial" w:hAnsi="Arial" w:cs="Arial"/>
      </w:rPr>
      <w:tab/>
    </w:r>
  </w:p>
  <w:p w:rsidR="00CF51E6" w:rsidRDefault="00CF51E6">
    <w:pPr>
      <w:pStyle w:val="Header"/>
      <w:tabs>
        <w:tab w:val="clear" w:pos="8640"/>
        <w:tab w:val="left" w:pos="471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A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8A3E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5C75BA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34567BF1"/>
    <w:multiLevelType w:val="multilevel"/>
    <w:tmpl w:val="DC821A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45300BFB"/>
    <w:multiLevelType w:val="hybridMultilevel"/>
    <w:tmpl w:val="CA8E32FC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792486"/>
    <w:multiLevelType w:val="singleLevel"/>
    <w:tmpl w:val="CFD0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0" w15:restartNumberingAfterBreak="0">
    <w:nsid w:val="6BC82350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0B734A"/>
    <w:multiLevelType w:val="hybridMultilevel"/>
    <w:tmpl w:val="00C00DBA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541AFB"/>
    <w:multiLevelType w:val="hybridMultilevel"/>
    <w:tmpl w:val="AB66F4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E5"/>
    <w:rsid w:val="000226B3"/>
    <w:rsid w:val="000D0F80"/>
    <w:rsid w:val="00103A18"/>
    <w:rsid w:val="00107EB7"/>
    <w:rsid w:val="001B31EC"/>
    <w:rsid w:val="001C3CCD"/>
    <w:rsid w:val="001D28AB"/>
    <w:rsid w:val="001E7B52"/>
    <w:rsid w:val="00281BE5"/>
    <w:rsid w:val="002C1CB0"/>
    <w:rsid w:val="002F7A2F"/>
    <w:rsid w:val="00333D6F"/>
    <w:rsid w:val="00334B0E"/>
    <w:rsid w:val="003B04DB"/>
    <w:rsid w:val="003B2E27"/>
    <w:rsid w:val="0043521D"/>
    <w:rsid w:val="00462389"/>
    <w:rsid w:val="00483CDE"/>
    <w:rsid w:val="004A3DCD"/>
    <w:rsid w:val="004B4EF8"/>
    <w:rsid w:val="004B7735"/>
    <w:rsid w:val="005A4437"/>
    <w:rsid w:val="00625CAE"/>
    <w:rsid w:val="006267CE"/>
    <w:rsid w:val="006402E2"/>
    <w:rsid w:val="0066594E"/>
    <w:rsid w:val="007365BA"/>
    <w:rsid w:val="007E7E52"/>
    <w:rsid w:val="008C202D"/>
    <w:rsid w:val="008D7361"/>
    <w:rsid w:val="008F05A5"/>
    <w:rsid w:val="00922B11"/>
    <w:rsid w:val="00946C19"/>
    <w:rsid w:val="009B617C"/>
    <w:rsid w:val="00A1398F"/>
    <w:rsid w:val="00A37EC9"/>
    <w:rsid w:val="00A806F0"/>
    <w:rsid w:val="00A92895"/>
    <w:rsid w:val="00BF5C12"/>
    <w:rsid w:val="00C11CA1"/>
    <w:rsid w:val="00C7707C"/>
    <w:rsid w:val="00CA2932"/>
    <w:rsid w:val="00CC3DE5"/>
    <w:rsid w:val="00CF51E6"/>
    <w:rsid w:val="00D12666"/>
    <w:rsid w:val="00D175E4"/>
    <w:rsid w:val="00D71E9A"/>
    <w:rsid w:val="00E669D2"/>
    <w:rsid w:val="00F639AF"/>
    <w:rsid w:val="00F64AE4"/>
    <w:rsid w:val="00F6741E"/>
    <w:rsid w:val="00FB6CEB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A66A7-F443-4F35-8206-AAC32C69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2B11"/>
    <w:rPr>
      <w:rFonts w:ascii="Tahoma" w:hAnsi="Tahoma" w:cs="Tahoma"/>
      <w:sz w:val="16"/>
      <w:szCs w:val="16"/>
    </w:rPr>
  </w:style>
  <w:style w:type="character" w:styleId="SubtleReference">
    <w:name w:val="Subtle Reference"/>
    <w:uiPriority w:val="31"/>
    <w:qFormat/>
    <w:rsid w:val="006267CE"/>
    <w:rPr>
      <w:smallCaps/>
      <w:color w:val="C0504D"/>
      <w:u w:val="single"/>
    </w:rPr>
  </w:style>
  <w:style w:type="character" w:styleId="Hyperlink">
    <w:name w:val="Hyperlink"/>
    <w:uiPriority w:val="99"/>
    <w:unhideWhenUsed/>
    <w:rsid w:val="009B61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1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hmi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RP.005 Preparation of 6% AET</vt:lpstr>
      <vt:lpstr>RP.005 Preparation of 6% AET</vt:lpstr>
    </vt:vector>
  </TitlesOfParts>
  <Company>Microsoft</Company>
  <LinksUpToDate>false</LinksUpToDate>
  <CharactersWithSpaces>2106</CharactersWithSpaces>
  <SharedDoc>false</SharedDoc>
  <HLinks>
    <vt:vector size="6" baseType="variant"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http://www.whmis.ca/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RP.005 Preparation of 6% AET</dc:title>
  <dc:subject/>
  <dc:creator>Transfusion Ontario Program Office</dc:creator>
  <cp:keywords/>
  <cp:lastModifiedBy>Nesrallah, Heather</cp:lastModifiedBy>
  <cp:revision>2</cp:revision>
  <cp:lastPrinted>2010-03-09T18:27:00Z</cp:lastPrinted>
  <dcterms:created xsi:type="dcterms:W3CDTF">2020-08-11T20:19:00Z</dcterms:created>
  <dcterms:modified xsi:type="dcterms:W3CDTF">2020-08-11T20:19:00Z</dcterms:modified>
</cp:coreProperties>
</file>