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AA3" w:rsidRDefault="00730AA3">
      <w:pPr>
        <w:numPr>
          <w:ilvl w:val="0"/>
          <w:numId w:val="1"/>
        </w:numPr>
        <w:rPr>
          <w:rFonts w:ascii="Arial" w:hAnsi="Arial"/>
          <w:b/>
          <w:sz w:val="28"/>
          <w:lang w:val="fr-CA"/>
        </w:rPr>
      </w:pPr>
      <w:bookmarkStart w:id="0" w:name="_GoBack"/>
      <w:bookmarkEnd w:id="0"/>
      <w:r>
        <w:rPr>
          <w:rFonts w:ascii="Arial" w:hAnsi="Arial"/>
          <w:b/>
          <w:sz w:val="28"/>
          <w:lang w:val="fr-CA"/>
        </w:rPr>
        <w:t>Principe</w:t>
      </w:r>
    </w:p>
    <w:p w:rsidR="00730AA3" w:rsidRDefault="00730AA3">
      <w:pPr>
        <w:rPr>
          <w:rFonts w:ascii="Arial" w:hAnsi="Arial"/>
          <w:sz w:val="24"/>
          <w:lang w:val="fr-CA"/>
        </w:rPr>
      </w:pPr>
    </w:p>
    <w:p w:rsidR="00730AA3" w:rsidRDefault="00730AA3">
      <w:pPr>
        <w:ind w:left="720"/>
        <w:rPr>
          <w:rFonts w:ascii="Arial" w:hAnsi="Arial"/>
          <w:sz w:val="24"/>
          <w:lang w:val="fr-CA"/>
        </w:rPr>
      </w:pPr>
      <w:r>
        <w:rPr>
          <w:rFonts w:ascii="Arial" w:hAnsi="Arial"/>
          <w:sz w:val="24"/>
          <w:lang w:val="fr-CA"/>
        </w:rPr>
        <w:t xml:space="preserve">Les réactifs </w:t>
      </w:r>
      <w:proofErr w:type="spellStart"/>
      <w:r w:rsidR="00D11512">
        <w:rPr>
          <w:rFonts w:ascii="Arial" w:hAnsi="Arial"/>
          <w:sz w:val="24"/>
          <w:lang w:val="fr-CA"/>
        </w:rPr>
        <w:t>sulfhydrilés</w:t>
      </w:r>
      <w:proofErr w:type="spellEnd"/>
      <w:r>
        <w:rPr>
          <w:rFonts w:ascii="Arial" w:hAnsi="Arial"/>
          <w:sz w:val="24"/>
          <w:lang w:val="fr-CA"/>
        </w:rPr>
        <w:t xml:space="preserve"> comme le </w:t>
      </w:r>
      <w:proofErr w:type="spellStart"/>
      <w:r w:rsidR="005366C0" w:rsidRPr="005366C0">
        <w:rPr>
          <w:rFonts w:ascii="Arial" w:hAnsi="Arial"/>
          <w:sz w:val="24"/>
          <w:lang w:val="fr-CA"/>
        </w:rPr>
        <w:t>dithiothréitol</w:t>
      </w:r>
      <w:proofErr w:type="spellEnd"/>
      <w:r w:rsidR="005366C0">
        <w:rPr>
          <w:rFonts w:ascii="Arial" w:hAnsi="Arial"/>
          <w:b/>
          <w:bCs/>
          <w:sz w:val="28"/>
          <w:lang w:val="fr-CA"/>
        </w:rPr>
        <w:t xml:space="preserve"> </w:t>
      </w:r>
      <w:r w:rsidR="005366C0" w:rsidRPr="005366C0">
        <w:rPr>
          <w:rFonts w:ascii="Arial" w:hAnsi="Arial"/>
          <w:bCs/>
          <w:sz w:val="28"/>
          <w:lang w:val="fr-CA"/>
        </w:rPr>
        <w:t>(</w:t>
      </w:r>
      <w:r>
        <w:rPr>
          <w:rFonts w:ascii="Arial" w:hAnsi="Arial"/>
          <w:sz w:val="24"/>
          <w:lang w:val="fr-CA"/>
        </w:rPr>
        <w:t>DTT</w:t>
      </w:r>
      <w:r w:rsidR="005366C0">
        <w:rPr>
          <w:rFonts w:ascii="Arial" w:hAnsi="Arial"/>
          <w:sz w:val="24"/>
          <w:lang w:val="fr-CA"/>
        </w:rPr>
        <w:t>)</w:t>
      </w:r>
      <w:r>
        <w:rPr>
          <w:rFonts w:ascii="Arial" w:hAnsi="Arial"/>
          <w:sz w:val="24"/>
          <w:lang w:val="fr-CA"/>
        </w:rPr>
        <w:t xml:space="preserve"> </w:t>
      </w:r>
      <w:r w:rsidR="00360312">
        <w:rPr>
          <w:rFonts w:ascii="Arial" w:hAnsi="Arial"/>
          <w:sz w:val="24"/>
          <w:lang w:val="fr-CA"/>
        </w:rPr>
        <w:t>scindent</w:t>
      </w:r>
      <w:r>
        <w:rPr>
          <w:rFonts w:ascii="Arial" w:hAnsi="Arial"/>
          <w:sz w:val="24"/>
          <w:lang w:val="fr-CA"/>
        </w:rPr>
        <w:t xml:space="preserve"> les liaisons disulfures qui lient les </w:t>
      </w:r>
      <w:r w:rsidR="00360312">
        <w:rPr>
          <w:rFonts w:ascii="Arial" w:hAnsi="Arial"/>
          <w:sz w:val="24"/>
          <w:lang w:val="fr-CA"/>
        </w:rPr>
        <w:t>sous-unités</w:t>
      </w:r>
      <w:r>
        <w:rPr>
          <w:rFonts w:ascii="Arial" w:hAnsi="Arial"/>
          <w:sz w:val="24"/>
          <w:lang w:val="fr-CA"/>
        </w:rPr>
        <w:t xml:space="preserve"> monomères des anticorps IgM. </w:t>
      </w:r>
      <w:r w:rsidR="0008585D">
        <w:rPr>
          <w:rFonts w:ascii="Arial" w:hAnsi="Arial"/>
          <w:sz w:val="24"/>
          <w:lang w:val="fr-CA"/>
        </w:rPr>
        <w:t>On peut utiliser le DTT pour diminuer ou détruire la réactivité des anticorps IgM, dissocier les anticorps IgG des globules rouges (conjointement avec un enzyme protéolytique, le ZZAP) et pour détruire certains antigènes de globules rouges (c’est-à-dire système Kell).</w:t>
      </w:r>
      <w:r w:rsidR="00D33D96">
        <w:rPr>
          <w:rFonts w:ascii="Arial" w:hAnsi="Arial"/>
          <w:sz w:val="24"/>
          <w:lang w:val="fr-CA"/>
        </w:rPr>
        <w:br/>
      </w:r>
    </w:p>
    <w:p w:rsidR="00730AA3" w:rsidRDefault="00730AA3">
      <w:pPr>
        <w:numPr>
          <w:ilvl w:val="0"/>
          <w:numId w:val="1"/>
        </w:numPr>
        <w:rPr>
          <w:rFonts w:ascii="Arial" w:hAnsi="Arial"/>
          <w:b/>
          <w:sz w:val="28"/>
          <w:lang w:val="fr-CA"/>
        </w:rPr>
      </w:pPr>
      <w:r>
        <w:rPr>
          <w:rFonts w:ascii="Arial" w:hAnsi="Arial"/>
          <w:b/>
          <w:sz w:val="28"/>
          <w:lang w:val="fr-CA"/>
        </w:rPr>
        <w:t>Portée et politiques connexes</w:t>
      </w:r>
    </w:p>
    <w:p w:rsidR="00554F78" w:rsidRDefault="00554F78" w:rsidP="00554F78">
      <w:pPr>
        <w:ind w:left="720"/>
        <w:rPr>
          <w:rFonts w:ascii="Arial" w:hAnsi="Arial"/>
          <w:b/>
          <w:sz w:val="28"/>
          <w:lang w:val="fr-CA"/>
        </w:rPr>
      </w:pPr>
    </w:p>
    <w:p w:rsidR="00D33D96" w:rsidRPr="0008585D" w:rsidRDefault="0008585D" w:rsidP="0008585D">
      <w:pPr>
        <w:ind w:left="720"/>
        <w:rPr>
          <w:rFonts w:ascii="Arial" w:hAnsi="Arial"/>
          <w:sz w:val="24"/>
          <w:lang w:val="fr-CA"/>
        </w:rPr>
      </w:pPr>
      <w:r>
        <w:rPr>
          <w:rFonts w:ascii="Arial" w:hAnsi="Arial"/>
          <w:sz w:val="24"/>
          <w:lang w:val="fr-CA"/>
        </w:rPr>
        <w:t>Tout réactif préparé en laboratoire interne qui contient une substance contrôlée doit être étiqueté conformément au règlement du SIMDUT</w:t>
      </w:r>
      <w:r>
        <w:rPr>
          <w:rFonts w:ascii="Arial" w:hAnsi="Arial"/>
          <w:sz w:val="24"/>
          <w:vertAlign w:val="superscript"/>
          <w:lang w:val="fr-CA"/>
        </w:rPr>
        <w:t>9.1</w:t>
      </w:r>
      <w:r>
        <w:rPr>
          <w:rFonts w:ascii="Arial" w:hAnsi="Arial"/>
          <w:sz w:val="24"/>
          <w:lang w:val="fr-CA"/>
        </w:rPr>
        <w:t>.</w:t>
      </w:r>
    </w:p>
    <w:p w:rsidR="00730AA3" w:rsidRDefault="00730AA3">
      <w:pPr>
        <w:ind w:left="1440"/>
        <w:rPr>
          <w:rFonts w:ascii="Arial" w:hAnsi="Arial"/>
          <w:sz w:val="24"/>
          <w:lang w:val="fr-CA"/>
        </w:rPr>
      </w:pPr>
    </w:p>
    <w:p w:rsidR="00730AA3" w:rsidRDefault="00730AA3">
      <w:pPr>
        <w:numPr>
          <w:ilvl w:val="0"/>
          <w:numId w:val="1"/>
        </w:numPr>
        <w:rPr>
          <w:rFonts w:ascii="Arial" w:hAnsi="Arial"/>
          <w:b/>
          <w:sz w:val="28"/>
          <w:lang w:val="fr-CA"/>
        </w:rPr>
      </w:pPr>
      <w:r>
        <w:rPr>
          <w:rFonts w:ascii="Arial" w:hAnsi="Arial"/>
          <w:b/>
          <w:sz w:val="28"/>
          <w:lang w:val="fr-CA"/>
        </w:rPr>
        <w:t>Échantillons – S.O.</w:t>
      </w:r>
    </w:p>
    <w:p w:rsidR="00730AA3" w:rsidRDefault="00730AA3">
      <w:pPr>
        <w:ind w:left="720"/>
        <w:rPr>
          <w:rFonts w:ascii="Arial" w:hAnsi="Arial"/>
          <w:sz w:val="24"/>
          <w:lang w:val="fr-CA"/>
        </w:rPr>
      </w:pPr>
    </w:p>
    <w:p w:rsidR="00730AA3" w:rsidRDefault="00730AA3">
      <w:pPr>
        <w:numPr>
          <w:ilvl w:val="0"/>
          <w:numId w:val="1"/>
        </w:numPr>
        <w:rPr>
          <w:rFonts w:ascii="Arial" w:hAnsi="Arial"/>
          <w:b/>
          <w:sz w:val="28"/>
          <w:lang w:val="fr-CA"/>
        </w:rPr>
      </w:pPr>
      <w:r>
        <w:rPr>
          <w:rFonts w:ascii="Arial" w:hAnsi="Arial"/>
          <w:b/>
          <w:sz w:val="28"/>
          <w:lang w:val="fr-CA"/>
        </w:rPr>
        <w:t>Matériel</w:t>
      </w:r>
    </w:p>
    <w:p w:rsidR="00730AA3" w:rsidRDefault="00730AA3">
      <w:pPr>
        <w:rPr>
          <w:rFonts w:ascii="Arial" w:hAnsi="Arial"/>
          <w:sz w:val="24"/>
          <w:lang w:val="fr-CA"/>
        </w:rPr>
      </w:pPr>
    </w:p>
    <w:p w:rsidR="00730AA3" w:rsidRDefault="00730AA3">
      <w:pPr>
        <w:ind w:left="720"/>
        <w:rPr>
          <w:rFonts w:ascii="Arial" w:hAnsi="Arial"/>
          <w:sz w:val="24"/>
          <w:lang w:val="fr-CA"/>
        </w:rPr>
      </w:pPr>
      <w:r>
        <w:rPr>
          <w:rFonts w:ascii="Arial" w:hAnsi="Arial"/>
          <w:b/>
          <w:sz w:val="24"/>
          <w:lang w:val="fr-CA"/>
        </w:rPr>
        <w:t>Équipement :</w:t>
      </w:r>
      <w:r>
        <w:rPr>
          <w:rFonts w:ascii="Arial" w:hAnsi="Arial"/>
          <w:sz w:val="24"/>
          <w:lang w:val="fr-CA"/>
        </w:rPr>
        <w:tab/>
      </w:r>
      <w:r w:rsidR="00360312">
        <w:rPr>
          <w:rFonts w:ascii="Arial" w:hAnsi="Arial"/>
          <w:sz w:val="24"/>
          <w:lang w:val="fr-CA"/>
        </w:rPr>
        <w:t>b</w:t>
      </w:r>
      <w:r>
        <w:rPr>
          <w:rFonts w:ascii="Arial" w:hAnsi="Arial"/>
          <w:sz w:val="24"/>
          <w:lang w:val="fr-CA"/>
        </w:rPr>
        <w:t>alance</w:t>
      </w:r>
    </w:p>
    <w:p w:rsidR="00730AA3" w:rsidRDefault="00730AA3">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proofErr w:type="gramStart"/>
      <w:r w:rsidR="00D33D96">
        <w:rPr>
          <w:rFonts w:ascii="Arial" w:hAnsi="Arial"/>
          <w:sz w:val="24"/>
          <w:lang w:val="fr-CA"/>
        </w:rPr>
        <w:t>flacon</w:t>
      </w:r>
      <w:proofErr w:type="gramEnd"/>
      <w:r w:rsidR="00D33D96">
        <w:rPr>
          <w:rFonts w:ascii="Arial" w:hAnsi="Arial"/>
          <w:sz w:val="24"/>
          <w:lang w:val="fr-CA"/>
        </w:rPr>
        <w:t xml:space="preserve"> ou bécher de verre </w:t>
      </w:r>
      <w:r w:rsidR="00D33D96">
        <w:rPr>
          <w:rFonts w:ascii="Arial" w:hAnsi="Arial"/>
          <w:sz w:val="24"/>
          <w:lang w:val="fr-CA"/>
        </w:rPr>
        <w:br/>
      </w:r>
    </w:p>
    <w:p w:rsidR="00730AA3" w:rsidRDefault="00730AA3">
      <w:pPr>
        <w:ind w:left="720"/>
        <w:rPr>
          <w:rFonts w:ascii="Arial" w:hAnsi="Arial"/>
          <w:sz w:val="24"/>
          <w:lang w:val="fr-CA"/>
        </w:rPr>
      </w:pPr>
      <w:r>
        <w:rPr>
          <w:rFonts w:ascii="Arial" w:hAnsi="Arial"/>
          <w:b/>
          <w:sz w:val="24"/>
          <w:lang w:val="fr-CA"/>
        </w:rPr>
        <w:t>Fournitures :</w:t>
      </w:r>
      <w:r>
        <w:rPr>
          <w:rFonts w:ascii="Arial" w:hAnsi="Arial"/>
          <w:sz w:val="24"/>
          <w:lang w:val="fr-CA"/>
        </w:rPr>
        <w:tab/>
      </w:r>
      <w:r w:rsidR="00F06FD7">
        <w:rPr>
          <w:rFonts w:ascii="Arial" w:hAnsi="Arial"/>
          <w:sz w:val="24"/>
          <w:lang w:val="fr-CA"/>
        </w:rPr>
        <w:t>récipient</w:t>
      </w:r>
      <w:r w:rsidR="00F6332F">
        <w:rPr>
          <w:rFonts w:ascii="Arial" w:hAnsi="Arial"/>
          <w:sz w:val="24"/>
          <w:lang w:val="fr-CA"/>
        </w:rPr>
        <w:t>s</w:t>
      </w:r>
      <w:r w:rsidR="00F06FD7">
        <w:rPr>
          <w:rFonts w:ascii="Arial" w:hAnsi="Arial"/>
          <w:sz w:val="24"/>
          <w:lang w:val="fr-CA"/>
        </w:rPr>
        <w:t xml:space="preserve"> de pesée</w:t>
      </w:r>
      <w:r w:rsidR="00360312" w:rsidRPr="00505320">
        <w:rPr>
          <w:rFonts w:ascii="Arial" w:hAnsi="Arial"/>
          <w:sz w:val="24"/>
          <w:lang w:val="fr-CA"/>
        </w:rPr>
        <w:t xml:space="preserve"> </w:t>
      </w:r>
    </w:p>
    <w:p w:rsidR="0008585D" w:rsidRDefault="00730AA3">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proofErr w:type="gramStart"/>
      <w:r w:rsidR="0008585D">
        <w:rPr>
          <w:rFonts w:ascii="Arial" w:hAnsi="Arial"/>
          <w:sz w:val="24"/>
          <w:lang w:val="fr-CA"/>
        </w:rPr>
        <w:t>t</w:t>
      </w:r>
      <w:r>
        <w:rPr>
          <w:rFonts w:ascii="Arial" w:hAnsi="Arial"/>
          <w:sz w:val="24"/>
          <w:lang w:val="fr-CA"/>
        </w:rPr>
        <w:t>ubes</w:t>
      </w:r>
      <w:proofErr w:type="gramEnd"/>
    </w:p>
    <w:p w:rsidR="00730AA3" w:rsidRDefault="0008585D" w:rsidP="0008585D">
      <w:pPr>
        <w:ind w:left="2160" w:firstLine="720"/>
        <w:rPr>
          <w:rFonts w:ascii="Arial" w:hAnsi="Arial"/>
          <w:sz w:val="24"/>
          <w:lang w:val="fr-CA"/>
        </w:rPr>
      </w:pPr>
      <w:proofErr w:type="gramStart"/>
      <w:r>
        <w:rPr>
          <w:rFonts w:ascii="Arial" w:hAnsi="Arial"/>
          <w:sz w:val="24"/>
          <w:lang w:val="fr-CA"/>
        </w:rPr>
        <w:t>bécher</w:t>
      </w:r>
      <w:proofErr w:type="gramEnd"/>
      <w:r w:rsidR="00730AA3">
        <w:rPr>
          <w:rFonts w:ascii="Arial" w:hAnsi="Arial"/>
          <w:sz w:val="24"/>
          <w:lang w:val="fr-CA"/>
        </w:rPr>
        <w:t xml:space="preserve"> </w:t>
      </w:r>
      <w:r>
        <w:rPr>
          <w:rFonts w:ascii="Arial" w:hAnsi="Arial"/>
          <w:sz w:val="24"/>
          <w:lang w:val="fr-CA"/>
        </w:rPr>
        <w:t>ou flacon de 50 </w:t>
      </w:r>
      <w:proofErr w:type="spellStart"/>
      <w:r>
        <w:rPr>
          <w:rFonts w:ascii="Arial" w:hAnsi="Arial"/>
          <w:sz w:val="24"/>
          <w:lang w:val="fr-CA"/>
        </w:rPr>
        <w:t>mL</w:t>
      </w:r>
      <w:proofErr w:type="spellEnd"/>
    </w:p>
    <w:p w:rsidR="00730AA3" w:rsidRDefault="00730AA3">
      <w:pPr>
        <w:ind w:left="720"/>
        <w:rPr>
          <w:rFonts w:ascii="Arial" w:hAnsi="Arial"/>
          <w:sz w:val="24"/>
          <w:lang w:val="fr-CA"/>
        </w:rPr>
      </w:pPr>
    </w:p>
    <w:p w:rsidR="00D33D96" w:rsidRDefault="00730AA3">
      <w:pPr>
        <w:ind w:left="720"/>
        <w:rPr>
          <w:rFonts w:ascii="Arial" w:hAnsi="Arial"/>
          <w:sz w:val="24"/>
          <w:lang w:val="fr-CA"/>
        </w:rPr>
      </w:pPr>
      <w:r>
        <w:rPr>
          <w:rFonts w:ascii="Arial" w:hAnsi="Arial"/>
          <w:b/>
          <w:sz w:val="24"/>
          <w:lang w:val="fr-CA"/>
        </w:rPr>
        <w:t>Réactifs :</w:t>
      </w:r>
      <w:r>
        <w:rPr>
          <w:rFonts w:ascii="Arial" w:hAnsi="Arial"/>
          <w:sz w:val="24"/>
          <w:lang w:val="fr-CA"/>
        </w:rPr>
        <w:tab/>
      </w:r>
      <w:r>
        <w:rPr>
          <w:rFonts w:ascii="Arial" w:hAnsi="Arial"/>
          <w:sz w:val="24"/>
          <w:lang w:val="fr-CA"/>
        </w:rPr>
        <w:tab/>
      </w:r>
      <w:r w:rsidR="00D33D96" w:rsidRPr="00554F78">
        <w:rPr>
          <w:rFonts w:ascii="Arial" w:hAnsi="Arial"/>
          <w:sz w:val="24"/>
          <w:lang w:val="fr-CA"/>
        </w:rPr>
        <w:t>s</w:t>
      </w:r>
      <w:r w:rsidR="00D33D96" w:rsidRPr="00554F78">
        <w:rPr>
          <w:rFonts w:ascii="Arial" w:hAnsi="Arial" w:cs="Arial"/>
          <w:color w:val="000000"/>
          <w:sz w:val="24"/>
          <w:lang w:val="fr-CA"/>
        </w:rPr>
        <w:t>olution saline tamponnée au phosphate</w:t>
      </w:r>
      <w:r w:rsidR="00D33D96" w:rsidRPr="00554F78">
        <w:rPr>
          <w:rFonts w:ascii="Arial" w:hAnsi="Arial"/>
          <w:sz w:val="24"/>
          <w:lang w:val="fr-CA"/>
        </w:rPr>
        <w:t xml:space="preserve"> (pH 8,0)</w:t>
      </w:r>
    </w:p>
    <w:p w:rsidR="00730AA3" w:rsidRDefault="00D33D96">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proofErr w:type="gramStart"/>
      <w:r w:rsidR="0008585D">
        <w:rPr>
          <w:rFonts w:ascii="Arial" w:hAnsi="Arial"/>
          <w:sz w:val="24"/>
          <w:lang w:val="fr-CA"/>
        </w:rPr>
        <w:t>poudre</w:t>
      </w:r>
      <w:proofErr w:type="gramEnd"/>
      <w:r w:rsidR="0008585D">
        <w:rPr>
          <w:rFonts w:ascii="Arial" w:hAnsi="Arial"/>
          <w:sz w:val="24"/>
          <w:lang w:val="fr-CA"/>
        </w:rPr>
        <w:t xml:space="preserve"> de </w:t>
      </w:r>
      <w:r w:rsidR="00730AA3">
        <w:rPr>
          <w:rFonts w:ascii="Arial" w:hAnsi="Arial"/>
          <w:sz w:val="24"/>
          <w:lang w:val="fr-CA"/>
        </w:rPr>
        <w:t xml:space="preserve">DTT </w:t>
      </w:r>
    </w:p>
    <w:p w:rsidR="00730AA3" w:rsidRDefault="00730AA3">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p>
    <w:p w:rsidR="00730AA3" w:rsidRDefault="00730AA3">
      <w:pPr>
        <w:numPr>
          <w:ilvl w:val="0"/>
          <w:numId w:val="1"/>
        </w:numPr>
        <w:rPr>
          <w:rFonts w:ascii="Arial" w:hAnsi="Arial"/>
          <w:b/>
          <w:sz w:val="28"/>
          <w:lang w:val="fr-CA"/>
        </w:rPr>
      </w:pPr>
      <w:r>
        <w:rPr>
          <w:rFonts w:ascii="Arial" w:hAnsi="Arial"/>
          <w:b/>
          <w:sz w:val="28"/>
          <w:lang w:val="fr-CA"/>
        </w:rPr>
        <w:t>Contrôle de la qualité</w:t>
      </w:r>
    </w:p>
    <w:p w:rsidR="00554F78" w:rsidRDefault="00554F78" w:rsidP="00554F78">
      <w:pPr>
        <w:ind w:left="720"/>
        <w:rPr>
          <w:rFonts w:ascii="Arial" w:hAnsi="Arial"/>
          <w:b/>
          <w:sz w:val="28"/>
          <w:lang w:val="fr-CA"/>
        </w:rPr>
      </w:pPr>
    </w:p>
    <w:p w:rsidR="0008585D" w:rsidRPr="0008585D" w:rsidRDefault="0008585D" w:rsidP="0008585D">
      <w:pPr>
        <w:ind w:left="720"/>
        <w:rPr>
          <w:rFonts w:ascii="Arial" w:hAnsi="Arial"/>
          <w:sz w:val="24"/>
          <w:lang w:val="fr-CA"/>
        </w:rPr>
      </w:pPr>
      <w:r>
        <w:rPr>
          <w:rFonts w:ascii="Arial" w:hAnsi="Arial"/>
          <w:sz w:val="24"/>
          <w:lang w:val="fr-CA"/>
        </w:rPr>
        <w:t>Tout équipement doit être utilisé en suivant les instructions du fabricant</w:t>
      </w:r>
      <w:r>
        <w:rPr>
          <w:rFonts w:ascii="Arial" w:hAnsi="Arial"/>
          <w:sz w:val="24"/>
          <w:vertAlign w:val="superscript"/>
          <w:lang w:val="fr-CA"/>
        </w:rPr>
        <w:t>9.2</w:t>
      </w:r>
      <w:r>
        <w:rPr>
          <w:rFonts w:ascii="Arial" w:hAnsi="Arial"/>
          <w:sz w:val="24"/>
          <w:lang w:val="fr-CA"/>
        </w:rPr>
        <w:t>.</w:t>
      </w:r>
    </w:p>
    <w:p w:rsidR="00730AA3" w:rsidRDefault="00730AA3">
      <w:pPr>
        <w:rPr>
          <w:rFonts w:ascii="Arial" w:hAnsi="Arial"/>
          <w:b/>
          <w:sz w:val="24"/>
          <w:lang w:val="fr-CA"/>
        </w:rPr>
      </w:pPr>
    </w:p>
    <w:p w:rsidR="00730AA3" w:rsidRDefault="00730AA3">
      <w:pPr>
        <w:numPr>
          <w:ilvl w:val="0"/>
          <w:numId w:val="1"/>
        </w:numPr>
        <w:rPr>
          <w:rFonts w:ascii="Arial" w:hAnsi="Arial"/>
          <w:b/>
          <w:sz w:val="28"/>
          <w:lang w:val="fr-CA"/>
        </w:rPr>
      </w:pPr>
      <w:r>
        <w:rPr>
          <w:rFonts w:ascii="Arial" w:hAnsi="Arial"/>
          <w:b/>
          <w:sz w:val="28"/>
          <w:lang w:val="fr-CA"/>
        </w:rPr>
        <w:lastRenderedPageBreak/>
        <w:t>Procédure</w:t>
      </w:r>
    </w:p>
    <w:p w:rsidR="00730AA3" w:rsidRDefault="00730AA3">
      <w:pPr>
        <w:rPr>
          <w:rFonts w:ascii="Arial" w:hAnsi="Arial"/>
          <w:b/>
          <w:sz w:val="24"/>
          <w:lang w:val="fr-CA"/>
        </w:rPr>
      </w:pPr>
    </w:p>
    <w:p w:rsidR="00730AA3" w:rsidRDefault="00730AA3">
      <w:pPr>
        <w:numPr>
          <w:ilvl w:val="1"/>
          <w:numId w:val="1"/>
        </w:numPr>
        <w:rPr>
          <w:rFonts w:ascii="Arial" w:hAnsi="Arial"/>
          <w:sz w:val="24"/>
          <w:lang w:val="fr-CA"/>
        </w:rPr>
      </w:pPr>
      <w:r>
        <w:rPr>
          <w:rFonts w:ascii="Arial" w:hAnsi="Arial"/>
          <w:sz w:val="24"/>
          <w:lang w:val="fr-CA"/>
        </w:rPr>
        <w:t xml:space="preserve">DTT </w:t>
      </w:r>
      <w:r w:rsidR="00F06FD7">
        <w:rPr>
          <w:rFonts w:ascii="Arial" w:hAnsi="Arial"/>
          <w:sz w:val="24"/>
          <w:lang w:val="fr-CA"/>
        </w:rPr>
        <w:t xml:space="preserve">à </w:t>
      </w:r>
      <w:r>
        <w:rPr>
          <w:rFonts w:ascii="Arial" w:hAnsi="Arial"/>
          <w:sz w:val="24"/>
          <w:lang w:val="fr-CA"/>
        </w:rPr>
        <w:t xml:space="preserve">0,2 M </w:t>
      </w:r>
    </w:p>
    <w:p w:rsidR="00730AA3" w:rsidRDefault="00730AA3">
      <w:pPr>
        <w:ind w:left="1440"/>
        <w:rPr>
          <w:rFonts w:ascii="Arial" w:hAnsi="Arial"/>
          <w:sz w:val="24"/>
          <w:lang w:val="fr-CA"/>
        </w:rPr>
      </w:pPr>
    </w:p>
    <w:p w:rsidR="00730AA3" w:rsidRDefault="00730AA3">
      <w:pPr>
        <w:numPr>
          <w:ilvl w:val="2"/>
          <w:numId w:val="1"/>
        </w:numPr>
        <w:rPr>
          <w:rFonts w:ascii="Arial" w:hAnsi="Arial"/>
          <w:sz w:val="24"/>
          <w:lang w:val="fr-CA"/>
        </w:rPr>
      </w:pPr>
      <w:r>
        <w:rPr>
          <w:rFonts w:ascii="Arial" w:hAnsi="Arial"/>
          <w:sz w:val="24"/>
          <w:lang w:val="fr-CA"/>
        </w:rPr>
        <w:t>Préparer d</w:t>
      </w:r>
      <w:r w:rsidR="00F06FD7">
        <w:rPr>
          <w:rFonts w:ascii="Arial" w:hAnsi="Arial"/>
          <w:sz w:val="24"/>
          <w:lang w:val="fr-CA"/>
        </w:rPr>
        <w:t>u</w:t>
      </w:r>
      <w:r>
        <w:rPr>
          <w:rFonts w:ascii="Arial" w:hAnsi="Arial"/>
          <w:sz w:val="24"/>
          <w:lang w:val="fr-CA"/>
        </w:rPr>
        <w:t xml:space="preserve"> DTT </w:t>
      </w:r>
      <w:r w:rsidR="00F06FD7">
        <w:rPr>
          <w:rFonts w:ascii="Arial" w:hAnsi="Arial"/>
          <w:sz w:val="24"/>
          <w:lang w:val="fr-CA"/>
        </w:rPr>
        <w:t xml:space="preserve">à </w:t>
      </w:r>
      <w:r>
        <w:rPr>
          <w:rFonts w:ascii="Arial" w:hAnsi="Arial"/>
          <w:sz w:val="24"/>
          <w:lang w:val="fr-CA"/>
        </w:rPr>
        <w:t>0,2 M en dissolvant 1 g de poudre de DTT dans 32 </w:t>
      </w:r>
      <w:proofErr w:type="spellStart"/>
      <w:r>
        <w:rPr>
          <w:rFonts w:ascii="Arial" w:hAnsi="Arial"/>
          <w:sz w:val="24"/>
          <w:lang w:val="fr-CA"/>
        </w:rPr>
        <w:t>mL</w:t>
      </w:r>
      <w:proofErr w:type="spellEnd"/>
      <w:r>
        <w:rPr>
          <w:rFonts w:ascii="Arial" w:hAnsi="Arial"/>
          <w:sz w:val="24"/>
          <w:lang w:val="fr-CA"/>
        </w:rPr>
        <w:t xml:space="preserve"> </w:t>
      </w:r>
      <w:r w:rsidRPr="003B3D16">
        <w:rPr>
          <w:rFonts w:ascii="Arial" w:hAnsi="Arial"/>
          <w:sz w:val="24"/>
          <w:lang w:val="fr-CA"/>
        </w:rPr>
        <w:t xml:space="preserve">de </w:t>
      </w:r>
      <w:r w:rsidRPr="00554F78">
        <w:rPr>
          <w:rFonts w:ascii="Arial" w:hAnsi="Arial" w:cs="Arial"/>
          <w:color w:val="000000"/>
          <w:sz w:val="24"/>
          <w:lang w:val="fr-CA"/>
        </w:rPr>
        <w:t>solution saline tamponnée au phosphate</w:t>
      </w:r>
      <w:r w:rsidR="00D33D96" w:rsidRPr="00554F78">
        <w:rPr>
          <w:rFonts w:ascii="Arial" w:hAnsi="Arial" w:cs="Arial"/>
          <w:color w:val="000000"/>
          <w:sz w:val="24"/>
          <w:lang w:val="fr-CA"/>
        </w:rPr>
        <w:t xml:space="preserve"> (ph 8,0)</w:t>
      </w:r>
      <w:r w:rsidRPr="003B3D16">
        <w:rPr>
          <w:rFonts w:ascii="Arial" w:hAnsi="Arial"/>
          <w:sz w:val="24"/>
          <w:lang w:val="fr-CA"/>
        </w:rPr>
        <w:t>.</w:t>
      </w:r>
    </w:p>
    <w:p w:rsidR="00730AA3" w:rsidRDefault="00730AA3">
      <w:pPr>
        <w:rPr>
          <w:rFonts w:ascii="Arial" w:hAnsi="Arial"/>
          <w:sz w:val="24"/>
          <w:lang w:val="fr-CA"/>
        </w:rPr>
      </w:pPr>
    </w:p>
    <w:p w:rsidR="00730AA3" w:rsidRDefault="00730AA3">
      <w:pPr>
        <w:numPr>
          <w:ilvl w:val="2"/>
          <w:numId w:val="1"/>
        </w:numPr>
        <w:spacing w:line="228" w:lineRule="auto"/>
        <w:rPr>
          <w:rFonts w:ascii="Arial" w:hAnsi="Arial"/>
          <w:sz w:val="24"/>
          <w:lang w:val="fr-CA"/>
        </w:rPr>
      </w:pPr>
      <w:r>
        <w:rPr>
          <w:rFonts w:ascii="Arial" w:hAnsi="Arial"/>
          <w:sz w:val="24"/>
          <w:lang w:val="fr-CA"/>
        </w:rPr>
        <w:t xml:space="preserve">Diviser en aliquotes de </w:t>
      </w:r>
      <w:r w:rsidR="0008585D">
        <w:rPr>
          <w:rFonts w:ascii="Arial" w:hAnsi="Arial"/>
          <w:sz w:val="24"/>
          <w:lang w:val="fr-CA"/>
        </w:rPr>
        <w:t>1</w:t>
      </w:r>
      <w:r>
        <w:rPr>
          <w:rFonts w:ascii="Arial" w:hAnsi="Arial"/>
          <w:sz w:val="24"/>
          <w:lang w:val="fr-CA"/>
        </w:rPr>
        <w:t>,</w:t>
      </w:r>
      <w:r w:rsidR="0008585D">
        <w:rPr>
          <w:rFonts w:ascii="Arial" w:hAnsi="Arial"/>
          <w:sz w:val="24"/>
          <w:lang w:val="fr-CA"/>
        </w:rPr>
        <w:t>0</w:t>
      </w:r>
      <w:r>
        <w:rPr>
          <w:rFonts w:ascii="Arial" w:hAnsi="Arial"/>
          <w:sz w:val="24"/>
          <w:lang w:val="fr-CA"/>
        </w:rPr>
        <w:t> </w:t>
      </w:r>
      <w:proofErr w:type="spellStart"/>
      <w:r>
        <w:rPr>
          <w:rFonts w:ascii="Arial" w:hAnsi="Arial"/>
          <w:sz w:val="24"/>
          <w:lang w:val="fr-CA"/>
        </w:rPr>
        <w:t>mL</w:t>
      </w:r>
      <w:proofErr w:type="spellEnd"/>
      <w:r>
        <w:rPr>
          <w:rFonts w:ascii="Arial" w:hAnsi="Arial"/>
          <w:sz w:val="24"/>
          <w:lang w:val="fr-CA"/>
        </w:rPr>
        <w:t xml:space="preserve"> et congeler à </w:t>
      </w:r>
      <w:r w:rsidR="003B20A2">
        <w:rPr>
          <w:rFonts w:ascii="Arial" w:hAnsi="Arial"/>
          <w:sz w:val="24"/>
          <w:lang w:val="fr-CA"/>
        </w:rPr>
        <w:t>-</w:t>
      </w:r>
      <w:r w:rsidR="00554F78">
        <w:rPr>
          <w:rFonts w:ascii="Arial" w:hAnsi="Arial"/>
          <w:sz w:val="24"/>
          <w:lang w:val="fr-CA"/>
        </w:rPr>
        <w:t>18</w:t>
      </w:r>
      <w:r>
        <w:rPr>
          <w:rFonts w:ascii="Arial" w:hAnsi="Arial" w:cs="Arial"/>
          <w:sz w:val="24"/>
          <w:lang w:val="fr-CA"/>
        </w:rPr>
        <w:t>°</w:t>
      </w:r>
      <w:r>
        <w:rPr>
          <w:rFonts w:ascii="Arial" w:hAnsi="Arial"/>
          <w:sz w:val="24"/>
          <w:lang w:val="fr-CA"/>
        </w:rPr>
        <w:t>C ou plus froid.</w:t>
      </w:r>
      <w:r w:rsidR="00505320">
        <w:rPr>
          <w:rFonts w:ascii="Arial" w:hAnsi="Arial"/>
          <w:sz w:val="24"/>
          <w:lang w:val="fr-CA"/>
        </w:rPr>
        <w:t xml:space="preserve"> </w:t>
      </w:r>
      <w:r>
        <w:rPr>
          <w:rFonts w:ascii="Arial" w:hAnsi="Arial"/>
          <w:sz w:val="24"/>
          <w:lang w:val="fr-CA"/>
        </w:rPr>
        <w:t>Étiqueter les aliquotes en y inscrivant une date d</w:t>
      </w:r>
      <w:r w:rsidR="00360312">
        <w:rPr>
          <w:rFonts w:ascii="Arial" w:hAnsi="Arial"/>
          <w:sz w:val="24"/>
          <w:lang w:val="fr-CA"/>
        </w:rPr>
        <w:t>e péremption</w:t>
      </w:r>
      <w:r>
        <w:rPr>
          <w:rFonts w:ascii="Arial" w:hAnsi="Arial"/>
          <w:sz w:val="24"/>
          <w:lang w:val="fr-CA"/>
        </w:rPr>
        <w:t xml:space="preserve"> de 6 mois.</w:t>
      </w:r>
    </w:p>
    <w:p w:rsidR="00730AA3" w:rsidRDefault="00730AA3">
      <w:pPr>
        <w:spacing w:line="228" w:lineRule="auto"/>
        <w:ind w:left="2160"/>
        <w:rPr>
          <w:rFonts w:ascii="Arial" w:hAnsi="Arial"/>
          <w:sz w:val="24"/>
          <w:lang w:val="fr-CA"/>
        </w:rPr>
      </w:pPr>
    </w:p>
    <w:p w:rsidR="00730AA3" w:rsidRDefault="00730AA3">
      <w:pPr>
        <w:numPr>
          <w:ilvl w:val="1"/>
          <w:numId w:val="1"/>
        </w:numPr>
        <w:spacing w:line="228" w:lineRule="auto"/>
        <w:rPr>
          <w:rFonts w:ascii="Arial" w:hAnsi="Arial"/>
          <w:sz w:val="24"/>
          <w:lang w:val="fr-CA"/>
        </w:rPr>
      </w:pPr>
      <w:r>
        <w:rPr>
          <w:rFonts w:ascii="Arial" w:hAnsi="Arial"/>
          <w:sz w:val="24"/>
          <w:lang w:val="fr-CA"/>
        </w:rPr>
        <w:t xml:space="preserve">DTT </w:t>
      </w:r>
      <w:r w:rsidR="00F06FD7">
        <w:rPr>
          <w:rFonts w:ascii="Arial" w:hAnsi="Arial"/>
          <w:sz w:val="24"/>
          <w:lang w:val="fr-CA"/>
        </w:rPr>
        <w:t xml:space="preserve">à </w:t>
      </w:r>
      <w:r>
        <w:rPr>
          <w:rFonts w:ascii="Arial" w:hAnsi="Arial"/>
          <w:sz w:val="24"/>
          <w:lang w:val="fr-CA"/>
        </w:rPr>
        <w:t>0,01 M</w:t>
      </w:r>
    </w:p>
    <w:p w:rsidR="00730AA3" w:rsidRDefault="00730AA3">
      <w:pPr>
        <w:spacing w:line="228" w:lineRule="auto"/>
        <w:ind w:left="720"/>
        <w:rPr>
          <w:rFonts w:ascii="Arial" w:hAnsi="Arial"/>
          <w:sz w:val="24"/>
          <w:lang w:val="fr-CA"/>
        </w:rPr>
      </w:pPr>
    </w:p>
    <w:p w:rsidR="00730AA3" w:rsidRPr="003B3D16" w:rsidRDefault="00730AA3">
      <w:pPr>
        <w:numPr>
          <w:ilvl w:val="2"/>
          <w:numId w:val="1"/>
        </w:numPr>
        <w:spacing w:line="228" w:lineRule="auto"/>
        <w:rPr>
          <w:rFonts w:ascii="Arial" w:hAnsi="Arial"/>
          <w:sz w:val="24"/>
          <w:lang w:val="fr-CA"/>
        </w:rPr>
      </w:pPr>
      <w:r>
        <w:rPr>
          <w:rFonts w:ascii="Arial" w:hAnsi="Arial"/>
          <w:sz w:val="24"/>
          <w:lang w:val="fr-CA"/>
        </w:rPr>
        <w:t xml:space="preserve">Préparer du DTT </w:t>
      </w:r>
      <w:r w:rsidR="00F06FD7">
        <w:rPr>
          <w:rFonts w:ascii="Arial" w:hAnsi="Arial"/>
          <w:sz w:val="24"/>
          <w:lang w:val="fr-CA"/>
        </w:rPr>
        <w:t xml:space="preserve">à </w:t>
      </w:r>
      <w:r>
        <w:rPr>
          <w:rFonts w:ascii="Arial" w:hAnsi="Arial"/>
          <w:sz w:val="24"/>
          <w:lang w:val="fr-CA"/>
        </w:rPr>
        <w:t xml:space="preserve">0,01 M en dissolvant 0,154 g de </w:t>
      </w:r>
      <w:r w:rsidR="00070144">
        <w:rPr>
          <w:rFonts w:ascii="Arial" w:hAnsi="Arial"/>
          <w:sz w:val="24"/>
          <w:lang w:val="fr-CA"/>
        </w:rPr>
        <w:t xml:space="preserve">poudre de </w:t>
      </w:r>
      <w:r>
        <w:rPr>
          <w:rFonts w:ascii="Arial" w:hAnsi="Arial"/>
          <w:sz w:val="24"/>
          <w:lang w:val="fr-CA"/>
        </w:rPr>
        <w:t>DTT dans 100 </w:t>
      </w:r>
      <w:proofErr w:type="spellStart"/>
      <w:r>
        <w:rPr>
          <w:rFonts w:ascii="Arial" w:hAnsi="Arial"/>
          <w:sz w:val="24"/>
          <w:lang w:val="fr-CA"/>
        </w:rPr>
        <w:t>mL</w:t>
      </w:r>
      <w:proofErr w:type="spellEnd"/>
      <w:r>
        <w:rPr>
          <w:rFonts w:ascii="Arial" w:hAnsi="Arial"/>
          <w:sz w:val="24"/>
          <w:lang w:val="fr-CA"/>
        </w:rPr>
        <w:t xml:space="preserve"> </w:t>
      </w:r>
      <w:r w:rsidRPr="003B3D16">
        <w:rPr>
          <w:rFonts w:ascii="Arial" w:hAnsi="Arial"/>
          <w:sz w:val="24"/>
          <w:lang w:val="fr-CA"/>
        </w:rPr>
        <w:t xml:space="preserve">de </w:t>
      </w:r>
      <w:r w:rsidRPr="00554F78">
        <w:rPr>
          <w:rFonts w:ascii="Arial" w:hAnsi="Arial" w:cs="Arial"/>
          <w:color w:val="000000"/>
          <w:sz w:val="24"/>
          <w:lang w:val="fr-CA"/>
        </w:rPr>
        <w:t>solution saline tamponnée au phosphate</w:t>
      </w:r>
      <w:r w:rsidRPr="003B3D16">
        <w:rPr>
          <w:rFonts w:ascii="Arial" w:hAnsi="Arial"/>
          <w:sz w:val="24"/>
          <w:lang w:val="fr-CA"/>
        </w:rPr>
        <w:t>.</w:t>
      </w:r>
    </w:p>
    <w:p w:rsidR="00730AA3" w:rsidRDefault="00730AA3">
      <w:pPr>
        <w:spacing w:line="228" w:lineRule="auto"/>
        <w:rPr>
          <w:rFonts w:ascii="Arial" w:hAnsi="Arial"/>
          <w:sz w:val="24"/>
          <w:lang w:val="fr-CA"/>
        </w:rPr>
      </w:pPr>
    </w:p>
    <w:p w:rsidR="00730AA3" w:rsidRDefault="0008585D" w:rsidP="00F6332F">
      <w:pPr>
        <w:numPr>
          <w:ilvl w:val="2"/>
          <w:numId w:val="1"/>
        </w:numPr>
        <w:spacing w:line="228" w:lineRule="auto"/>
        <w:rPr>
          <w:rFonts w:ascii="Arial" w:hAnsi="Arial"/>
          <w:sz w:val="24"/>
          <w:lang w:val="fr-CA"/>
        </w:rPr>
      </w:pPr>
      <w:r>
        <w:rPr>
          <w:rFonts w:ascii="Arial" w:hAnsi="Arial"/>
          <w:sz w:val="24"/>
          <w:lang w:val="fr-CA"/>
        </w:rPr>
        <w:t xml:space="preserve">Préparer au fur et à mesure selon les besoins. </w:t>
      </w:r>
    </w:p>
    <w:p w:rsidR="00F6332F" w:rsidRDefault="00F6332F" w:rsidP="00F6332F">
      <w:pPr>
        <w:spacing w:line="228" w:lineRule="auto"/>
        <w:ind w:left="2160"/>
        <w:rPr>
          <w:rFonts w:ascii="Arial" w:hAnsi="Arial"/>
          <w:b/>
          <w:sz w:val="28"/>
          <w:lang w:val="fr-CA"/>
        </w:rPr>
      </w:pPr>
    </w:p>
    <w:p w:rsidR="00730AA3" w:rsidRDefault="00730AA3">
      <w:pPr>
        <w:numPr>
          <w:ilvl w:val="0"/>
          <w:numId w:val="1"/>
        </w:numPr>
        <w:spacing w:line="228" w:lineRule="auto"/>
        <w:rPr>
          <w:rFonts w:ascii="Arial" w:hAnsi="Arial"/>
          <w:b/>
          <w:sz w:val="28"/>
          <w:lang w:val="fr-CA"/>
        </w:rPr>
      </w:pPr>
      <w:r>
        <w:rPr>
          <w:rFonts w:ascii="Arial" w:hAnsi="Arial"/>
          <w:b/>
          <w:sz w:val="28"/>
          <w:lang w:val="fr-CA"/>
        </w:rPr>
        <w:t>Documentation – S.O.</w:t>
      </w:r>
    </w:p>
    <w:p w:rsidR="00730AA3" w:rsidRDefault="00730AA3">
      <w:pPr>
        <w:spacing w:line="228" w:lineRule="auto"/>
        <w:rPr>
          <w:rFonts w:ascii="Arial" w:hAnsi="Arial"/>
          <w:sz w:val="24"/>
          <w:lang w:val="fr-CA"/>
        </w:rPr>
      </w:pPr>
    </w:p>
    <w:p w:rsidR="00730AA3" w:rsidRDefault="00730AA3">
      <w:pPr>
        <w:numPr>
          <w:ilvl w:val="0"/>
          <w:numId w:val="1"/>
        </w:numPr>
        <w:spacing w:line="228" w:lineRule="auto"/>
        <w:rPr>
          <w:rFonts w:ascii="Arial" w:hAnsi="Arial"/>
          <w:b/>
          <w:sz w:val="28"/>
          <w:lang w:val="fr-CA"/>
        </w:rPr>
      </w:pPr>
      <w:r>
        <w:rPr>
          <w:rFonts w:ascii="Arial" w:hAnsi="Arial"/>
          <w:b/>
          <w:sz w:val="28"/>
          <w:lang w:val="fr-CA"/>
        </w:rPr>
        <w:t>Remarques – S.O.</w:t>
      </w:r>
    </w:p>
    <w:p w:rsidR="00730AA3" w:rsidRDefault="00730AA3">
      <w:pPr>
        <w:spacing w:line="228" w:lineRule="auto"/>
        <w:ind w:left="720"/>
        <w:rPr>
          <w:rFonts w:ascii="Arial" w:hAnsi="Arial"/>
          <w:b/>
          <w:sz w:val="24"/>
          <w:lang w:val="fr-CA"/>
        </w:rPr>
      </w:pPr>
    </w:p>
    <w:p w:rsidR="00730AA3" w:rsidRDefault="00730AA3">
      <w:pPr>
        <w:numPr>
          <w:ilvl w:val="0"/>
          <w:numId w:val="1"/>
        </w:numPr>
        <w:spacing w:line="228" w:lineRule="auto"/>
        <w:rPr>
          <w:rFonts w:ascii="Arial" w:hAnsi="Arial"/>
          <w:b/>
          <w:sz w:val="28"/>
          <w:lang w:val="fr-CA"/>
        </w:rPr>
      </w:pPr>
      <w:r>
        <w:rPr>
          <w:rFonts w:ascii="Arial" w:hAnsi="Arial"/>
          <w:b/>
          <w:sz w:val="28"/>
          <w:lang w:val="fr-CA"/>
        </w:rPr>
        <w:t>Références</w:t>
      </w:r>
    </w:p>
    <w:p w:rsidR="00730AA3" w:rsidRDefault="00730AA3">
      <w:pPr>
        <w:spacing w:line="228" w:lineRule="auto"/>
        <w:rPr>
          <w:rFonts w:ascii="Arial" w:hAnsi="Arial"/>
          <w:b/>
          <w:sz w:val="28"/>
          <w:lang w:val="fr-CA"/>
        </w:rPr>
      </w:pPr>
    </w:p>
    <w:p w:rsidR="0008585D" w:rsidRDefault="0008585D" w:rsidP="0008585D">
      <w:pPr>
        <w:numPr>
          <w:ilvl w:val="1"/>
          <w:numId w:val="10"/>
        </w:numPr>
        <w:rPr>
          <w:rFonts w:ascii="Arial" w:hAnsi="Arial"/>
          <w:sz w:val="24"/>
          <w:lang w:val="fr-CA"/>
        </w:rPr>
      </w:pPr>
      <w:r w:rsidRPr="00DC608D">
        <w:rPr>
          <w:rFonts w:ascii="Arial" w:hAnsi="Arial"/>
          <w:sz w:val="24"/>
          <w:lang w:val="fr-CA"/>
        </w:rPr>
        <w:t xml:space="preserve">SIMDUT </w:t>
      </w:r>
      <w:hyperlink r:id="rId8" w:history="1">
        <w:r w:rsidRPr="00DC608D">
          <w:rPr>
            <w:rStyle w:val="Hyperlink"/>
            <w:rFonts w:ascii="Arial" w:hAnsi="Arial"/>
            <w:sz w:val="24"/>
            <w:lang w:val="fr-CA"/>
          </w:rPr>
          <w:t>www.whmis.ca</w:t>
        </w:r>
      </w:hyperlink>
    </w:p>
    <w:p w:rsidR="00554F78" w:rsidRPr="00554F78" w:rsidRDefault="00554F78" w:rsidP="00554F78">
      <w:pPr>
        <w:ind w:left="1440"/>
        <w:rPr>
          <w:rFonts w:ascii="Arial" w:hAnsi="Arial"/>
          <w:sz w:val="24"/>
          <w:lang w:val="fr-CA"/>
        </w:rPr>
      </w:pPr>
    </w:p>
    <w:p w:rsidR="0008585D" w:rsidRPr="00554F78" w:rsidRDefault="0008585D" w:rsidP="0008585D">
      <w:pPr>
        <w:numPr>
          <w:ilvl w:val="1"/>
          <w:numId w:val="10"/>
        </w:numPr>
        <w:rPr>
          <w:rFonts w:ascii="Arial" w:hAnsi="Arial"/>
          <w:sz w:val="24"/>
          <w:lang w:val="fr-CA"/>
        </w:rPr>
      </w:pPr>
      <w:r w:rsidRPr="0083092B">
        <w:rPr>
          <w:rFonts w:ascii="Arial" w:hAnsi="Arial"/>
          <w:i/>
          <w:sz w:val="24"/>
          <w:lang w:val="fr-CA"/>
        </w:rPr>
        <w:t>Standards for Hospital Transfusion Services</w:t>
      </w:r>
      <w:r w:rsidRPr="0083092B">
        <w:rPr>
          <w:rFonts w:ascii="Arial" w:hAnsi="Arial"/>
          <w:sz w:val="24"/>
          <w:lang w:val="fr-CA"/>
        </w:rPr>
        <w:t>, version 3, février 2011, Société canadienne de médecine transfusionnelle</w:t>
      </w:r>
      <w:r>
        <w:rPr>
          <w:rFonts w:ascii="Arial" w:hAnsi="Arial"/>
          <w:sz w:val="24"/>
          <w:lang w:val="fr-CA"/>
        </w:rPr>
        <w:t xml:space="preserve">, </w:t>
      </w:r>
      <w:r w:rsidRPr="0083092B">
        <w:rPr>
          <w:rFonts w:ascii="Arial" w:hAnsi="Arial"/>
          <w:sz w:val="24"/>
          <w:lang w:val="fr-CA"/>
        </w:rPr>
        <w:t>3.</w:t>
      </w:r>
      <w:r>
        <w:rPr>
          <w:rFonts w:ascii="Arial" w:hAnsi="Arial"/>
          <w:sz w:val="24"/>
          <w:lang w:val="fr-CA"/>
        </w:rPr>
        <w:t>5</w:t>
      </w:r>
      <w:r w:rsidRPr="0083092B">
        <w:rPr>
          <w:rFonts w:ascii="Arial" w:hAnsi="Arial"/>
          <w:sz w:val="24"/>
          <w:lang w:val="fr-CA"/>
        </w:rPr>
        <w:t>.3.</w:t>
      </w:r>
    </w:p>
    <w:p w:rsidR="00554F78" w:rsidRPr="00554F78" w:rsidRDefault="00554F78" w:rsidP="00554F78">
      <w:pPr>
        <w:ind w:left="1440"/>
        <w:rPr>
          <w:rStyle w:val="SubtleReference"/>
          <w:rFonts w:ascii="Arial" w:hAnsi="Arial"/>
          <w:smallCaps w:val="0"/>
          <w:color w:val="auto"/>
          <w:sz w:val="24"/>
          <w:u w:val="none"/>
          <w:lang w:val="fr-CA"/>
        </w:rPr>
      </w:pPr>
    </w:p>
    <w:p w:rsidR="00730AA3" w:rsidRPr="005366C0" w:rsidRDefault="00744866" w:rsidP="005366C0">
      <w:pPr>
        <w:numPr>
          <w:ilvl w:val="1"/>
          <w:numId w:val="10"/>
        </w:numPr>
        <w:rPr>
          <w:rFonts w:ascii="Arial" w:hAnsi="Arial"/>
          <w:sz w:val="24"/>
          <w:lang w:val="fr-CA"/>
        </w:rPr>
      </w:pPr>
      <w:r>
        <w:rPr>
          <w:rStyle w:val="SubtleReference"/>
          <w:rFonts w:ascii="Arial" w:hAnsi="Arial" w:cs="Arial"/>
          <w:color w:val="auto"/>
          <w:sz w:val="24"/>
          <w:szCs w:val="24"/>
          <w:u w:val="none"/>
        </w:rPr>
        <w:t>Fung, MK,</w:t>
      </w:r>
      <w:r w:rsidR="005366C0">
        <w:rPr>
          <w:rFonts w:ascii="Arial" w:hAnsi="Arial"/>
          <w:sz w:val="24"/>
        </w:rPr>
        <w:t xml:space="preserve"> </w:t>
      </w:r>
      <w:proofErr w:type="spellStart"/>
      <w:r w:rsidR="005366C0">
        <w:rPr>
          <w:rFonts w:ascii="Arial" w:hAnsi="Arial"/>
          <w:sz w:val="24"/>
        </w:rPr>
        <w:t>éd</w:t>
      </w:r>
      <w:proofErr w:type="spellEnd"/>
      <w:r w:rsidR="005366C0">
        <w:rPr>
          <w:rFonts w:ascii="Arial" w:hAnsi="Arial"/>
          <w:sz w:val="24"/>
        </w:rPr>
        <w:t xml:space="preserve">. </w:t>
      </w:r>
      <w:r w:rsidR="005366C0" w:rsidRPr="00822887">
        <w:rPr>
          <w:rFonts w:ascii="Arial" w:hAnsi="Arial"/>
          <w:i/>
          <w:sz w:val="24"/>
        </w:rPr>
        <w:t>American Association of Blood Banks Technical Manual</w:t>
      </w:r>
      <w:r w:rsidR="005366C0">
        <w:rPr>
          <w:rFonts w:ascii="Arial" w:hAnsi="Arial"/>
          <w:sz w:val="24"/>
        </w:rPr>
        <w:t>, 1</w:t>
      </w:r>
      <w:r>
        <w:rPr>
          <w:rFonts w:ascii="Arial" w:hAnsi="Arial"/>
          <w:sz w:val="24"/>
        </w:rPr>
        <w:t>8</w:t>
      </w:r>
      <w:r w:rsidR="005366C0">
        <w:rPr>
          <w:rFonts w:ascii="Arial" w:hAnsi="Arial"/>
          <w:sz w:val="24"/>
          <w:vertAlign w:val="superscript"/>
        </w:rPr>
        <w:t>e</w:t>
      </w:r>
      <w:r w:rsidR="005366C0">
        <w:rPr>
          <w:rFonts w:ascii="Arial" w:hAnsi="Arial"/>
          <w:sz w:val="24"/>
        </w:rPr>
        <w:t xml:space="preserve"> </w:t>
      </w:r>
      <w:proofErr w:type="spellStart"/>
      <w:r w:rsidR="005366C0">
        <w:rPr>
          <w:rFonts w:ascii="Arial" w:hAnsi="Arial"/>
          <w:sz w:val="24"/>
        </w:rPr>
        <w:t>éd</w:t>
      </w:r>
      <w:proofErr w:type="spellEnd"/>
      <w:r w:rsidR="005366C0">
        <w:rPr>
          <w:rFonts w:ascii="Arial" w:hAnsi="Arial"/>
          <w:sz w:val="24"/>
        </w:rPr>
        <w:t>. Bethesda, MD</w:t>
      </w:r>
      <w:r w:rsidR="005366C0" w:rsidRPr="00BA2850">
        <w:rPr>
          <w:rFonts w:ascii="Arial" w:hAnsi="Arial"/>
          <w:sz w:val="24"/>
          <w:lang w:val="fr-CA"/>
        </w:rPr>
        <w:t xml:space="preserve"> </w:t>
      </w:r>
      <w:r w:rsidR="005366C0">
        <w:rPr>
          <w:rFonts w:ascii="Arial" w:hAnsi="Arial"/>
          <w:sz w:val="24"/>
          <w:lang w:val="fr-CA"/>
        </w:rPr>
        <w:t>(</w:t>
      </w:r>
      <w:r w:rsidR="005366C0" w:rsidRPr="00BA2850">
        <w:rPr>
          <w:rFonts w:ascii="Arial" w:hAnsi="Arial"/>
          <w:sz w:val="24"/>
          <w:lang w:val="fr-CA"/>
        </w:rPr>
        <w:t>20</w:t>
      </w:r>
      <w:r>
        <w:rPr>
          <w:rFonts w:ascii="Arial" w:hAnsi="Arial"/>
          <w:sz w:val="24"/>
          <w:lang w:val="fr-CA"/>
        </w:rPr>
        <w:t>14 Method (3-18)</w:t>
      </w:r>
      <w:r w:rsidR="005366C0">
        <w:rPr>
          <w:rFonts w:ascii="Arial" w:hAnsi="Arial"/>
          <w:sz w:val="24"/>
          <w:lang w:val="fr-CA"/>
        </w:rPr>
        <w:t>.</w:t>
      </w:r>
    </w:p>
    <w:p w:rsidR="00554F78" w:rsidRDefault="00554F78">
      <w:pPr>
        <w:ind w:left="720"/>
        <w:rPr>
          <w:rFonts w:ascii="Arial" w:hAnsi="Arial"/>
          <w:sz w:val="24"/>
          <w:lang w:val="fr-CA"/>
        </w:rPr>
      </w:pPr>
    </w:p>
    <w:p w:rsidR="009279AB" w:rsidRPr="00AA3396" w:rsidRDefault="009279AB" w:rsidP="009279AB">
      <w:pPr>
        <w:pStyle w:val="ListParagraph"/>
        <w:numPr>
          <w:ilvl w:val="0"/>
          <w:numId w:val="12"/>
        </w:numPr>
        <w:contextualSpacing/>
        <w:rPr>
          <w:rFonts w:ascii="Arial" w:hAnsi="Arial"/>
          <w:b/>
          <w:sz w:val="28"/>
          <w:lang w:val="fr-CA"/>
        </w:rPr>
      </w:pPr>
      <w:r w:rsidRPr="00AA3396">
        <w:rPr>
          <w:rFonts w:ascii="Arial" w:hAnsi="Arial"/>
          <w:b/>
          <w:sz w:val="28"/>
          <w:lang w:val="fr-CA"/>
        </w:rPr>
        <w:t>Suivi des révisions</w:t>
      </w:r>
    </w:p>
    <w:p w:rsidR="009279AB" w:rsidRPr="00AA3396" w:rsidRDefault="009279AB" w:rsidP="009279AB">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207"/>
      </w:tblGrid>
      <w:tr w:rsidR="009279AB" w:rsidRPr="00AA3396" w:rsidTr="00B76E34">
        <w:trPr>
          <w:cantSplit/>
        </w:trPr>
        <w:tc>
          <w:tcPr>
            <w:tcW w:w="3510" w:type="dxa"/>
            <w:shd w:val="clear" w:color="auto" w:fill="F2F2F2"/>
          </w:tcPr>
          <w:p w:rsidR="009279AB" w:rsidRPr="004050E8" w:rsidRDefault="009279AB" w:rsidP="00B76E34">
            <w:pPr>
              <w:jc w:val="center"/>
              <w:rPr>
                <w:rFonts w:ascii="Arial" w:hAnsi="Arial" w:cs="Arial"/>
                <w:b/>
                <w:sz w:val="22"/>
                <w:szCs w:val="22"/>
                <w:lang w:val="fr-CA"/>
              </w:rPr>
            </w:pPr>
            <w:r>
              <w:rPr>
                <w:rFonts w:ascii="Arial" w:hAnsi="Arial" w:cs="Arial"/>
                <w:b/>
                <w:sz w:val="22"/>
                <w:szCs w:val="22"/>
                <w:lang w:val="fr-CA"/>
              </w:rPr>
              <w:t>Date de la révision</w:t>
            </w:r>
          </w:p>
        </w:tc>
        <w:tc>
          <w:tcPr>
            <w:tcW w:w="5346" w:type="dxa"/>
            <w:shd w:val="clear" w:color="auto" w:fill="F2F2F2"/>
          </w:tcPr>
          <w:p w:rsidR="009279AB" w:rsidRPr="004050E8" w:rsidRDefault="009279AB" w:rsidP="00B76E34">
            <w:pPr>
              <w:jc w:val="center"/>
              <w:rPr>
                <w:rFonts w:ascii="Arial" w:hAnsi="Arial" w:cs="Arial"/>
                <w:b/>
                <w:sz w:val="22"/>
                <w:szCs w:val="22"/>
                <w:lang w:val="fr-CA"/>
              </w:rPr>
            </w:pPr>
            <w:r>
              <w:rPr>
                <w:rFonts w:ascii="Arial" w:hAnsi="Arial" w:cs="Arial"/>
                <w:b/>
                <w:sz w:val="22"/>
                <w:szCs w:val="22"/>
                <w:lang w:val="fr-CA"/>
              </w:rPr>
              <w:t>Résumé des changements</w:t>
            </w:r>
          </w:p>
        </w:tc>
      </w:tr>
      <w:tr w:rsidR="009279AB" w:rsidRPr="00AA3396" w:rsidTr="00554F78">
        <w:trPr>
          <w:cantSplit/>
          <w:trHeight w:val="1117"/>
        </w:trPr>
        <w:tc>
          <w:tcPr>
            <w:tcW w:w="3510" w:type="dxa"/>
          </w:tcPr>
          <w:p w:rsidR="009279AB" w:rsidRPr="00AA3396" w:rsidRDefault="009279AB" w:rsidP="00C16003">
            <w:pPr>
              <w:keepLines/>
              <w:widowControl w:val="0"/>
              <w:rPr>
                <w:rFonts w:ascii="Arial" w:hAnsi="Arial"/>
                <w:sz w:val="22"/>
                <w:szCs w:val="22"/>
                <w:lang w:val="fr-CA"/>
              </w:rPr>
            </w:pPr>
            <w:r w:rsidRPr="00554F78">
              <w:rPr>
                <w:rFonts w:ascii="Arial" w:hAnsi="Arial"/>
                <w:sz w:val="22"/>
                <w:szCs w:val="22"/>
                <w:lang w:val="fr-CA"/>
              </w:rPr>
              <w:t>1</w:t>
            </w:r>
            <w:r w:rsidRPr="00554F78">
              <w:rPr>
                <w:rFonts w:ascii="Arial" w:hAnsi="Arial"/>
                <w:sz w:val="22"/>
                <w:szCs w:val="22"/>
                <w:vertAlign w:val="superscript"/>
                <w:lang w:val="fr-CA"/>
              </w:rPr>
              <w:t>er</w:t>
            </w:r>
            <w:r w:rsidRPr="00554F78">
              <w:rPr>
                <w:rFonts w:ascii="Arial" w:hAnsi="Arial"/>
                <w:sz w:val="22"/>
                <w:szCs w:val="22"/>
                <w:lang w:val="fr-CA"/>
              </w:rPr>
              <w:t xml:space="preserve"> </w:t>
            </w:r>
            <w:proofErr w:type="gramStart"/>
            <w:r w:rsidRPr="00554F78">
              <w:rPr>
                <w:rFonts w:ascii="Arial" w:hAnsi="Arial"/>
                <w:sz w:val="22"/>
                <w:szCs w:val="22"/>
                <w:lang w:val="fr-CA"/>
              </w:rPr>
              <w:t>décembre  201</w:t>
            </w:r>
            <w:r w:rsidR="00C16003" w:rsidRPr="00554F78">
              <w:rPr>
                <w:rFonts w:ascii="Arial" w:hAnsi="Arial"/>
                <w:sz w:val="22"/>
                <w:szCs w:val="22"/>
                <w:lang w:val="fr-CA"/>
              </w:rPr>
              <w:t>4</w:t>
            </w:r>
            <w:proofErr w:type="gramEnd"/>
            <w:r w:rsidRPr="00AA3396">
              <w:rPr>
                <w:rFonts w:ascii="Arial" w:hAnsi="Arial"/>
                <w:sz w:val="22"/>
                <w:szCs w:val="22"/>
                <w:lang w:val="fr-CA"/>
              </w:rPr>
              <w:t xml:space="preserve"> </w:t>
            </w:r>
          </w:p>
        </w:tc>
        <w:tc>
          <w:tcPr>
            <w:tcW w:w="5346" w:type="dxa"/>
          </w:tcPr>
          <w:p w:rsidR="009279AB" w:rsidRPr="00AA3396" w:rsidRDefault="009279AB" w:rsidP="009279AB">
            <w:pPr>
              <w:pStyle w:val="ListParagraph"/>
              <w:numPr>
                <w:ilvl w:val="0"/>
                <w:numId w:val="13"/>
              </w:numPr>
              <w:contextualSpacing/>
              <w:rPr>
                <w:rFonts w:ascii="Arial" w:hAnsi="Arial" w:cs="Arial"/>
                <w:sz w:val="22"/>
                <w:szCs w:val="22"/>
                <w:lang w:val="fr-CA"/>
              </w:rPr>
            </w:pPr>
            <w:r w:rsidRPr="00AA3396">
              <w:rPr>
                <w:rFonts w:ascii="Arial" w:hAnsi="Arial" w:cs="Arial"/>
                <w:sz w:val="22"/>
                <w:szCs w:val="22"/>
                <w:lang w:val="fr-CA"/>
              </w:rPr>
              <w:t xml:space="preserve">Changement du nom du manuel </w:t>
            </w:r>
          </w:p>
          <w:p w:rsidR="00744866" w:rsidRDefault="00744866" w:rsidP="009279AB">
            <w:pPr>
              <w:pStyle w:val="ListParagraph"/>
              <w:keepLines/>
              <w:widowControl w:val="0"/>
              <w:numPr>
                <w:ilvl w:val="0"/>
                <w:numId w:val="11"/>
              </w:numPr>
              <w:contextualSpacing/>
              <w:rPr>
                <w:rFonts w:ascii="Arial" w:hAnsi="Arial"/>
                <w:sz w:val="22"/>
                <w:szCs w:val="22"/>
                <w:lang w:val="fr-CA"/>
              </w:rPr>
            </w:pPr>
            <w:r>
              <w:rPr>
                <w:rFonts w:ascii="Arial" w:hAnsi="Arial"/>
                <w:sz w:val="22"/>
                <w:szCs w:val="22"/>
                <w:lang w:val="fr-CA"/>
              </w:rPr>
              <w:t>Ajout des sections 2.0 et 5.0</w:t>
            </w:r>
          </w:p>
          <w:p w:rsidR="009279AB" w:rsidRDefault="00744866" w:rsidP="009279AB">
            <w:pPr>
              <w:pStyle w:val="ListParagraph"/>
              <w:keepLines/>
              <w:widowControl w:val="0"/>
              <w:numPr>
                <w:ilvl w:val="0"/>
                <w:numId w:val="11"/>
              </w:numPr>
              <w:contextualSpacing/>
              <w:rPr>
                <w:rFonts w:ascii="Arial" w:hAnsi="Arial"/>
                <w:sz w:val="22"/>
                <w:szCs w:val="22"/>
                <w:lang w:val="fr-CA"/>
              </w:rPr>
            </w:pPr>
            <w:r>
              <w:rPr>
                <w:rFonts w:ascii="Arial" w:hAnsi="Arial"/>
                <w:sz w:val="22"/>
                <w:szCs w:val="22"/>
                <w:lang w:val="fr-CA"/>
              </w:rPr>
              <w:t xml:space="preserve">Remplacé 2,5 </w:t>
            </w:r>
            <w:proofErr w:type="spellStart"/>
            <w:r>
              <w:rPr>
                <w:rFonts w:ascii="Arial" w:hAnsi="Arial"/>
                <w:sz w:val="22"/>
                <w:szCs w:val="22"/>
                <w:lang w:val="fr-CA"/>
              </w:rPr>
              <w:t>mL</w:t>
            </w:r>
            <w:proofErr w:type="spellEnd"/>
            <w:r>
              <w:rPr>
                <w:rFonts w:ascii="Arial" w:hAnsi="Arial"/>
                <w:sz w:val="22"/>
                <w:szCs w:val="22"/>
                <w:lang w:val="fr-CA"/>
              </w:rPr>
              <w:t xml:space="preserve"> par 1,0 </w:t>
            </w:r>
            <w:proofErr w:type="spellStart"/>
            <w:r>
              <w:rPr>
                <w:rFonts w:ascii="Arial" w:hAnsi="Arial"/>
                <w:sz w:val="22"/>
                <w:szCs w:val="22"/>
                <w:lang w:val="fr-CA"/>
              </w:rPr>
              <w:t>mL</w:t>
            </w:r>
            <w:proofErr w:type="spellEnd"/>
            <w:r>
              <w:rPr>
                <w:rFonts w:ascii="Arial" w:hAnsi="Arial"/>
                <w:sz w:val="22"/>
                <w:szCs w:val="22"/>
                <w:lang w:val="fr-CA"/>
              </w:rPr>
              <w:t xml:space="preserve"> à la ligne 6.1.2</w:t>
            </w:r>
            <w:r w:rsidR="009279AB">
              <w:rPr>
                <w:rFonts w:ascii="Arial" w:hAnsi="Arial"/>
                <w:sz w:val="22"/>
                <w:szCs w:val="22"/>
                <w:lang w:val="fr-CA"/>
              </w:rPr>
              <w:t xml:space="preserve"> </w:t>
            </w:r>
          </w:p>
          <w:p w:rsidR="009279AB" w:rsidRPr="00AA3396" w:rsidRDefault="009279AB" w:rsidP="009279AB">
            <w:pPr>
              <w:numPr>
                <w:ilvl w:val="0"/>
                <w:numId w:val="11"/>
              </w:numPr>
              <w:rPr>
                <w:rFonts w:ascii="Arial" w:hAnsi="Arial"/>
                <w:sz w:val="22"/>
                <w:szCs w:val="22"/>
                <w:lang w:val="fr-CA"/>
              </w:rPr>
            </w:pPr>
            <w:r>
              <w:rPr>
                <w:rFonts w:ascii="Arial" w:hAnsi="Arial"/>
                <w:sz w:val="22"/>
                <w:szCs w:val="22"/>
                <w:lang w:val="fr-CA"/>
              </w:rPr>
              <w:t>Mise à jour des références</w:t>
            </w:r>
          </w:p>
        </w:tc>
      </w:tr>
    </w:tbl>
    <w:p w:rsidR="00730AA3" w:rsidRDefault="00730AA3">
      <w:pPr>
        <w:pStyle w:val="Heading7"/>
        <w:rPr>
          <w:lang w:val="fr-CA"/>
        </w:rPr>
      </w:pPr>
    </w:p>
    <w:sectPr w:rsidR="00730AA3">
      <w:headerReference w:type="default" r:id="rId9"/>
      <w:footerReference w:type="default" r:id="rId10"/>
      <w:headerReference w:type="first" r:id="rId11"/>
      <w:footerReference w:type="first" r:id="rId12"/>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F30" w:rsidRDefault="00F27F30">
      <w:r>
        <w:separator/>
      </w:r>
    </w:p>
  </w:endnote>
  <w:endnote w:type="continuationSeparator" w:id="0">
    <w:p w:rsidR="00F27F30" w:rsidRDefault="00F2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C5F8D">
      <w:trPr>
        <w:trHeight w:val="720"/>
      </w:trPr>
      <w:tc>
        <w:tcPr>
          <w:tcW w:w="1368" w:type="dxa"/>
        </w:tcPr>
        <w:p w:rsidR="006C5F8D" w:rsidRDefault="006C5F8D">
          <w:pPr>
            <w:pStyle w:val="Footer"/>
            <w:jc w:val="center"/>
            <w:rPr>
              <w:sz w:val="8"/>
            </w:rPr>
          </w:pPr>
        </w:p>
        <w:p w:rsidR="006C5F8D" w:rsidRDefault="00161534">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6C5F8D" w:rsidRDefault="006C5F8D">
          <w:pPr>
            <w:pStyle w:val="Footer"/>
            <w:jc w:val="center"/>
            <w:rPr>
              <w:rFonts w:ascii="Arial" w:hAnsi="Arial"/>
              <w:sz w:val="18"/>
            </w:rPr>
          </w:pPr>
        </w:p>
        <w:p w:rsidR="009279AB" w:rsidRDefault="009279AB" w:rsidP="009279AB">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279AB" w:rsidRPr="00554F78" w:rsidRDefault="009279AB" w:rsidP="009279AB">
          <w:pPr>
            <w:pStyle w:val="Footer"/>
            <w:jc w:val="center"/>
            <w:rPr>
              <w:rFonts w:ascii="Arial" w:hAnsi="Arial"/>
              <w:sz w:val="18"/>
              <w:lang w:val="fr-CA"/>
            </w:rPr>
          </w:pPr>
          <w:r>
            <w:rPr>
              <w:rFonts w:ascii="Arial" w:hAnsi="Arial"/>
              <w:sz w:val="18"/>
              <w:lang w:val="fr-CA"/>
            </w:rPr>
            <w:t>Manuel de ressources techniques en transfusion de l’Ontario</w:t>
          </w:r>
          <w:r w:rsidRPr="00554F78">
            <w:rPr>
              <w:rFonts w:ascii="Arial" w:hAnsi="Arial"/>
              <w:sz w:val="18"/>
              <w:lang w:val="fr-CA"/>
            </w:rPr>
            <w:t xml:space="preserve"> </w:t>
          </w:r>
        </w:p>
        <w:p w:rsidR="006C5F8D" w:rsidRPr="00554F78" w:rsidRDefault="006C5F8D">
          <w:pPr>
            <w:pStyle w:val="Footer"/>
            <w:jc w:val="center"/>
            <w:rPr>
              <w:rFonts w:ascii="Arial" w:hAnsi="Arial"/>
              <w:sz w:val="18"/>
              <w:lang w:val="fr-CA"/>
            </w:rPr>
          </w:pPr>
        </w:p>
      </w:tc>
      <w:tc>
        <w:tcPr>
          <w:tcW w:w="1494" w:type="dxa"/>
        </w:tcPr>
        <w:p w:rsidR="006C5F8D" w:rsidRPr="00554F78" w:rsidRDefault="006C5F8D">
          <w:pPr>
            <w:pStyle w:val="Footer"/>
            <w:jc w:val="right"/>
            <w:rPr>
              <w:rFonts w:ascii="Arial" w:hAnsi="Arial"/>
              <w:sz w:val="18"/>
              <w:lang w:val="fr-CA"/>
            </w:rPr>
          </w:pPr>
        </w:p>
        <w:p w:rsidR="006C5F8D" w:rsidRDefault="006C5F8D" w:rsidP="009279AB">
          <w:pPr>
            <w:pStyle w:val="Footer"/>
            <w:jc w:val="right"/>
            <w:rPr>
              <w:rFonts w:ascii="Arial" w:hAnsi="Arial"/>
              <w:sz w:val="18"/>
            </w:rPr>
          </w:pPr>
          <w:r>
            <w:rPr>
              <w:rFonts w:ascii="Arial" w:hAnsi="Arial"/>
              <w:sz w:val="18"/>
            </w:rPr>
            <w:t>PR.004</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686AAE">
            <w:rPr>
              <w:rFonts w:ascii="Arial" w:hAnsi="Arial"/>
              <w:noProof/>
              <w:snapToGrid w:val="0"/>
              <w:sz w:val="18"/>
            </w:rPr>
            <w:t>2</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686AAE">
            <w:rPr>
              <w:rFonts w:ascii="Arial" w:hAnsi="Arial"/>
              <w:noProof/>
              <w:snapToGrid w:val="0"/>
              <w:sz w:val="18"/>
            </w:rPr>
            <w:t>2</w:t>
          </w:r>
          <w:r>
            <w:rPr>
              <w:rFonts w:ascii="Arial" w:hAnsi="Arial"/>
              <w:snapToGrid w:val="0"/>
              <w:sz w:val="18"/>
            </w:rPr>
            <w:fldChar w:fldCharType="end"/>
          </w:r>
        </w:p>
      </w:tc>
    </w:tr>
  </w:tbl>
  <w:p w:rsidR="006C5F8D" w:rsidRDefault="006C5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C5F8D">
      <w:trPr>
        <w:trHeight w:val="720"/>
      </w:trPr>
      <w:tc>
        <w:tcPr>
          <w:tcW w:w="1368" w:type="dxa"/>
        </w:tcPr>
        <w:p w:rsidR="006C5F8D" w:rsidRDefault="006C5F8D">
          <w:pPr>
            <w:pStyle w:val="Footer"/>
            <w:jc w:val="center"/>
            <w:rPr>
              <w:rFonts w:ascii="Verdana" w:hAnsi="Verdana"/>
              <w:sz w:val="8"/>
            </w:rPr>
          </w:pPr>
        </w:p>
        <w:p w:rsidR="006C5F8D" w:rsidRDefault="00161534">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6C5F8D" w:rsidRDefault="006C5F8D">
          <w:pPr>
            <w:pStyle w:val="Footer"/>
            <w:jc w:val="center"/>
            <w:rPr>
              <w:rFonts w:ascii="Arial" w:hAnsi="Arial"/>
              <w:sz w:val="18"/>
            </w:rPr>
          </w:pPr>
        </w:p>
        <w:p w:rsidR="009279AB" w:rsidRDefault="009279AB" w:rsidP="009279AB">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279AB" w:rsidRPr="00554F78" w:rsidRDefault="009279AB" w:rsidP="009279AB">
          <w:pPr>
            <w:pStyle w:val="Footer"/>
            <w:jc w:val="center"/>
            <w:rPr>
              <w:rFonts w:ascii="Arial" w:hAnsi="Arial"/>
              <w:sz w:val="18"/>
              <w:lang w:val="fr-CA"/>
            </w:rPr>
          </w:pPr>
          <w:r>
            <w:rPr>
              <w:rFonts w:ascii="Arial" w:hAnsi="Arial"/>
              <w:sz w:val="18"/>
              <w:lang w:val="fr-CA"/>
            </w:rPr>
            <w:t>Manuel de ressources techniques en transfusion de l’Ontario</w:t>
          </w:r>
          <w:r w:rsidRPr="00554F78">
            <w:rPr>
              <w:rFonts w:ascii="Arial" w:hAnsi="Arial"/>
              <w:sz w:val="18"/>
              <w:lang w:val="fr-CA"/>
            </w:rPr>
            <w:t xml:space="preserve"> </w:t>
          </w:r>
        </w:p>
        <w:p w:rsidR="006C5F8D" w:rsidRPr="00554F78" w:rsidRDefault="006C5F8D">
          <w:pPr>
            <w:pStyle w:val="Footer"/>
            <w:jc w:val="center"/>
            <w:rPr>
              <w:rFonts w:ascii="Arial" w:hAnsi="Arial"/>
              <w:sz w:val="18"/>
              <w:lang w:val="fr-CA"/>
            </w:rPr>
          </w:pPr>
        </w:p>
      </w:tc>
      <w:tc>
        <w:tcPr>
          <w:tcW w:w="1494" w:type="dxa"/>
        </w:tcPr>
        <w:p w:rsidR="006C5F8D" w:rsidRPr="00554F78" w:rsidRDefault="006C5F8D">
          <w:pPr>
            <w:pStyle w:val="Footer"/>
            <w:jc w:val="right"/>
            <w:rPr>
              <w:rFonts w:ascii="Arial" w:hAnsi="Arial"/>
              <w:sz w:val="18"/>
              <w:lang w:val="fr-CA"/>
            </w:rPr>
          </w:pPr>
        </w:p>
        <w:p w:rsidR="006C5F8D" w:rsidRDefault="006C5F8D" w:rsidP="009279AB">
          <w:pPr>
            <w:pStyle w:val="Footer"/>
            <w:jc w:val="right"/>
            <w:rPr>
              <w:rFonts w:ascii="Arial" w:hAnsi="Arial"/>
              <w:sz w:val="18"/>
            </w:rPr>
          </w:pPr>
          <w:r>
            <w:rPr>
              <w:rFonts w:ascii="Arial" w:hAnsi="Arial"/>
              <w:sz w:val="18"/>
            </w:rPr>
            <w:t>PR.004</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686AAE">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686AAE">
            <w:rPr>
              <w:rFonts w:ascii="Arial" w:hAnsi="Arial"/>
              <w:noProof/>
              <w:snapToGrid w:val="0"/>
              <w:sz w:val="18"/>
            </w:rPr>
            <w:t>1</w:t>
          </w:r>
          <w:r>
            <w:rPr>
              <w:rFonts w:ascii="Arial" w:hAnsi="Arial"/>
              <w:snapToGrid w:val="0"/>
              <w:sz w:val="18"/>
            </w:rPr>
            <w:fldChar w:fldCharType="end"/>
          </w:r>
        </w:p>
      </w:tc>
    </w:tr>
  </w:tbl>
  <w:p w:rsidR="006C5F8D" w:rsidRDefault="006C5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F30" w:rsidRDefault="00F27F30">
      <w:r>
        <w:separator/>
      </w:r>
    </w:p>
  </w:footnote>
  <w:footnote w:type="continuationSeparator" w:id="0">
    <w:p w:rsidR="00F27F30" w:rsidRDefault="00F2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F8D" w:rsidRPr="00554F78" w:rsidRDefault="006C5F8D">
    <w:pPr>
      <w:pStyle w:val="Header"/>
      <w:jc w:val="center"/>
      <w:rPr>
        <w:rFonts w:ascii="Arial" w:hAnsi="Arial"/>
        <w:b/>
        <w:sz w:val="28"/>
        <w:lang w:val="fr-CA"/>
      </w:rPr>
    </w:pPr>
    <w:r>
      <w:rPr>
        <w:rFonts w:ascii="Arial" w:hAnsi="Arial"/>
        <w:b/>
        <w:bCs/>
        <w:sz w:val="28"/>
        <w:lang w:val="fr-CA"/>
      </w:rPr>
      <w:t xml:space="preserve">Préparation de </w:t>
    </w:r>
    <w:proofErr w:type="spellStart"/>
    <w:r>
      <w:rPr>
        <w:rFonts w:ascii="Arial" w:hAnsi="Arial"/>
        <w:b/>
        <w:bCs/>
        <w:sz w:val="28"/>
        <w:lang w:val="fr-CA"/>
      </w:rPr>
      <w:t>dithiothréitol</w:t>
    </w:r>
    <w:proofErr w:type="spellEnd"/>
    <w:r>
      <w:rPr>
        <w:rFonts w:ascii="Arial" w:hAnsi="Arial"/>
        <w:b/>
        <w:bCs/>
        <w:sz w:val="28"/>
        <w:lang w:val="fr-CA"/>
      </w:rPr>
      <w:t xml:space="preserve"> (0,2 M et 0,01 M)</w:t>
    </w:r>
  </w:p>
  <w:p w:rsidR="006C5F8D" w:rsidRPr="00554F78" w:rsidRDefault="006C5F8D">
    <w:pPr>
      <w:pStyle w:val="Header"/>
      <w:rPr>
        <w:rFonts w:ascii="Arial" w:hAnsi="Arial"/>
        <w:sz w:val="18"/>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9AB" w:rsidRDefault="00161534" w:rsidP="009279AB">
    <w:pPr>
      <w:pStyle w:val="Header"/>
      <w:rPr>
        <w:rFonts w:ascii="Verdana" w:hAnsi="Verdana"/>
        <w:sz w:val="8"/>
      </w:rPr>
    </w:pPr>
    <w:r>
      <w:rPr>
        <w:rFonts w:ascii="Verdana" w:hAnsi="Verdana"/>
        <w:noProof/>
        <w:sz w:val="8"/>
      </w:rPr>
      <w:drawing>
        <wp:inline distT="0" distB="0" distL="0" distR="0">
          <wp:extent cx="1257300" cy="4191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rsidR="00554F78" w:rsidRDefault="00554F78" w:rsidP="009279AB">
    <w:pPr>
      <w:pStyle w:val="Header"/>
      <w:rPr>
        <w:rFonts w:ascii="Verdana" w:hAnsi="Verdana"/>
        <w:sz w:val="8"/>
      </w:rPr>
    </w:pPr>
  </w:p>
  <w:p w:rsidR="009279AB" w:rsidRPr="000C64D0" w:rsidRDefault="009279AB" w:rsidP="009279AB">
    <w:pPr>
      <w:pStyle w:val="Header"/>
      <w:jc w:val="center"/>
      <w:rPr>
        <w:rFonts w:ascii="Arial" w:hAnsi="Arial" w:cs="Arial"/>
        <w:b/>
        <w:bCs/>
        <w:sz w:val="28"/>
        <w:szCs w:val="28"/>
        <w:lang w:val="fr-CA"/>
      </w:rPr>
    </w:pPr>
    <w:r w:rsidRPr="000C64D0">
      <w:rPr>
        <w:rFonts w:ascii="Arial" w:hAnsi="Arial" w:cs="Arial"/>
        <w:b/>
        <w:bCs/>
        <w:sz w:val="28"/>
        <w:szCs w:val="28"/>
        <w:lang w:val="fr-CA"/>
      </w:rPr>
      <w:t>Réseau régional ontarien de coordination du sang</w:t>
    </w:r>
  </w:p>
  <w:p w:rsidR="009279AB" w:rsidRPr="000C64D0" w:rsidRDefault="009279AB" w:rsidP="009279AB">
    <w:pPr>
      <w:pStyle w:val="Header"/>
      <w:jc w:val="center"/>
      <w:rPr>
        <w:rFonts w:ascii="Arial" w:hAnsi="Arial" w:cs="Arial"/>
        <w:b/>
        <w:bCs/>
        <w:sz w:val="28"/>
        <w:szCs w:val="28"/>
        <w:lang w:val="fr-CA"/>
      </w:rPr>
    </w:pPr>
    <w:r w:rsidRPr="000C64D0">
      <w:rPr>
        <w:rFonts w:ascii="Arial" w:hAnsi="Arial" w:cs="Arial"/>
        <w:b/>
        <w:bCs/>
        <w:sz w:val="28"/>
        <w:szCs w:val="28"/>
        <w:lang w:val="fr-CA"/>
      </w:rPr>
      <w:t>Manuel de ressources techniques en transfusion de l’Ontario</w:t>
    </w:r>
  </w:p>
  <w:p w:rsidR="006C5F8D" w:rsidRDefault="006C5F8D">
    <w:pPr>
      <w:pStyle w:val="Header"/>
      <w:jc w:val="center"/>
      <w:rPr>
        <w:rFonts w:ascii="Arial" w:hAnsi="Arial"/>
        <w:b/>
        <w:sz w:val="28"/>
        <w:lang w:val="fr-CA"/>
      </w:rPr>
    </w:pPr>
  </w:p>
  <w:p w:rsidR="006C5F8D" w:rsidRDefault="006C5F8D">
    <w:pPr>
      <w:pStyle w:val="Header"/>
      <w:jc w:val="center"/>
      <w:rPr>
        <w:rFonts w:ascii="Arial" w:hAnsi="Arial"/>
        <w:b/>
        <w:sz w:val="28"/>
        <w:lang w:val="fr-CA"/>
      </w:rPr>
    </w:pPr>
    <w:r>
      <w:rPr>
        <w:rFonts w:ascii="Arial" w:hAnsi="Arial"/>
        <w:b/>
        <w:bCs/>
        <w:sz w:val="28"/>
        <w:lang w:val="fr-CA"/>
      </w:rPr>
      <w:t xml:space="preserve">Préparation de </w:t>
    </w:r>
    <w:proofErr w:type="spellStart"/>
    <w:r>
      <w:rPr>
        <w:rFonts w:ascii="Arial" w:hAnsi="Arial"/>
        <w:b/>
        <w:bCs/>
        <w:sz w:val="28"/>
        <w:lang w:val="fr-CA"/>
      </w:rPr>
      <w:t>dithiothréitol</w:t>
    </w:r>
    <w:proofErr w:type="spellEnd"/>
    <w:r>
      <w:rPr>
        <w:rFonts w:ascii="Arial" w:hAnsi="Arial"/>
        <w:b/>
        <w:bCs/>
        <w:sz w:val="28"/>
        <w:lang w:val="fr-CA"/>
      </w:rPr>
      <w:t xml:space="preserve"> (0</w:t>
    </w:r>
    <w:r w:rsidRPr="00505320">
      <w:rPr>
        <w:rFonts w:ascii="Arial" w:hAnsi="Arial"/>
        <w:b/>
        <w:bCs/>
        <w:sz w:val="28"/>
        <w:lang w:val="fr-CA"/>
      </w:rPr>
      <w:t>,</w:t>
    </w:r>
    <w:r>
      <w:rPr>
        <w:rFonts w:ascii="Arial" w:hAnsi="Arial"/>
        <w:b/>
        <w:bCs/>
        <w:sz w:val="28"/>
        <w:lang w:val="fr-CA"/>
      </w:rPr>
      <w:t>2 M et 0</w:t>
    </w:r>
    <w:r w:rsidRPr="00505320">
      <w:rPr>
        <w:rFonts w:ascii="Arial" w:hAnsi="Arial"/>
        <w:b/>
        <w:bCs/>
        <w:sz w:val="28"/>
        <w:lang w:val="fr-CA"/>
      </w:rPr>
      <w:t>,</w:t>
    </w:r>
    <w:r>
      <w:rPr>
        <w:rFonts w:ascii="Arial" w:hAnsi="Arial"/>
        <w:b/>
        <w:bCs/>
        <w:sz w:val="28"/>
        <w:lang w:val="fr-CA"/>
      </w:rPr>
      <w:t>01 M)</w:t>
    </w:r>
  </w:p>
  <w:p w:rsidR="006C5F8D" w:rsidRPr="00554F78" w:rsidRDefault="006C5F8D">
    <w:pPr>
      <w:pStyle w:val="Header"/>
      <w:jc w:val="center"/>
      <w:rPr>
        <w:rFonts w:ascii="Arial" w:hAnsi="Arial"/>
        <w:b/>
        <w:spacing w:val="-2"/>
        <w:sz w:val="28"/>
        <w:lang w:val="fr-CA"/>
      </w:rPr>
    </w:pPr>
  </w:p>
  <w:p w:rsidR="006C5F8D" w:rsidRPr="00554F78" w:rsidRDefault="006C5F8D">
    <w:pPr>
      <w:pStyle w:val="Header"/>
      <w:jc w:val="center"/>
      <w:rPr>
        <w:rFonts w:ascii="Arial" w:hAnsi="Arial" w:cs="Arial"/>
        <w:b/>
        <w:bCs/>
        <w:lang w:val="fr-CA"/>
      </w:rPr>
    </w:pPr>
    <w:r w:rsidRPr="00554F78">
      <w:rPr>
        <w:rFonts w:ascii="Arial" w:hAnsi="Arial" w:cs="Arial"/>
        <w:b/>
        <w:bCs/>
        <w:lang w:val="fr-CA"/>
      </w:rPr>
      <w:tab/>
    </w:r>
    <w:r w:rsidR="00161534">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C294"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z0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naXpUwqq0cGXkGK4aKzzn7juUDBKLIF0BCanrfOBCCmGkPCO0hsh&#10;ZVRbKtSXeDGdTOMFp6VgwRnCnD3sK2nRiYR+iV/MCjyPYVYfFYtgLSdsfbM9EfJqw+NSBTxIBejc&#10;rGtD/Fiki/V8Pc9H+WS2HuVpXY8+bqp8NNtkT9P6Q11VdfYzUMvyohWMcRXYDc2Z5X8n/m1Mrm11&#10;b897GZK36LFeQHb4R9JRyyBfmCZX7DW77OygMfRjDL7NTmj4xz3YjxO++gU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MHeLPQT&#10;AgAAKQ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321"/>
      <w:gridCol w:w="4319"/>
    </w:tblGrid>
    <w:tr w:rsidR="006C5F8D">
      <w:tc>
        <w:tcPr>
          <w:tcW w:w="4428" w:type="dxa"/>
        </w:tcPr>
        <w:p w:rsidR="006C5F8D" w:rsidRDefault="006C5F8D" w:rsidP="0008585D">
          <w:pPr>
            <w:pStyle w:val="Header"/>
            <w:rPr>
              <w:rFonts w:ascii="Arial" w:hAnsi="Arial" w:cs="Arial"/>
              <w:lang w:val="fr-CA"/>
            </w:rPr>
          </w:pPr>
          <w:r>
            <w:rPr>
              <w:rFonts w:ascii="Arial" w:hAnsi="Arial" w:cs="Arial"/>
              <w:lang w:val="fr-CA"/>
            </w:rPr>
            <w:t>Approbation :</w:t>
          </w:r>
          <w:r w:rsidR="00937F51">
            <w:rPr>
              <w:rFonts w:ascii="Arial" w:hAnsi="Arial" w:cs="Arial"/>
              <w:lang w:val="fr-CA"/>
            </w:rPr>
            <w:t xml:space="preserve"> </w:t>
          </w:r>
        </w:p>
      </w:tc>
      <w:tc>
        <w:tcPr>
          <w:tcW w:w="4428" w:type="dxa"/>
        </w:tcPr>
        <w:p w:rsidR="006C5F8D" w:rsidRDefault="006C5F8D">
          <w:pPr>
            <w:pStyle w:val="Header"/>
            <w:rPr>
              <w:rFonts w:ascii="Arial" w:hAnsi="Arial" w:cs="Arial"/>
              <w:lang w:val="fr-CA"/>
            </w:rPr>
          </w:pPr>
          <w:r>
            <w:rPr>
              <w:rFonts w:ascii="Arial" w:hAnsi="Arial" w:cs="Arial"/>
              <w:lang w:val="fr-CA"/>
            </w:rPr>
            <w:t>Document n</w:t>
          </w:r>
          <w:r>
            <w:rPr>
              <w:rFonts w:ascii="Arial" w:hAnsi="Arial" w:cs="Arial"/>
              <w:vertAlign w:val="superscript"/>
              <w:lang w:val="fr-CA"/>
            </w:rPr>
            <w:t>o</w:t>
          </w:r>
          <w:r>
            <w:rPr>
              <w:rFonts w:ascii="Arial" w:hAnsi="Arial" w:cs="Arial"/>
              <w:lang w:val="fr-CA"/>
            </w:rPr>
            <w:t xml:space="preserve"> : PR.004</w:t>
          </w:r>
        </w:p>
      </w:tc>
    </w:tr>
    <w:tr w:rsidR="006C5F8D">
      <w:tc>
        <w:tcPr>
          <w:tcW w:w="4428" w:type="dxa"/>
        </w:tcPr>
        <w:p w:rsidR="006C5F8D" w:rsidRDefault="006C5F8D">
          <w:pPr>
            <w:pStyle w:val="Header"/>
            <w:rPr>
              <w:rFonts w:ascii="Arial" w:hAnsi="Arial" w:cs="Arial"/>
              <w:lang w:val="fr-CA"/>
            </w:rPr>
          </w:pPr>
          <w:r>
            <w:rPr>
              <w:rFonts w:ascii="Arial" w:hAnsi="Arial" w:cs="Arial"/>
              <w:lang w:val="fr-CA"/>
            </w:rPr>
            <w:t>Date de publication : 2006/0</w:t>
          </w:r>
          <w:r w:rsidR="00BA511C">
            <w:rPr>
              <w:rFonts w:ascii="Arial" w:hAnsi="Arial" w:cs="Arial"/>
              <w:lang w:val="fr-CA"/>
            </w:rPr>
            <w:t>8</w:t>
          </w:r>
          <w:r>
            <w:rPr>
              <w:rFonts w:ascii="Arial" w:hAnsi="Arial" w:cs="Arial"/>
              <w:lang w:val="fr-CA"/>
            </w:rPr>
            <w:t>/01</w:t>
          </w:r>
        </w:p>
      </w:tc>
      <w:tc>
        <w:tcPr>
          <w:tcW w:w="4428" w:type="dxa"/>
        </w:tcPr>
        <w:p w:rsidR="006C5F8D" w:rsidRDefault="006C5F8D">
          <w:pPr>
            <w:pStyle w:val="Header"/>
            <w:rPr>
              <w:rFonts w:ascii="Arial" w:hAnsi="Arial" w:cs="Arial"/>
              <w:lang w:val="fr-CA"/>
            </w:rPr>
          </w:pPr>
          <w:r>
            <w:rPr>
              <w:rFonts w:ascii="Arial" w:hAnsi="Arial" w:cs="Arial"/>
              <w:lang w:val="fr-CA"/>
            </w:rPr>
            <w:t>Catégorie : Préparation des réactifs</w:t>
          </w:r>
        </w:p>
      </w:tc>
    </w:tr>
    <w:tr w:rsidR="006C5F8D">
      <w:tc>
        <w:tcPr>
          <w:tcW w:w="4428" w:type="dxa"/>
        </w:tcPr>
        <w:p w:rsidR="006C5F8D" w:rsidRDefault="006C5F8D" w:rsidP="00C16003">
          <w:pPr>
            <w:pStyle w:val="Header"/>
            <w:rPr>
              <w:rFonts w:ascii="Arial" w:hAnsi="Arial" w:cs="Arial"/>
              <w:lang w:val="fr-CA"/>
            </w:rPr>
          </w:pPr>
          <w:r>
            <w:rPr>
              <w:rFonts w:ascii="Arial" w:hAnsi="Arial" w:cs="Arial"/>
              <w:lang w:val="fr-CA"/>
            </w:rPr>
            <w:t>Date de révision :</w:t>
          </w:r>
          <w:r w:rsidR="00937F51">
            <w:rPr>
              <w:rFonts w:ascii="Arial" w:hAnsi="Arial" w:cs="Arial"/>
              <w:lang w:val="fr-CA"/>
            </w:rPr>
            <w:t xml:space="preserve"> 2009/12/31</w:t>
          </w:r>
          <w:r w:rsidR="0008585D">
            <w:rPr>
              <w:rFonts w:ascii="Arial" w:hAnsi="Arial" w:cs="Arial"/>
              <w:lang w:val="fr-CA"/>
            </w:rPr>
            <w:t xml:space="preserve">; </w:t>
          </w:r>
          <w:r w:rsidR="0008585D" w:rsidRPr="00554F78">
            <w:rPr>
              <w:rFonts w:ascii="Arial" w:hAnsi="Arial" w:cs="Arial"/>
              <w:lang w:val="fr-CA"/>
            </w:rPr>
            <w:t>201</w:t>
          </w:r>
          <w:r w:rsidR="00C16003" w:rsidRPr="00554F78">
            <w:rPr>
              <w:rFonts w:ascii="Arial" w:hAnsi="Arial" w:cs="Arial"/>
              <w:lang w:val="fr-CA"/>
            </w:rPr>
            <w:t>4</w:t>
          </w:r>
          <w:r w:rsidR="0008585D" w:rsidRPr="00554F78">
            <w:rPr>
              <w:rFonts w:ascii="Arial" w:hAnsi="Arial" w:cs="Arial"/>
              <w:lang w:val="fr-CA"/>
            </w:rPr>
            <w:t>/</w:t>
          </w:r>
          <w:r w:rsidR="00744866" w:rsidRPr="00554F78">
            <w:rPr>
              <w:rFonts w:ascii="Arial" w:hAnsi="Arial" w:cs="Arial"/>
              <w:lang w:val="fr-CA"/>
            </w:rPr>
            <w:t>12</w:t>
          </w:r>
          <w:r w:rsidR="0008585D" w:rsidRPr="00554F78">
            <w:rPr>
              <w:rFonts w:ascii="Arial" w:hAnsi="Arial" w:cs="Arial"/>
              <w:lang w:val="fr-CA"/>
            </w:rPr>
            <w:t>/01</w:t>
          </w:r>
        </w:p>
      </w:tc>
      <w:tc>
        <w:tcPr>
          <w:tcW w:w="4428" w:type="dxa"/>
        </w:tcPr>
        <w:p w:rsidR="006C5F8D" w:rsidRDefault="006C5F8D">
          <w:pPr>
            <w:pStyle w:val="Header"/>
            <w:rPr>
              <w:rFonts w:ascii="Arial" w:hAnsi="Arial" w:cs="Arial"/>
              <w:lang w:val="fr-CA"/>
            </w:rPr>
          </w:pPr>
          <w:r>
            <w:rPr>
              <w:rFonts w:ascii="Arial" w:hAnsi="Arial" w:cs="Arial"/>
              <w:lang w:val="fr-CA"/>
            </w:rPr>
            <w:t>Page</w:t>
          </w:r>
          <w:r w:rsidR="00F06FD7">
            <w:rPr>
              <w:rFonts w:ascii="Arial" w:hAnsi="Arial" w:cs="Arial"/>
              <w:lang w:val="fr-CA"/>
            </w:rPr>
            <w:t xml:space="preserve">s : </w:t>
          </w:r>
          <w:r>
            <w:rPr>
              <w:rFonts w:ascii="Arial" w:hAnsi="Arial" w:cs="Arial"/>
              <w:lang w:val="fr-CA"/>
            </w:rPr>
            <w:fldChar w:fldCharType="begin"/>
          </w:r>
          <w:r>
            <w:rPr>
              <w:rFonts w:ascii="Arial" w:hAnsi="Arial" w:cs="Arial"/>
              <w:lang w:val="fr-CA"/>
            </w:rPr>
            <w:instrText xml:space="preserve"> NUMPAGES </w:instrText>
          </w:r>
          <w:r>
            <w:rPr>
              <w:rFonts w:ascii="Arial" w:hAnsi="Arial" w:cs="Arial"/>
              <w:lang w:val="fr-CA"/>
            </w:rPr>
            <w:fldChar w:fldCharType="separate"/>
          </w:r>
          <w:r w:rsidR="00686AAE">
            <w:rPr>
              <w:rFonts w:ascii="Arial" w:hAnsi="Arial" w:cs="Arial"/>
              <w:noProof/>
              <w:lang w:val="fr-CA"/>
            </w:rPr>
            <w:t>1</w:t>
          </w:r>
          <w:r>
            <w:rPr>
              <w:rFonts w:ascii="Arial" w:hAnsi="Arial" w:cs="Arial"/>
              <w:lang w:val="fr-CA"/>
            </w:rPr>
            <w:fldChar w:fldCharType="end"/>
          </w:r>
        </w:p>
      </w:tc>
    </w:tr>
  </w:tbl>
  <w:p w:rsidR="006C5F8D" w:rsidRDefault="00161534">
    <w:pPr>
      <w:pStyle w:val="Header"/>
      <w:tabs>
        <w:tab w:val="clear" w:pos="8640"/>
        <w:tab w:val="left" w:pos="4714"/>
      </w:tabs>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34583"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0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GLgvTMR&#10;AgAAKAQAAA4AAAAAAAAAAAAAAAAALgIAAGRycy9lMm9Eb2MueG1sUEsBAi0AFAAGAAgAAAAhAB89&#10;mnTcAAAACAEAAA8AAAAAAAAAAAAAAAAAawQAAGRycy9kb3ducmV2LnhtbFBLBQYAAAAABAAEAPMA&#10;AAB0BQAAAAA=&#10;"/>
          </w:pict>
        </mc:Fallback>
      </mc:AlternateContent>
    </w:r>
    <w:r w:rsidR="006C5F8D">
      <w:rPr>
        <w:rFonts w:ascii="Arial" w:hAnsi="Arial" w:cs="Arial"/>
      </w:rPr>
      <w:tab/>
    </w:r>
    <w:r w:rsidR="006C5F8D">
      <w:rPr>
        <w:rFonts w:ascii="Arial" w:hAnsi="Arial" w:cs="Arial"/>
      </w:rPr>
      <w:tab/>
    </w:r>
  </w:p>
  <w:p w:rsidR="006C5F8D" w:rsidRDefault="006C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A8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B792486"/>
    <w:multiLevelType w:val="singleLevel"/>
    <w:tmpl w:val="CFD00C54"/>
    <w:lvl w:ilvl="0">
      <w:start w:val="1"/>
      <w:numFmt w:val="decimal"/>
      <w:lvlText w:val="%1."/>
      <w:lvlJc w:val="left"/>
      <w:pPr>
        <w:tabs>
          <w:tab w:val="num" w:pos="360"/>
        </w:tabs>
        <w:ind w:left="360" w:hanging="360"/>
      </w:pPr>
      <w:rPr>
        <w:b w:val="0"/>
        <w:i w:val="0"/>
      </w:rPr>
    </w:lvl>
  </w:abstractNum>
  <w:abstractNum w:abstractNumId="7"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7"/>
  </w:num>
  <w:num w:numId="3">
    <w:abstractNumId w:val="2"/>
  </w:num>
  <w:num w:numId="4">
    <w:abstractNumId w:val="1"/>
  </w:num>
  <w:num w:numId="5">
    <w:abstractNumId w:val="11"/>
  </w:num>
  <w:num w:numId="6">
    <w:abstractNumId w:val="10"/>
  </w:num>
  <w:num w:numId="7">
    <w:abstractNumId w:val="8"/>
  </w:num>
  <w:num w:numId="8">
    <w:abstractNumId w:val="0"/>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57"/>
    <w:rsid w:val="00070144"/>
    <w:rsid w:val="0008585D"/>
    <w:rsid w:val="000936A4"/>
    <w:rsid w:val="00125A23"/>
    <w:rsid w:val="00161534"/>
    <w:rsid w:val="00181468"/>
    <w:rsid w:val="001D50F1"/>
    <w:rsid w:val="0036002D"/>
    <w:rsid w:val="00360312"/>
    <w:rsid w:val="00383EE3"/>
    <w:rsid w:val="003B20A2"/>
    <w:rsid w:val="003B3D16"/>
    <w:rsid w:val="00502BBE"/>
    <w:rsid w:val="00505320"/>
    <w:rsid w:val="005366C0"/>
    <w:rsid w:val="00554F78"/>
    <w:rsid w:val="00595A5F"/>
    <w:rsid w:val="005D69C8"/>
    <w:rsid w:val="005F6480"/>
    <w:rsid w:val="00686AAE"/>
    <w:rsid w:val="006A2601"/>
    <w:rsid w:val="006C5F8D"/>
    <w:rsid w:val="00730AA3"/>
    <w:rsid w:val="00744866"/>
    <w:rsid w:val="00797A60"/>
    <w:rsid w:val="007E68EE"/>
    <w:rsid w:val="00841ACC"/>
    <w:rsid w:val="008E1D64"/>
    <w:rsid w:val="008F3E35"/>
    <w:rsid w:val="009279AB"/>
    <w:rsid w:val="00937F51"/>
    <w:rsid w:val="00950396"/>
    <w:rsid w:val="009A3F18"/>
    <w:rsid w:val="009B03D3"/>
    <w:rsid w:val="009B7952"/>
    <w:rsid w:val="00B22473"/>
    <w:rsid w:val="00B76E34"/>
    <w:rsid w:val="00BA511C"/>
    <w:rsid w:val="00C16003"/>
    <w:rsid w:val="00C55711"/>
    <w:rsid w:val="00C80464"/>
    <w:rsid w:val="00CB5C57"/>
    <w:rsid w:val="00CD690D"/>
    <w:rsid w:val="00CD7B67"/>
    <w:rsid w:val="00D11512"/>
    <w:rsid w:val="00D33D96"/>
    <w:rsid w:val="00E06198"/>
    <w:rsid w:val="00E63980"/>
    <w:rsid w:val="00EE022D"/>
    <w:rsid w:val="00F06FD7"/>
    <w:rsid w:val="00F27F30"/>
    <w:rsid w:val="00F6332F"/>
    <w:rsid w:val="00FD7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B668EC-CC6B-4714-8385-5BE5C926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505320"/>
    <w:rPr>
      <w:rFonts w:ascii="Tahoma" w:hAnsi="Tahoma" w:cs="Tahoma"/>
      <w:sz w:val="16"/>
      <w:szCs w:val="16"/>
    </w:rPr>
  </w:style>
  <w:style w:type="character" w:styleId="SubtleReference">
    <w:name w:val="Subtle Reference"/>
    <w:uiPriority w:val="31"/>
    <w:qFormat/>
    <w:rsid w:val="005366C0"/>
    <w:rPr>
      <w:smallCaps/>
      <w:color w:val="C0504D"/>
      <w:u w:val="single"/>
    </w:rPr>
  </w:style>
  <w:style w:type="paragraph" w:styleId="ListParagraph">
    <w:name w:val="List Paragraph"/>
    <w:basedOn w:val="Normal"/>
    <w:uiPriority w:val="34"/>
    <w:qFormat/>
    <w:rsid w:val="00F6332F"/>
    <w:pPr>
      <w:ind w:left="708"/>
    </w:pPr>
  </w:style>
  <w:style w:type="character" w:styleId="Hyperlink">
    <w:name w:val="Hyperlink"/>
    <w:rsid w:val="000858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mi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9A2E-9E20-4167-9309-20CD05CF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RP.004 Preparation of Dithiothreitol(0.2M and .0.1M)</vt:lpstr>
      <vt:lpstr>RP.004 Preparation of Dithiothreitol(0.2M and .0.1M)</vt:lpstr>
    </vt:vector>
  </TitlesOfParts>
  <Company>Microsoft</Company>
  <LinksUpToDate>false</LinksUpToDate>
  <CharactersWithSpaces>1970</CharactersWithSpaces>
  <SharedDoc>false</SharedDoc>
  <HLinks>
    <vt:vector size="6" baseType="variant">
      <vt:variant>
        <vt:i4>917534</vt:i4>
      </vt:variant>
      <vt:variant>
        <vt:i4>0</vt:i4>
      </vt:variant>
      <vt:variant>
        <vt:i4>0</vt:i4>
      </vt:variant>
      <vt:variant>
        <vt:i4>5</vt:i4>
      </vt:variant>
      <vt:variant>
        <vt:lpwstr>http://www.whmis.ca/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RP.004 Preparation of Dithiothreitol(0.2M and .0.1M)</dc:title>
  <dc:subject/>
  <dc:creator>Transfusion Ontario Program Office</dc:creator>
  <cp:keywords/>
  <cp:lastModifiedBy>Nesrallah, Heather</cp:lastModifiedBy>
  <cp:revision>2</cp:revision>
  <cp:lastPrinted>2010-03-09T18:22:00Z</cp:lastPrinted>
  <dcterms:created xsi:type="dcterms:W3CDTF">2020-08-11T20:19:00Z</dcterms:created>
  <dcterms:modified xsi:type="dcterms:W3CDTF">2020-08-11T20:19:00Z</dcterms:modified>
</cp:coreProperties>
</file>