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2F7F35" w:rsidRDefault="002F7F35">
      <w:pPr>
        <w:rPr>
          <w:rFonts w:ascii="Arial" w:hAnsi="Arial"/>
          <w:b/>
          <w:sz w:val="24"/>
          <w:lang w:val="fr-CA"/>
        </w:rPr>
      </w:pP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L’incubation de sang </w:t>
      </w:r>
      <w:r w:rsidR="00235314">
        <w:rPr>
          <w:rFonts w:ascii="Arial" w:hAnsi="Arial"/>
          <w:sz w:val="24"/>
          <w:lang w:val="fr-CA"/>
        </w:rPr>
        <w:t>total</w:t>
      </w:r>
      <w:r>
        <w:rPr>
          <w:rFonts w:ascii="Arial" w:hAnsi="Arial"/>
          <w:sz w:val="24"/>
          <w:lang w:val="fr-CA"/>
        </w:rPr>
        <w:t xml:space="preserve"> dans une solution de saccharose à faible concentration ionique facilite </w:t>
      </w:r>
      <w:r w:rsidRPr="007A446C">
        <w:rPr>
          <w:rFonts w:ascii="Arial" w:hAnsi="Arial"/>
          <w:sz w:val="24"/>
          <w:lang w:val="fr-CA"/>
        </w:rPr>
        <w:t>l’absorption de composants de complément sur les globules rouges</w:t>
      </w:r>
      <w:r>
        <w:rPr>
          <w:rFonts w:ascii="Arial" w:hAnsi="Arial"/>
          <w:sz w:val="24"/>
          <w:lang w:val="fr-CA"/>
        </w:rPr>
        <w:t xml:space="preserve">. La trypsine </w:t>
      </w:r>
      <w:r w:rsidR="00433454">
        <w:rPr>
          <w:rFonts w:ascii="Arial" w:hAnsi="Arial"/>
          <w:sz w:val="24"/>
          <w:lang w:val="fr-CA"/>
        </w:rPr>
        <w:t>scinde</w:t>
      </w:r>
      <w:r>
        <w:rPr>
          <w:rFonts w:ascii="Arial" w:hAnsi="Arial"/>
          <w:sz w:val="24"/>
          <w:lang w:val="fr-CA"/>
        </w:rPr>
        <w:t xml:space="preserve"> le C3b pour exposer les sites C3d et C4d.</w:t>
      </w:r>
      <w:r w:rsidR="00215D94">
        <w:rPr>
          <w:rFonts w:ascii="Arial" w:hAnsi="Arial"/>
          <w:sz w:val="24"/>
          <w:lang w:val="fr-CA"/>
        </w:rPr>
        <w:t xml:space="preserve"> L’anti-C3d est utilisée dans des réactifs </w:t>
      </w:r>
      <w:proofErr w:type="spellStart"/>
      <w:r w:rsidR="00215D94">
        <w:rPr>
          <w:rFonts w:ascii="Arial" w:hAnsi="Arial"/>
          <w:sz w:val="24"/>
          <w:lang w:val="fr-CA"/>
        </w:rPr>
        <w:t>anti-GAH</w:t>
      </w:r>
      <w:proofErr w:type="spellEnd"/>
      <w:r w:rsidR="00215D94">
        <w:rPr>
          <w:rFonts w:ascii="Arial" w:hAnsi="Arial"/>
          <w:sz w:val="24"/>
          <w:lang w:val="fr-CA"/>
        </w:rPr>
        <w:t xml:space="preserve"> </w:t>
      </w:r>
      <w:proofErr w:type="spellStart"/>
      <w:r w:rsidR="00235314">
        <w:rPr>
          <w:rFonts w:ascii="Arial" w:hAnsi="Arial"/>
          <w:sz w:val="24"/>
          <w:lang w:val="fr-CA"/>
        </w:rPr>
        <w:t>polyspécifiques</w:t>
      </w:r>
      <w:proofErr w:type="spellEnd"/>
      <w:r w:rsidR="00235314">
        <w:rPr>
          <w:rFonts w:ascii="Arial" w:hAnsi="Arial"/>
          <w:sz w:val="24"/>
          <w:lang w:val="fr-CA"/>
        </w:rPr>
        <w:t xml:space="preserve"> </w:t>
      </w:r>
      <w:r w:rsidR="00215D94">
        <w:rPr>
          <w:rFonts w:ascii="Arial" w:hAnsi="Arial"/>
          <w:sz w:val="24"/>
          <w:lang w:val="fr-CA"/>
        </w:rPr>
        <w:t xml:space="preserve">et </w:t>
      </w:r>
      <w:r w:rsidR="00235314">
        <w:rPr>
          <w:rFonts w:ascii="Arial" w:hAnsi="Arial"/>
          <w:sz w:val="24"/>
          <w:lang w:val="fr-CA"/>
        </w:rPr>
        <w:t xml:space="preserve">des réactifs </w:t>
      </w:r>
      <w:r w:rsidR="00215D94">
        <w:rPr>
          <w:rFonts w:ascii="Arial" w:hAnsi="Arial"/>
          <w:sz w:val="24"/>
          <w:lang w:val="fr-CA"/>
        </w:rPr>
        <w:t>anti-complément</w:t>
      </w:r>
      <w:r w:rsidR="00235314">
        <w:rPr>
          <w:rFonts w:ascii="Arial" w:hAnsi="Arial"/>
          <w:sz w:val="24"/>
          <w:lang w:val="fr-CA"/>
        </w:rPr>
        <w:t>s</w:t>
      </w:r>
      <w:r w:rsidR="00215D94">
        <w:rPr>
          <w:rFonts w:ascii="Arial" w:hAnsi="Arial"/>
          <w:sz w:val="24"/>
          <w:lang w:val="fr-CA"/>
        </w:rPr>
        <w:t xml:space="preserve"> monospécifique</w:t>
      </w:r>
      <w:r w:rsidR="00235314">
        <w:rPr>
          <w:rFonts w:ascii="Arial" w:hAnsi="Arial"/>
          <w:sz w:val="24"/>
          <w:lang w:val="fr-CA"/>
        </w:rPr>
        <w:t>s</w:t>
      </w:r>
      <w:r w:rsidR="00215D94">
        <w:rPr>
          <w:rFonts w:ascii="Arial" w:hAnsi="Arial"/>
          <w:sz w:val="24"/>
          <w:lang w:val="fr-CA"/>
        </w:rPr>
        <w:t xml:space="preserve"> pour dépister le complément qui enrobe les globules rouges </w:t>
      </w:r>
      <w:r w:rsidR="00215D94" w:rsidRPr="00215D94">
        <w:rPr>
          <w:rFonts w:ascii="Arial" w:hAnsi="Arial"/>
          <w:i/>
          <w:sz w:val="24"/>
          <w:lang w:val="fr-CA"/>
        </w:rPr>
        <w:t>in vivo</w:t>
      </w:r>
      <w:r w:rsidR="00215D94">
        <w:rPr>
          <w:rFonts w:ascii="Arial" w:hAnsi="Arial"/>
          <w:sz w:val="24"/>
          <w:lang w:val="fr-CA"/>
        </w:rPr>
        <w:t>.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Portée et politiques connexes</w:t>
      </w:r>
    </w:p>
    <w:p w:rsidR="002F7F35" w:rsidRDefault="002F7F35">
      <w:pPr>
        <w:rPr>
          <w:rFonts w:ascii="Arial" w:hAnsi="Arial"/>
          <w:b/>
          <w:sz w:val="24"/>
          <w:lang w:val="fr-CA"/>
        </w:rPr>
      </w:pPr>
    </w:p>
    <w:p w:rsidR="00215D94" w:rsidRPr="00215D94" w:rsidRDefault="00215D94">
      <w:pPr>
        <w:numPr>
          <w:ilvl w:val="1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z w:val="24"/>
          <w:lang w:val="fr-CA"/>
        </w:rPr>
        <w:t>Tout réactif préparé en laboratoire interne qui contient une substance contrôlée doit être étiqueté conformément au règlement du SIMDUT</w:t>
      </w:r>
      <w:r w:rsidR="00FD5567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vertAlign w:val="superscript"/>
          <w:lang w:val="fr-CA"/>
        </w:rPr>
        <w:t>9.1</w:t>
      </w:r>
      <w:r w:rsidRPr="00FD5567">
        <w:rPr>
          <w:rFonts w:ascii="Arial" w:hAnsi="Arial"/>
          <w:sz w:val="24"/>
          <w:lang w:val="fr-CA"/>
        </w:rPr>
        <w:t>.</w:t>
      </w:r>
    </w:p>
    <w:p w:rsidR="00215D94" w:rsidRPr="00215D94" w:rsidRDefault="00215D94" w:rsidP="00215D94">
      <w:pPr>
        <w:suppressAutoHyphens/>
        <w:ind w:left="1440" w:right="360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Les cellules recouvertes de complément seront préparées au besoin pour l’évaluation des réactifs </w:t>
      </w:r>
      <w:r w:rsidR="00433454">
        <w:rPr>
          <w:rFonts w:ascii="Arial" w:hAnsi="Arial"/>
          <w:spacing w:val="-2"/>
          <w:sz w:val="24"/>
          <w:lang w:val="fr-CA"/>
        </w:rPr>
        <w:t>de G</w:t>
      </w:r>
      <w:r>
        <w:rPr>
          <w:rFonts w:ascii="Arial" w:hAnsi="Arial"/>
          <w:spacing w:val="-2"/>
          <w:sz w:val="24"/>
          <w:lang w:val="fr-CA"/>
        </w:rPr>
        <w:t>AH.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Congelées dans </w:t>
      </w:r>
      <w:r w:rsidRPr="007A446C">
        <w:rPr>
          <w:rFonts w:ascii="Arial" w:hAnsi="Arial"/>
          <w:spacing w:val="-2"/>
          <w:sz w:val="24"/>
          <w:lang w:val="fr-CA"/>
        </w:rPr>
        <w:t>du</w:t>
      </w:r>
      <w:r>
        <w:rPr>
          <w:rFonts w:ascii="Arial" w:hAnsi="Arial"/>
          <w:spacing w:val="-2"/>
          <w:sz w:val="24"/>
          <w:lang w:val="fr-CA"/>
        </w:rPr>
        <w:t xml:space="preserve"> LN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>, ces cellules seront bonnes pendant 10 ans.</w:t>
      </w:r>
    </w:p>
    <w:p w:rsidR="00215D94" w:rsidRDefault="00215D94" w:rsidP="00215D94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215D94" w:rsidRDefault="005F4FFB">
      <w:pPr>
        <w:numPr>
          <w:ilvl w:val="1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Pour les procédures exigeant des cellules témoins d’anti-C3d, par exemple, évaluation des réactifs </w:t>
      </w:r>
      <w:proofErr w:type="spellStart"/>
      <w:r>
        <w:rPr>
          <w:rFonts w:ascii="Arial" w:hAnsi="Arial"/>
          <w:spacing w:val="-2"/>
          <w:sz w:val="24"/>
          <w:lang w:val="fr-CA"/>
        </w:rPr>
        <w:t>anti-GAH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ou pour confirmer l’ajout d’anti-C3 à l’épreuve</w:t>
      </w:r>
      <w:r>
        <w:rPr>
          <w:rFonts w:ascii="Arial" w:hAnsi="Arial"/>
          <w:spacing w:val="-2"/>
          <w:sz w:val="24"/>
          <w:vertAlign w:val="superscript"/>
          <w:lang w:val="fr-CA"/>
        </w:rPr>
        <w:t>9.2</w:t>
      </w:r>
      <w:r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Échantillons – S.O.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2F7F35" w:rsidRDefault="002F7F35">
      <w:pPr>
        <w:rPr>
          <w:rFonts w:ascii="Arial" w:hAnsi="Arial"/>
          <w:sz w:val="24"/>
          <w:lang w:val="fr-CA"/>
        </w:rPr>
      </w:pP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:</w:t>
      </w:r>
      <w:r>
        <w:rPr>
          <w:rFonts w:ascii="Arial" w:hAnsi="Arial"/>
          <w:sz w:val="24"/>
          <w:lang w:val="fr-CA"/>
        </w:rPr>
        <w:tab/>
      </w:r>
      <w:r w:rsidR="00433454">
        <w:rPr>
          <w:rFonts w:ascii="Arial" w:hAnsi="Arial"/>
          <w:sz w:val="24"/>
          <w:lang w:val="fr-CA"/>
        </w:rPr>
        <w:t>c</w:t>
      </w:r>
      <w:r>
        <w:rPr>
          <w:rFonts w:ascii="Arial" w:hAnsi="Arial"/>
          <w:sz w:val="24"/>
          <w:lang w:val="fr-CA"/>
        </w:rPr>
        <w:t>entrifugeuse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433454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upport</w:t>
      </w:r>
      <w:proofErr w:type="gramEnd"/>
      <w:r>
        <w:rPr>
          <w:rFonts w:ascii="Arial" w:hAnsi="Arial"/>
          <w:sz w:val="24"/>
          <w:lang w:val="fr-CA"/>
        </w:rPr>
        <w:t xml:space="preserve"> à tubes</w:t>
      </w:r>
    </w:p>
    <w:p w:rsidR="002F7F35" w:rsidRDefault="002F7F35">
      <w:pPr>
        <w:ind w:left="72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7A446C">
        <w:rPr>
          <w:rFonts w:ascii="Arial" w:hAnsi="Arial"/>
          <w:sz w:val="24"/>
          <w:lang w:val="fr-CA"/>
        </w:rPr>
        <w:t>agitateur</w:t>
      </w:r>
      <w:proofErr w:type="gramEnd"/>
      <w:r w:rsidR="007A446C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mécanique </w:t>
      </w:r>
      <w:r w:rsidR="009259BB">
        <w:rPr>
          <w:rFonts w:ascii="Arial" w:hAnsi="Arial"/>
          <w:sz w:val="24"/>
          <w:lang w:val="fr-CA"/>
        </w:rPr>
        <w:t>et aimant</w:t>
      </w:r>
    </w:p>
    <w:p w:rsidR="009259BB" w:rsidRDefault="00E9744C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proofErr w:type="gramStart"/>
      <w:r>
        <w:rPr>
          <w:rFonts w:ascii="Arial" w:hAnsi="Arial"/>
          <w:spacing w:val="-2"/>
          <w:sz w:val="24"/>
          <w:lang w:val="fr-CA"/>
        </w:rPr>
        <w:t>seau</w:t>
      </w:r>
      <w:proofErr w:type="gramEnd"/>
      <w:r w:rsidR="005F4FFB">
        <w:rPr>
          <w:rFonts w:ascii="Arial" w:hAnsi="Arial"/>
          <w:spacing w:val="-2"/>
          <w:sz w:val="24"/>
          <w:lang w:val="fr-CA"/>
        </w:rPr>
        <w:t xml:space="preserve"> à glace</w:t>
      </w:r>
    </w:p>
    <w:p w:rsidR="002339D7" w:rsidRDefault="002339D7">
      <w:pPr>
        <w:ind w:left="2880"/>
        <w:rPr>
          <w:rFonts w:ascii="Arial" w:hAnsi="Arial"/>
          <w:spacing w:val="-2"/>
          <w:sz w:val="24"/>
          <w:lang w:val="fr-CA"/>
        </w:rPr>
      </w:pPr>
      <w:proofErr w:type="gramStart"/>
      <w:r>
        <w:rPr>
          <w:rFonts w:ascii="Arial" w:hAnsi="Arial"/>
          <w:spacing w:val="-2"/>
          <w:sz w:val="24"/>
          <w:lang w:val="fr-CA"/>
        </w:rPr>
        <w:lastRenderedPageBreak/>
        <w:t>cuvette</w:t>
      </w:r>
      <w:proofErr w:type="gramEnd"/>
      <w:r>
        <w:rPr>
          <w:rFonts w:ascii="Arial" w:hAnsi="Arial"/>
          <w:spacing w:val="-2"/>
          <w:sz w:val="24"/>
          <w:lang w:val="fr-CA"/>
        </w:rPr>
        <w:t xml:space="preserve"> métallique</w:t>
      </w:r>
    </w:p>
    <w:p w:rsidR="002F7F35" w:rsidRDefault="002F7F35">
      <w:pPr>
        <w:ind w:left="2880"/>
        <w:rPr>
          <w:rFonts w:ascii="Arial" w:hAnsi="Arial"/>
          <w:sz w:val="24"/>
          <w:lang w:val="fr-CA"/>
        </w:rPr>
      </w:pP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Fournitures :</w:t>
      </w:r>
      <w:r>
        <w:rPr>
          <w:rFonts w:ascii="Arial" w:hAnsi="Arial"/>
          <w:sz w:val="24"/>
          <w:lang w:val="fr-CA"/>
        </w:rPr>
        <w:tab/>
      </w:r>
      <w:r w:rsidR="00433454">
        <w:rPr>
          <w:rFonts w:ascii="Arial" w:hAnsi="Arial"/>
          <w:sz w:val="24"/>
          <w:lang w:val="fr-CA"/>
        </w:rPr>
        <w:t>t</w:t>
      </w:r>
      <w:r>
        <w:rPr>
          <w:rFonts w:ascii="Arial" w:hAnsi="Arial"/>
          <w:sz w:val="24"/>
          <w:lang w:val="fr-CA"/>
        </w:rPr>
        <w:t>ubes – 10 x 75</w:t>
      </w:r>
      <w:r w:rsidR="008D4FDF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mm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433454">
        <w:rPr>
          <w:rFonts w:ascii="Arial" w:hAnsi="Arial"/>
          <w:sz w:val="24"/>
          <w:lang w:val="fr-CA"/>
        </w:rPr>
        <w:t>p</w:t>
      </w:r>
      <w:r>
        <w:rPr>
          <w:rFonts w:ascii="Arial" w:hAnsi="Arial"/>
          <w:sz w:val="24"/>
          <w:lang w:val="fr-CA"/>
        </w:rPr>
        <w:t>ipettes</w:t>
      </w:r>
      <w:proofErr w:type="gramEnd"/>
      <w:r>
        <w:rPr>
          <w:rFonts w:ascii="Arial" w:hAnsi="Arial"/>
          <w:sz w:val="24"/>
          <w:lang w:val="fr-CA"/>
        </w:rPr>
        <w:t xml:space="preserve"> sérologiques</w:t>
      </w:r>
    </w:p>
    <w:p w:rsidR="005F4FFB" w:rsidRDefault="005F4FFB" w:rsidP="005F4FFB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proofErr w:type="gramStart"/>
      <w:r>
        <w:rPr>
          <w:rFonts w:ascii="Arial" w:hAnsi="Arial"/>
          <w:spacing w:val="-2"/>
          <w:sz w:val="24"/>
          <w:lang w:val="fr-CA"/>
        </w:rPr>
        <w:t>erlenmeyer</w:t>
      </w:r>
      <w:proofErr w:type="gramEnd"/>
    </w:p>
    <w:p w:rsidR="005F4FFB" w:rsidRDefault="005F4FFB" w:rsidP="005F4FFB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bouteille</w:t>
      </w:r>
      <w:proofErr w:type="gramEnd"/>
      <w:r>
        <w:rPr>
          <w:rFonts w:ascii="Arial" w:hAnsi="Arial"/>
          <w:sz w:val="24"/>
          <w:lang w:val="fr-CA"/>
        </w:rPr>
        <w:t xml:space="preserve"> </w:t>
      </w:r>
      <w:proofErr w:type="spellStart"/>
      <w:r>
        <w:rPr>
          <w:rFonts w:ascii="Arial" w:hAnsi="Arial"/>
          <w:sz w:val="24"/>
          <w:lang w:val="fr-CA"/>
        </w:rPr>
        <w:t>pressable</w:t>
      </w:r>
      <w:proofErr w:type="spellEnd"/>
    </w:p>
    <w:p w:rsidR="002F7F35" w:rsidRDefault="005F4FFB" w:rsidP="005F4FFB">
      <w:pPr>
        <w:ind w:left="2160" w:firstLine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glaçons</w:t>
      </w:r>
      <w:proofErr w:type="gramEnd"/>
      <w:r>
        <w:rPr>
          <w:rFonts w:ascii="Arial" w:hAnsi="Arial"/>
          <w:sz w:val="24"/>
          <w:lang w:val="fr-CA"/>
        </w:rPr>
        <w:br/>
      </w:r>
      <w:r>
        <w:rPr>
          <w:rFonts w:ascii="Arial" w:hAnsi="Arial"/>
          <w:sz w:val="24"/>
          <w:lang w:val="fr-CA"/>
        </w:rPr>
        <w:tab/>
      </w:r>
      <w:r w:rsidR="009259BB">
        <w:rPr>
          <w:rFonts w:ascii="Arial" w:hAnsi="Arial"/>
          <w:sz w:val="24"/>
          <w:lang w:val="fr-CA"/>
        </w:rPr>
        <w:t>bandelettes indicatrices de pH</w:t>
      </w:r>
    </w:p>
    <w:p w:rsidR="005F4FFB" w:rsidRDefault="005F4FFB" w:rsidP="005F4FFB">
      <w:pPr>
        <w:ind w:left="2160" w:firstLine="720"/>
        <w:rPr>
          <w:rFonts w:ascii="Arial" w:hAnsi="Arial"/>
          <w:sz w:val="24"/>
          <w:lang w:val="fr-CA"/>
        </w:rPr>
      </w:pP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Réactifs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8D4FDF">
        <w:rPr>
          <w:rFonts w:ascii="Arial" w:hAnsi="Arial"/>
          <w:sz w:val="24"/>
          <w:lang w:val="fr-CA"/>
        </w:rPr>
        <w:t>s</w:t>
      </w:r>
      <w:r w:rsidRPr="00FD5567">
        <w:rPr>
          <w:rFonts w:ascii="Arial" w:hAnsi="Arial" w:cs="Arial"/>
          <w:color w:val="000000"/>
          <w:sz w:val="24"/>
          <w:lang w:val="fr-CA"/>
        </w:rPr>
        <w:t xml:space="preserve">olution saline </w:t>
      </w:r>
      <w:r w:rsidR="009259BB" w:rsidRPr="00FD5567">
        <w:rPr>
          <w:rFonts w:ascii="Arial" w:hAnsi="Arial" w:cs="Arial"/>
          <w:color w:val="000000"/>
          <w:sz w:val="24"/>
          <w:lang w:val="fr-CA"/>
        </w:rPr>
        <w:t>normale à 0,9 %</w:t>
      </w:r>
    </w:p>
    <w:p w:rsidR="005F4FFB" w:rsidRDefault="005F4FFB" w:rsidP="005F4FFB">
      <w:pPr>
        <w:ind w:left="2880"/>
        <w:rPr>
          <w:rFonts w:ascii="Arial" w:hAnsi="Arial"/>
          <w:spacing w:val="-2"/>
          <w:sz w:val="24"/>
          <w:lang w:val="fr-CA"/>
        </w:rPr>
      </w:pPr>
      <w:proofErr w:type="gramStart"/>
      <w:r>
        <w:rPr>
          <w:rFonts w:ascii="Arial" w:hAnsi="Arial"/>
          <w:spacing w:val="-2"/>
          <w:sz w:val="24"/>
          <w:lang w:val="fr-CA"/>
        </w:rPr>
        <w:t>sang</w:t>
      </w:r>
      <w:proofErr w:type="gramEnd"/>
      <w:r>
        <w:rPr>
          <w:rFonts w:ascii="Arial" w:hAnsi="Arial"/>
          <w:spacing w:val="-2"/>
          <w:sz w:val="24"/>
          <w:lang w:val="fr-CA"/>
        </w:rPr>
        <w:t xml:space="preserve"> total </w:t>
      </w:r>
      <w:proofErr w:type="spellStart"/>
      <w:r>
        <w:rPr>
          <w:rFonts w:ascii="Arial" w:hAnsi="Arial"/>
          <w:spacing w:val="-2"/>
          <w:sz w:val="24"/>
          <w:lang w:val="fr-CA"/>
        </w:rPr>
        <w:t>anticoagulé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(</w:t>
      </w:r>
      <w:r w:rsidRPr="008D4FDF">
        <w:rPr>
          <w:rFonts w:ascii="Arial" w:hAnsi="Arial"/>
          <w:i/>
          <w:spacing w:val="-2"/>
          <w:sz w:val="24"/>
          <w:lang w:val="fr-CA"/>
        </w:rPr>
        <w:t>CPD</w:t>
      </w:r>
      <w:r w:rsidRPr="007A446C">
        <w:rPr>
          <w:rFonts w:ascii="Arial" w:hAnsi="Arial"/>
          <w:spacing w:val="-2"/>
          <w:sz w:val="24"/>
          <w:lang w:val="fr-CA"/>
        </w:rPr>
        <w:t xml:space="preserve"> ou </w:t>
      </w:r>
      <w:r w:rsidRPr="008D4FDF">
        <w:rPr>
          <w:rFonts w:ascii="Arial" w:hAnsi="Arial"/>
          <w:i/>
          <w:spacing w:val="-2"/>
          <w:sz w:val="24"/>
          <w:lang w:val="fr-CA"/>
        </w:rPr>
        <w:t>ACD</w:t>
      </w:r>
      <w:r>
        <w:rPr>
          <w:rFonts w:ascii="Arial" w:hAnsi="Arial"/>
          <w:spacing w:val="-2"/>
          <w:sz w:val="24"/>
          <w:lang w:val="fr-CA"/>
        </w:rPr>
        <w:t>)</w:t>
      </w:r>
    </w:p>
    <w:p w:rsidR="005F4FFB" w:rsidRDefault="005F4FFB" w:rsidP="005F4FFB">
      <w:pPr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* Voir Remarque 8.1</w:t>
      </w:r>
    </w:p>
    <w:p w:rsidR="005F4FFB" w:rsidRDefault="005F4FFB">
      <w:pPr>
        <w:suppressAutoHyphens/>
        <w:ind w:left="4680" w:hanging="1800"/>
        <w:rPr>
          <w:rFonts w:ascii="Arial" w:hAnsi="Arial"/>
          <w:spacing w:val="-2"/>
          <w:sz w:val="24"/>
          <w:lang w:val="fr-CA"/>
        </w:rPr>
      </w:pPr>
    </w:p>
    <w:p w:rsidR="002339D7" w:rsidRDefault="002339D7" w:rsidP="002339D7">
      <w:pPr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u w:val="single"/>
          <w:lang w:val="fr-CA"/>
        </w:rPr>
        <w:t>Solution A</w:t>
      </w:r>
      <w:r>
        <w:rPr>
          <w:rFonts w:ascii="Arial" w:hAnsi="Arial"/>
          <w:spacing w:val="-2"/>
          <w:sz w:val="24"/>
          <w:lang w:val="fr-CA"/>
        </w:rPr>
        <w:tab/>
      </w:r>
    </w:p>
    <w:p w:rsidR="002339D7" w:rsidRDefault="002339D7" w:rsidP="002339D7">
      <w:pPr>
        <w:suppressAutoHyphens/>
        <w:ind w:left="4680" w:hanging="180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Saccharose – 23,1 g</w:t>
      </w:r>
    </w:p>
    <w:p w:rsidR="002339D7" w:rsidRPr="00FD556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en-CA"/>
        </w:rPr>
      </w:pPr>
      <w:r w:rsidRPr="00FD5567">
        <w:rPr>
          <w:rFonts w:ascii="Arial" w:hAnsi="Arial"/>
          <w:spacing w:val="-2"/>
          <w:sz w:val="24"/>
          <w:lang w:val="en-CA"/>
        </w:rPr>
        <w:t>Na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 xml:space="preserve"> EDTA 2H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>0 – 0,395 g</w:t>
      </w:r>
    </w:p>
    <w:p w:rsidR="002339D7" w:rsidRPr="00FD556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en-CA"/>
        </w:rPr>
      </w:pPr>
      <w:r w:rsidRPr="00FD5567">
        <w:rPr>
          <w:rFonts w:ascii="Arial" w:hAnsi="Arial"/>
          <w:spacing w:val="-2"/>
          <w:sz w:val="24"/>
          <w:lang w:val="en-CA"/>
        </w:rPr>
        <w:t>NaH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 xml:space="preserve"> PO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4</w:t>
      </w:r>
      <w:r w:rsidRPr="00FD5567">
        <w:rPr>
          <w:rFonts w:ascii="Arial" w:hAnsi="Arial"/>
          <w:spacing w:val="-2"/>
          <w:sz w:val="24"/>
          <w:lang w:val="en-CA"/>
        </w:rPr>
        <w:t xml:space="preserve"> H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>0 – 0,173 g</w:t>
      </w: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H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 xml:space="preserve">0 distillée – </w:t>
      </w:r>
      <w:r w:rsidRPr="007A446C">
        <w:rPr>
          <w:rFonts w:ascii="Arial" w:hAnsi="Arial"/>
          <w:spacing w:val="-2"/>
          <w:sz w:val="24"/>
          <w:lang w:val="fr-CA"/>
        </w:rPr>
        <w:t>pour faire un volume final</w:t>
      </w:r>
      <w:r>
        <w:rPr>
          <w:rFonts w:ascii="Arial" w:hAnsi="Arial"/>
          <w:spacing w:val="-2"/>
          <w:sz w:val="24"/>
          <w:lang w:val="fr-CA"/>
        </w:rPr>
        <w:t xml:space="preserve"> de 250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u w:val="single"/>
          <w:lang w:val="fr-CA"/>
        </w:rPr>
      </w:pPr>
    </w:p>
    <w:p w:rsidR="002339D7" w:rsidRPr="00FD5567" w:rsidRDefault="002339D7" w:rsidP="002339D7">
      <w:pPr>
        <w:suppressAutoHyphens/>
        <w:ind w:left="2880"/>
        <w:rPr>
          <w:rFonts w:ascii="Arial" w:hAnsi="Arial"/>
          <w:spacing w:val="-2"/>
          <w:sz w:val="24"/>
          <w:u w:val="single"/>
          <w:lang w:val="en-CA"/>
        </w:rPr>
      </w:pPr>
      <w:r w:rsidRPr="00FD5567">
        <w:rPr>
          <w:rFonts w:ascii="Arial" w:hAnsi="Arial"/>
          <w:spacing w:val="-2"/>
          <w:sz w:val="24"/>
          <w:u w:val="single"/>
          <w:lang w:val="en-CA"/>
        </w:rPr>
        <w:t>Solution B</w:t>
      </w:r>
    </w:p>
    <w:p w:rsidR="002339D7" w:rsidRPr="00FD556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en-CA"/>
        </w:rPr>
      </w:pPr>
      <w:r w:rsidRPr="00FD5567">
        <w:rPr>
          <w:rFonts w:ascii="Arial" w:hAnsi="Arial"/>
          <w:spacing w:val="-2"/>
          <w:sz w:val="24"/>
          <w:lang w:val="en-CA"/>
        </w:rPr>
        <w:t>Saccharose – 23,1 g</w:t>
      </w:r>
    </w:p>
    <w:p w:rsidR="002339D7" w:rsidRPr="00FD556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en-CA"/>
        </w:rPr>
      </w:pPr>
      <w:r w:rsidRPr="00FD5567">
        <w:rPr>
          <w:rFonts w:ascii="Arial" w:hAnsi="Arial"/>
          <w:spacing w:val="-2"/>
          <w:sz w:val="24"/>
          <w:lang w:val="en-CA"/>
        </w:rPr>
        <w:t>Na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 xml:space="preserve"> EDTA 2H</w:t>
      </w:r>
      <w:r w:rsidRPr="00FD5567">
        <w:rPr>
          <w:rFonts w:ascii="Arial" w:hAnsi="Arial"/>
          <w:spacing w:val="-3"/>
          <w:sz w:val="24"/>
          <w:vertAlign w:val="subscript"/>
          <w:lang w:val="en-CA"/>
        </w:rPr>
        <w:t>2</w:t>
      </w:r>
      <w:r w:rsidRPr="00FD5567">
        <w:rPr>
          <w:rFonts w:ascii="Arial" w:hAnsi="Arial"/>
          <w:spacing w:val="-2"/>
          <w:sz w:val="24"/>
          <w:lang w:val="en-CA"/>
        </w:rPr>
        <w:t>0 – 0,395 g</w:t>
      </w: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Na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>H PO</w:t>
      </w:r>
      <w:r>
        <w:rPr>
          <w:rFonts w:ascii="Arial" w:hAnsi="Arial"/>
          <w:spacing w:val="-3"/>
          <w:sz w:val="24"/>
          <w:vertAlign w:val="subscript"/>
          <w:lang w:val="fr-CA"/>
        </w:rPr>
        <w:t>4</w:t>
      </w:r>
      <w:r>
        <w:rPr>
          <w:rFonts w:ascii="Arial" w:hAnsi="Arial"/>
          <w:spacing w:val="-2"/>
          <w:sz w:val="24"/>
          <w:lang w:val="fr-CA"/>
        </w:rPr>
        <w:t xml:space="preserve"> – 0,178 g</w:t>
      </w: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H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 xml:space="preserve">0 distillée – </w:t>
      </w:r>
      <w:r w:rsidRPr="004B4578">
        <w:rPr>
          <w:rFonts w:ascii="Arial" w:hAnsi="Arial"/>
          <w:spacing w:val="-2"/>
          <w:sz w:val="24"/>
          <w:lang w:val="fr-CA"/>
        </w:rPr>
        <w:t>pour faire un volume final</w:t>
      </w:r>
      <w:r>
        <w:rPr>
          <w:rFonts w:ascii="Arial" w:hAnsi="Arial"/>
          <w:spacing w:val="-2"/>
          <w:sz w:val="24"/>
          <w:lang w:val="fr-CA"/>
        </w:rPr>
        <w:t xml:space="preserve"> de 250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</w:p>
    <w:p w:rsidR="002339D7" w:rsidRDefault="002339D7" w:rsidP="002339D7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u w:val="single"/>
          <w:lang w:val="fr-CA"/>
        </w:rPr>
      </w:pPr>
      <w:r>
        <w:rPr>
          <w:rFonts w:ascii="Arial" w:hAnsi="Arial"/>
          <w:spacing w:val="-2"/>
          <w:sz w:val="24"/>
          <w:u w:val="single"/>
          <w:lang w:val="fr-CA"/>
        </w:rPr>
        <w:t>Solution C</w:t>
      </w: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MgCl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 xml:space="preserve"> 6H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>0 – 0,18 g dans 10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de H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>0 distillée</w:t>
      </w:r>
    </w:p>
    <w:p w:rsidR="002339D7" w:rsidRDefault="002339D7" w:rsidP="002339D7">
      <w:pPr>
        <w:suppressAutoHyphens/>
        <w:ind w:left="2880"/>
        <w:rPr>
          <w:rFonts w:ascii="Arial" w:hAnsi="Arial"/>
          <w:spacing w:val="-2"/>
          <w:lang w:val="fr-CA"/>
        </w:rPr>
      </w:pPr>
      <w:r>
        <w:rPr>
          <w:rFonts w:ascii="Arial" w:hAnsi="Arial"/>
          <w:spacing w:val="-2"/>
          <w:sz w:val="24"/>
          <w:lang w:val="fr-CA"/>
        </w:rPr>
        <w:t>Trypsine à</w:t>
      </w:r>
      <w:r>
        <w:rPr>
          <w:rFonts w:ascii="Arial" w:hAnsi="Arial"/>
          <w:spacing w:val="-2"/>
          <w:lang w:val="fr-CA"/>
        </w:rPr>
        <w:t xml:space="preserve"> </w:t>
      </w:r>
      <w:r>
        <w:rPr>
          <w:rFonts w:ascii="Arial" w:hAnsi="Arial"/>
          <w:spacing w:val="-2"/>
          <w:sz w:val="24"/>
          <w:lang w:val="fr-CA"/>
        </w:rPr>
        <w:t>0,1 %</w:t>
      </w:r>
      <w:r>
        <w:rPr>
          <w:rFonts w:ascii="Arial" w:hAnsi="Arial"/>
          <w:spacing w:val="-2"/>
          <w:lang w:val="fr-CA"/>
        </w:rPr>
        <w:t xml:space="preserve"> (</w:t>
      </w:r>
      <w:proofErr w:type="spellStart"/>
      <w:r>
        <w:rPr>
          <w:rFonts w:ascii="Arial" w:hAnsi="Arial"/>
          <w:spacing w:val="-2"/>
          <w:lang w:val="fr-CA"/>
        </w:rPr>
        <w:t>Lab</w:t>
      </w:r>
      <w:proofErr w:type="spellEnd"/>
      <w:r>
        <w:rPr>
          <w:rFonts w:ascii="Arial" w:hAnsi="Arial"/>
          <w:spacing w:val="-2"/>
          <w:lang w:val="fr-CA"/>
        </w:rPr>
        <w:t xml:space="preserve"> DIFCO)</w:t>
      </w:r>
    </w:p>
    <w:p w:rsidR="00A35AD3" w:rsidRDefault="00A35AD3">
      <w:pPr>
        <w:suppressAutoHyphens/>
        <w:ind w:left="2880"/>
        <w:rPr>
          <w:rFonts w:ascii="Arial" w:hAnsi="Arial"/>
          <w:spacing w:val="-2"/>
          <w:lang w:val="fr-CA"/>
        </w:rPr>
      </w:pP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Contrôle de la qualité </w:t>
      </w:r>
    </w:p>
    <w:p w:rsidR="005F4FFB" w:rsidRDefault="005F4FFB" w:rsidP="005F4FFB">
      <w:pPr>
        <w:ind w:left="1440"/>
        <w:rPr>
          <w:rFonts w:ascii="Arial" w:hAnsi="Arial"/>
          <w:sz w:val="24"/>
          <w:lang w:val="fr-CA"/>
        </w:rPr>
      </w:pPr>
    </w:p>
    <w:p w:rsidR="00E9744C" w:rsidRDefault="005F4FFB" w:rsidP="005F4FF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pipettes sérologiques doivent être entretenues conformément aux recommandations du fabricant, y compris en ce qui concerne la précision du volume, la diminution des transferts et l’absence de contamination</w:t>
      </w:r>
      <w:r>
        <w:rPr>
          <w:rFonts w:ascii="Arial" w:hAnsi="Arial"/>
          <w:sz w:val="24"/>
          <w:vertAlign w:val="superscript"/>
          <w:lang w:val="fr-CA"/>
        </w:rPr>
        <w:t>9.3</w:t>
      </w:r>
      <w:r>
        <w:rPr>
          <w:rFonts w:ascii="Arial" w:hAnsi="Arial"/>
          <w:sz w:val="24"/>
          <w:lang w:val="fr-CA"/>
        </w:rPr>
        <w:t>.</w:t>
      </w:r>
      <w:r w:rsidRPr="005F4FFB">
        <w:rPr>
          <w:rFonts w:ascii="Arial" w:hAnsi="Arial"/>
          <w:sz w:val="24"/>
          <w:lang w:val="fr-CA"/>
        </w:rPr>
        <w:t xml:space="preserve"> </w:t>
      </w:r>
      <w:r w:rsidR="00E9744C">
        <w:rPr>
          <w:rFonts w:ascii="Arial" w:hAnsi="Arial"/>
          <w:sz w:val="24"/>
          <w:lang w:val="fr-CA"/>
        </w:rPr>
        <w:br/>
      </w:r>
    </w:p>
    <w:p w:rsidR="005F4FFB" w:rsidRDefault="005F4FFB" w:rsidP="005F4FF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L’équipement de centrifugation sera entretenu conformément aux recommandations du fabricant, notamment en ce qui a trait à la vitesse de rotation et au mécanisme de minutage</w:t>
      </w:r>
      <w:r>
        <w:rPr>
          <w:rFonts w:ascii="Arial" w:hAnsi="Arial"/>
          <w:sz w:val="24"/>
          <w:vertAlign w:val="superscript"/>
          <w:lang w:val="fr-CA"/>
        </w:rPr>
        <w:t>9.</w:t>
      </w:r>
      <w:r w:rsidR="00235314">
        <w:rPr>
          <w:rFonts w:ascii="Arial" w:hAnsi="Arial"/>
          <w:sz w:val="24"/>
          <w:vertAlign w:val="superscript"/>
          <w:lang w:val="fr-CA"/>
        </w:rPr>
        <w:t>3</w:t>
      </w:r>
      <w:r>
        <w:rPr>
          <w:rFonts w:ascii="Arial" w:hAnsi="Arial"/>
          <w:sz w:val="24"/>
          <w:lang w:val="fr-CA"/>
        </w:rPr>
        <w:t>.</w:t>
      </w:r>
    </w:p>
    <w:p w:rsidR="002F7F35" w:rsidRDefault="00E9744C">
      <w:pPr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br w:type="page"/>
      </w: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2F7F35" w:rsidRDefault="002F7F35">
      <w:pPr>
        <w:rPr>
          <w:rFonts w:ascii="Arial" w:hAnsi="Arial"/>
          <w:b/>
          <w:sz w:val="24"/>
          <w:lang w:val="fr-CA"/>
        </w:rPr>
      </w:pPr>
    </w:p>
    <w:p w:rsidR="002F7F35" w:rsidRPr="00E9744C" w:rsidRDefault="002F7F35">
      <w:pPr>
        <w:ind w:left="720"/>
        <w:rPr>
          <w:rFonts w:ascii="Arial" w:hAnsi="Arial"/>
          <w:sz w:val="24"/>
          <w:u w:val="single"/>
          <w:lang w:val="fr-CA"/>
        </w:rPr>
      </w:pPr>
      <w:r w:rsidRPr="00E9744C">
        <w:rPr>
          <w:rFonts w:ascii="Arial" w:hAnsi="Arial"/>
          <w:sz w:val="24"/>
          <w:u w:val="single"/>
          <w:lang w:val="fr-CA"/>
        </w:rPr>
        <w:t xml:space="preserve">Procédure </w:t>
      </w:r>
      <w:r w:rsidRPr="00E9744C">
        <w:rPr>
          <w:rFonts w:ascii="Arial" w:hAnsi="Arial"/>
          <w:spacing w:val="-2"/>
          <w:sz w:val="24"/>
          <w:u w:val="single"/>
          <w:lang w:val="fr-CA"/>
        </w:rPr>
        <w:t>n</w:t>
      </w:r>
      <w:r w:rsidRPr="00E9744C">
        <w:rPr>
          <w:rFonts w:ascii="Arial" w:hAnsi="Arial"/>
          <w:spacing w:val="-2"/>
          <w:sz w:val="24"/>
          <w:u w:val="single"/>
          <w:vertAlign w:val="superscript"/>
          <w:lang w:val="fr-CA"/>
        </w:rPr>
        <w:t>o</w:t>
      </w:r>
      <w:r w:rsidRPr="00E9744C">
        <w:rPr>
          <w:rFonts w:ascii="Arial" w:hAnsi="Arial"/>
          <w:spacing w:val="-2"/>
          <w:sz w:val="24"/>
          <w:u w:val="single"/>
          <w:lang w:val="fr-CA"/>
        </w:rPr>
        <w:t xml:space="preserve"> </w:t>
      </w:r>
      <w:r w:rsidRPr="00E9744C">
        <w:rPr>
          <w:rFonts w:ascii="Arial" w:hAnsi="Arial"/>
          <w:sz w:val="24"/>
          <w:u w:val="single"/>
          <w:lang w:val="fr-CA"/>
        </w:rPr>
        <w:t xml:space="preserve">1 – préparation de globules rouges recouverts de </w:t>
      </w:r>
      <w:r w:rsidRPr="00E9744C">
        <w:rPr>
          <w:rFonts w:ascii="Arial" w:hAnsi="Arial"/>
          <w:spacing w:val="-2"/>
          <w:sz w:val="24"/>
          <w:u w:val="single"/>
          <w:lang w:val="fr-CA"/>
        </w:rPr>
        <w:t xml:space="preserve">C3b </w:t>
      </w:r>
    </w:p>
    <w:p w:rsidR="002F7F35" w:rsidRDefault="002F7F35">
      <w:pPr>
        <w:rPr>
          <w:rFonts w:ascii="Arial" w:hAnsi="Arial"/>
          <w:sz w:val="24"/>
          <w:lang w:val="fr-CA"/>
        </w:rPr>
      </w:pPr>
    </w:p>
    <w:p w:rsidR="002F7F35" w:rsidRPr="00A363A0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A363A0">
        <w:rPr>
          <w:rFonts w:ascii="Arial" w:hAnsi="Arial"/>
          <w:spacing w:val="-2"/>
          <w:sz w:val="24"/>
          <w:lang w:val="fr-CA"/>
        </w:rPr>
        <w:t xml:space="preserve">Préparer les solutions ci-dessus, refroidir la bouteille </w:t>
      </w:r>
      <w:proofErr w:type="spellStart"/>
      <w:r w:rsidRPr="00A363A0">
        <w:rPr>
          <w:rFonts w:ascii="Arial" w:hAnsi="Arial"/>
          <w:spacing w:val="-2"/>
          <w:sz w:val="24"/>
          <w:lang w:val="fr-CA"/>
        </w:rPr>
        <w:t>pressable</w:t>
      </w:r>
      <w:proofErr w:type="spellEnd"/>
      <w:r w:rsidR="002339D7" w:rsidRPr="00A363A0">
        <w:rPr>
          <w:rFonts w:ascii="Arial" w:hAnsi="Arial"/>
          <w:spacing w:val="-2"/>
          <w:sz w:val="24"/>
          <w:lang w:val="fr-CA"/>
        </w:rPr>
        <w:t xml:space="preserve"> </w:t>
      </w:r>
      <w:r w:rsidRPr="00A363A0">
        <w:rPr>
          <w:rFonts w:ascii="Arial" w:hAnsi="Arial"/>
          <w:spacing w:val="-2"/>
          <w:sz w:val="24"/>
          <w:lang w:val="fr-CA"/>
        </w:rPr>
        <w:t xml:space="preserve">contenant de la solution saline </w:t>
      </w:r>
      <w:r w:rsidR="002339D7" w:rsidRPr="00A363A0">
        <w:rPr>
          <w:rFonts w:ascii="Arial" w:hAnsi="Arial"/>
          <w:spacing w:val="-2"/>
          <w:sz w:val="24"/>
          <w:lang w:val="fr-CA"/>
        </w:rPr>
        <w:t xml:space="preserve">normale </w:t>
      </w:r>
      <w:r w:rsidRPr="00A363A0">
        <w:rPr>
          <w:rFonts w:ascii="Arial" w:hAnsi="Arial"/>
          <w:spacing w:val="-2"/>
          <w:sz w:val="24"/>
          <w:lang w:val="fr-CA"/>
        </w:rPr>
        <w:t xml:space="preserve">à 9 % </w:t>
      </w:r>
      <w:r w:rsidR="008D4FDF" w:rsidRPr="00A363A0">
        <w:rPr>
          <w:rFonts w:ascii="Arial" w:hAnsi="Arial"/>
          <w:spacing w:val="-2"/>
          <w:sz w:val="24"/>
          <w:lang w:val="fr-CA"/>
        </w:rPr>
        <w:t xml:space="preserve">jusqu’à </w:t>
      </w:r>
      <w:r w:rsidR="00FD5567">
        <w:rPr>
          <w:rFonts w:ascii="Arial" w:hAnsi="Arial"/>
          <w:spacing w:val="-2"/>
          <w:sz w:val="24"/>
          <w:lang w:val="fr-CA"/>
        </w:rPr>
        <w:t>0-1</w:t>
      </w:r>
      <w:r w:rsidRPr="00A363A0">
        <w:rPr>
          <w:rFonts w:ascii="Arial" w:hAnsi="Arial" w:cs="Arial"/>
          <w:spacing w:val="-2"/>
          <w:sz w:val="24"/>
          <w:lang w:val="fr-CA"/>
        </w:rPr>
        <w:t>°</w:t>
      </w:r>
      <w:r w:rsidRPr="00A363A0">
        <w:rPr>
          <w:rFonts w:ascii="Arial" w:hAnsi="Arial"/>
          <w:spacing w:val="-2"/>
          <w:sz w:val="24"/>
          <w:lang w:val="fr-CA"/>
        </w:rPr>
        <w:t>C (dans le seau à glace).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2F7F35" w:rsidP="00060EB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E9744C">
        <w:rPr>
          <w:rFonts w:ascii="Arial" w:hAnsi="Arial"/>
          <w:spacing w:val="-2"/>
          <w:sz w:val="24"/>
          <w:lang w:val="fr-CA"/>
        </w:rPr>
        <w:t>À 250 </w:t>
      </w:r>
      <w:proofErr w:type="spellStart"/>
      <w:r w:rsidRPr="00E9744C">
        <w:rPr>
          <w:rFonts w:ascii="Arial" w:hAnsi="Arial"/>
          <w:spacing w:val="-2"/>
          <w:sz w:val="24"/>
          <w:lang w:val="fr-CA"/>
        </w:rPr>
        <w:t>mL</w:t>
      </w:r>
      <w:proofErr w:type="spellEnd"/>
      <w:r w:rsidRPr="00E9744C">
        <w:rPr>
          <w:rFonts w:ascii="Arial" w:hAnsi="Arial"/>
          <w:spacing w:val="-2"/>
          <w:sz w:val="24"/>
          <w:lang w:val="fr-CA"/>
        </w:rPr>
        <w:t xml:space="preserve"> de solution A, ajouter une quantité suffisante de solution B, (habituellement 15-25 </w:t>
      </w:r>
      <w:proofErr w:type="spellStart"/>
      <w:r w:rsidRPr="00E9744C">
        <w:rPr>
          <w:rFonts w:ascii="Arial" w:hAnsi="Arial"/>
          <w:spacing w:val="-2"/>
          <w:sz w:val="24"/>
          <w:lang w:val="fr-CA"/>
        </w:rPr>
        <w:t>mL</w:t>
      </w:r>
      <w:proofErr w:type="spellEnd"/>
      <w:r w:rsidRPr="00E9744C">
        <w:rPr>
          <w:rFonts w:ascii="Arial" w:hAnsi="Arial"/>
          <w:spacing w:val="-2"/>
          <w:sz w:val="24"/>
          <w:lang w:val="fr-CA"/>
        </w:rPr>
        <w:t xml:space="preserve">) pour produire un mélange </w:t>
      </w:r>
      <w:r w:rsidR="00433454" w:rsidRPr="00E9744C">
        <w:rPr>
          <w:rFonts w:ascii="Arial" w:hAnsi="Arial"/>
          <w:spacing w:val="-2"/>
          <w:sz w:val="24"/>
          <w:lang w:val="fr-CA"/>
        </w:rPr>
        <w:t xml:space="preserve">ayant un </w:t>
      </w:r>
      <w:r w:rsidRPr="00E9744C">
        <w:rPr>
          <w:rFonts w:ascii="Arial" w:hAnsi="Arial"/>
          <w:spacing w:val="-2"/>
          <w:sz w:val="24"/>
          <w:lang w:val="fr-CA"/>
        </w:rPr>
        <w:t>pH</w:t>
      </w:r>
      <w:r w:rsidR="00433454" w:rsidRPr="00E9744C">
        <w:rPr>
          <w:rFonts w:ascii="Arial" w:hAnsi="Arial"/>
          <w:spacing w:val="-2"/>
          <w:sz w:val="24"/>
          <w:lang w:val="fr-CA"/>
        </w:rPr>
        <w:t xml:space="preserve"> de </w:t>
      </w:r>
      <w:r w:rsidRPr="00E9744C">
        <w:rPr>
          <w:rFonts w:ascii="Arial" w:hAnsi="Arial"/>
          <w:spacing w:val="-2"/>
          <w:sz w:val="24"/>
          <w:lang w:val="fr-CA"/>
        </w:rPr>
        <w:t>5,1</w:t>
      </w:r>
      <w:r w:rsidR="00E9744C">
        <w:rPr>
          <w:rFonts w:ascii="Arial" w:hAnsi="Arial"/>
          <w:spacing w:val="-2"/>
          <w:sz w:val="24"/>
          <w:lang w:val="fr-CA"/>
        </w:rPr>
        <w:t>.</w:t>
      </w:r>
    </w:p>
    <w:p w:rsidR="00E9744C" w:rsidRDefault="00E9744C" w:rsidP="00E9744C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Mettre 195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du mélange dans un </w:t>
      </w:r>
      <w:r w:rsidR="00A949FD">
        <w:rPr>
          <w:rFonts w:ascii="Arial" w:hAnsi="Arial"/>
          <w:spacing w:val="-2"/>
          <w:sz w:val="24"/>
          <w:lang w:val="fr-CA"/>
        </w:rPr>
        <w:t>e</w:t>
      </w:r>
      <w:r>
        <w:rPr>
          <w:rFonts w:ascii="Arial" w:hAnsi="Arial"/>
          <w:spacing w:val="-2"/>
          <w:sz w:val="24"/>
          <w:lang w:val="fr-CA"/>
        </w:rPr>
        <w:t xml:space="preserve">rlenmeyer et </w:t>
      </w:r>
      <w:r w:rsidR="004B4578">
        <w:rPr>
          <w:rFonts w:ascii="Arial" w:hAnsi="Arial"/>
          <w:spacing w:val="-2"/>
          <w:sz w:val="24"/>
          <w:lang w:val="fr-CA"/>
        </w:rPr>
        <w:t xml:space="preserve">insérer </w:t>
      </w:r>
      <w:r>
        <w:rPr>
          <w:rFonts w:ascii="Arial" w:hAnsi="Arial"/>
          <w:spacing w:val="-2"/>
          <w:sz w:val="24"/>
          <w:lang w:val="fr-CA"/>
        </w:rPr>
        <w:t>l’a</w:t>
      </w:r>
      <w:r>
        <w:rPr>
          <w:rFonts w:ascii="Arial" w:hAnsi="Arial"/>
          <w:sz w:val="24"/>
          <w:lang w:val="fr-CA"/>
        </w:rPr>
        <w:t>gitateur mécanique</w:t>
      </w:r>
      <w:r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Mettre de l’eau et </w:t>
      </w:r>
      <w:r w:rsidR="004B4578">
        <w:rPr>
          <w:rFonts w:ascii="Arial" w:hAnsi="Arial"/>
          <w:spacing w:val="-2"/>
          <w:sz w:val="24"/>
          <w:lang w:val="fr-CA"/>
        </w:rPr>
        <w:t xml:space="preserve">quelques </w:t>
      </w:r>
      <w:r w:rsidR="00433454">
        <w:rPr>
          <w:rFonts w:ascii="Arial" w:hAnsi="Arial"/>
          <w:spacing w:val="-2"/>
          <w:sz w:val="24"/>
          <w:lang w:val="fr-CA"/>
        </w:rPr>
        <w:t>glaçons</w:t>
      </w:r>
      <w:r>
        <w:rPr>
          <w:rFonts w:ascii="Arial" w:hAnsi="Arial"/>
          <w:spacing w:val="-2"/>
          <w:sz w:val="24"/>
          <w:lang w:val="fr-CA"/>
        </w:rPr>
        <w:t xml:space="preserve"> dans </w:t>
      </w:r>
      <w:r w:rsidR="00433454">
        <w:rPr>
          <w:rFonts w:ascii="Arial" w:hAnsi="Arial"/>
          <w:spacing w:val="-2"/>
          <w:sz w:val="24"/>
          <w:lang w:val="fr-CA"/>
        </w:rPr>
        <w:t>une</w:t>
      </w:r>
      <w:r>
        <w:rPr>
          <w:rFonts w:ascii="Arial" w:hAnsi="Arial"/>
          <w:spacing w:val="-2"/>
          <w:sz w:val="24"/>
          <w:lang w:val="fr-CA"/>
        </w:rPr>
        <w:t xml:space="preserve"> </w:t>
      </w:r>
      <w:r w:rsidRPr="004B4578">
        <w:rPr>
          <w:rFonts w:ascii="Arial" w:hAnsi="Arial"/>
          <w:spacing w:val="-2"/>
          <w:sz w:val="24"/>
          <w:lang w:val="fr-CA"/>
        </w:rPr>
        <w:t>cuvette</w:t>
      </w:r>
      <w:r>
        <w:rPr>
          <w:rFonts w:ascii="Arial" w:hAnsi="Arial"/>
          <w:spacing w:val="-2"/>
          <w:sz w:val="24"/>
          <w:lang w:val="fr-CA"/>
        </w:rPr>
        <w:t xml:space="preserve"> métallique.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Placer l</w:t>
      </w:r>
      <w:r w:rsidR="002339D7">
        <w:rPr>
          <w:rFonts w:ascii="Arial" w:hAnsi="Arial"/>
          <w:spacing w:val="-2"/>
          <w:sz w:val="24"/>
          <w:lang w:val="fr-CA"/>
        </w:rPr>
        <w:t>’erlenmeyer</w:t>
      </w:r>
      <w:r>
        <w:rPr>
          <w:rFonts w:ascii="Arial" w:hAnsi="Arial"/>
          <w:spacing w:val="-2"/>
          <w:sz w:val="24"/>
          <w:lang w:val="fr-CA"/>
        </w:rPr>
        <w:t xml:space="preserve"> dans la cuvette.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Pr="004B4578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Une fois le mélange refroidi, ajouter 1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de sang </w:t>
      </w:r>
      <w:proofErr w:type="spellStart"/>
      <w:r>
        <w:rPr>
          <w:rFonts w:ascii="Arial" w:hAnsi="Arial"/>
          <w:spacing w:val="-2"/>
          <w:sz w:val="24"/>
          <w:lang w:val="fr-CA"/>
        </w:rPr>
        <w:t>anticoagulé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</w:t>
      </w:r>
      <w:r w:rsidRPr="004B4578">
        <w:rPr>
          <w:rFonts w:ascii="Arial" w:hAnsi="Arial"/>
          <w:spacing w:val="-2"/>
          <w:sz w:val="24"/>
          <w:lang w:val="fr-CA"/>
        </w:rPr>
        <w:t>ACD ou CPD.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Ajouter immédiatement 0,1 </w:t>
      </w:r>
      <w:proofErr w:type="spellStart"/>
      <w:r>
        <w:rPr>
          <w:rFonts w:ascii="Arial" w:hAnsi="Arial"/>
          <w:spacing w:val="-2"/>
          <w:sz w:val="24"/>
          <w:lang w:val="fr-CA"/>
        </w:rPr>
        <w:t>mL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de solution C.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Placer sur l’agitateur magnétique et agiter pendant 1 heure en g</w:t>
      </w:r>
      <w:r w:rsidR="00FD5567">
        <w:rPr>
          <w:rFonts w:ascii="Arial" w:hAnsi="Arial"/>
          <w:spacing w:val="-2"/>
          <w:sz w:val="24"/>
          <w:lang w:val="fr-CA"/>
        </w:rPr>
        <w:t>ardant la température à 0-1</w:t>
      </w:r>
      <w:r>
        <w:rPr>
          <w:rFonts w:ascii="Arial" w:hAnsi="Arial" w:cs="Arial"/>
          <w:spacing w:val="-2"/>
          <w:sz w:val="24"/>
          <w:lang w:val="fr-CA"/>
        </w:rPr>
        <w:t>°</w:t>
      </w:r>
      <w:r>
        <w:rPr>
          <w:rFonts w:ascii="Arial" w:hAnsi="Arial"/>
          <w:spacing w:val="-2"/>
          <w:sz w:val="24"/>
          <w:lang w:val="fr-CA"/>
        </w:rPr>
        <w:t xml:space="preserve">C </w:t>
      </w:r>
      <w:r w:rsidR="008D4FDF">
        <w:rPr>
          <w:rFonts w:ascii="Arial" w:hAnsi="Arial"/>
          <w:spacing w:val="-2"/>
          <w:sz w:val="24"/>
          <w:lang w:val="fr-CA"/>
        </w:rPr>
        <w:t xml:space="preserve">par l’ajout de </w:t>
      </w:r>
      <w:r>
        <w:rPr>
          <w:rFonts w:ascii="Arial" w:hAnsi="Arial"/>
          <w:spacing w:val="-2"/>
          <w:sz w:val="24"/>
          <w:lang w:val="fr-CA"/>
        </w:rPr>
        <w:t>gla</w:t>
      </w:r>
      <w:r w:rsidR="00433454">
        <w:rPr>
          <w:rFonts w:ascii="Arial" w:hAnsi="Arial"/>
          <w:spacing w:val="-2"/>
          <w:sz w:val="24"/>
          <w:lang w:val="fr-CA"/>
        </w:rPr>
        <w:t>çons</w:t>
      </w:r>
      <w:r>
        <w:rPr>
          <w:rFonts w:ascii="Arial" w:hAnsi="Arial"/>
          <w:spacing w:val="-2"/>
          <w:sz w:val="24"/>
          <w:lang w:val="fr-CA"/>
        </w:rPr>
        <w:t xml:space="preserve"> dans la </w:t>
      </w:r>
      <w:r w:rsidRPr="004B4578">
        <w:rPr>
          <w:rFonts w:ascii="Arial" w:hAnsi="Arial"/>
          <w:spacing w:val="-2"/>
          <w:sz w:val="24"/>
          <w:lang w:val="fr-CA"/>
        </w:rPr>
        <w:t>cuvette</w:t>
      </w:r>
      <w:r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Pr="00A363A0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Laver et faire 3 succions </w:t>
      </w:r>
      <w:r w:rsidR="006B2340">
        <w:rPr>
          <w:rFonts w:ascii="Arial" w:hAnsi="Arial"/>
          <w:spacing w:val="-2"/>
          <w:sz w:val="24"/>
          <w:lang w:val="fr-CA"/>
        </w:rPr>
        <w:t xml:space="preserve">avec </w:t>
      </w:r>
      <w:r>
        <w:rPr>
          <w:rFonts w:ascii="Arial" w:hAnsi="Arial"/>
          <w:spacing w:val="-2"/>
          <w:sz w:val="24"/>
          <w:lang w:val="fr-CA"/>
        </w:rPr>
        <w:t xml:space="preserve">de </w:t>
      </w:r>
      <w:r w:rsidR="006B2340">
        <w:rPr>
          <w:rFonts w:ascii="Arial" w:hAnsi="Arial"/>
          <w:spacing w:val="-2"/>
          <w:sz w:val="24"/>
          <w:lang w:val="fr-CA"/>
        </w:rPr>
        <w:t xml:space="preserve">la </w:t>
      </w:r>
      <w:r>
        <w:rPr>
          <w:rFonts w:ascii="Arial" w:hAnsi="Arial"/>
          <w:spacing w:val="-2"/>
          <w:sz w:val="24"/>
          <w:lang w:val="fr-CA"/>
        </w:rPr>
        <w:t xml:space="preserve">solution saline </w:t>
      </w:r>
      <w:r w:rsidR="002339D7">
        <w:rPr>
          <w:rFonts w:ascii="Arial" w:hAnsi="Arial"/>
          <w:spacing w:val="-2"/>
          <w:sz w:val="24"/>
          <w:lang w:val="fr-CA"/>
        </w:rPr>
        <w:t xml:space="preserve">normale </w:t>
      </w:r>
      <w:r>
        <w:rPr>
          <w:rFonts w:ascii="Arial" w:hAnsi="Arial"/>
          <w:spacing w:val="-2"/>
          <w:sz w:val="24"/>
          <w:lang w:val="fr-CA"/>
        </w:rPr>
        <w:t>à 0,9%</w:t>
      </w:r>
      <w:r w:rsidRPr="00A363A0"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Pr="00433454" w:rsidRDefault="002F7F35">
      <w:pPr>
        <w:numPr>
          <w:ilvl w:val="1"/>
          <w:numId w:val="1"/>
        </w:numPr>
        <w:suppressAutoHyphens/>
        <w:spacing w:after="120"/>
        <w:rPr>
          <w:rFonts w:ascii="Arial" w:hAnsi="Arial"/>
          <w:spacing w:val="-2"/>
          <w:sz w:val="24"/>
          <w:lang w:val="fr-CA"/>
        </w:rPr>
      </w:pPr>
      <w:r w:rsidRPr="00071C77">
        <w:rPr>
          <w:rFonts w:ascii="Arial" w:hAnsi="Arial"/>
          <w:spacing w:val="-2"/>
          <w:sz w:val="24"/>
          <w:lang w:val="fr-CA"/>
        </w:rPr>
        <w:t>Préparer</w:t>
      </w:r>
      <w:r w:rsidRPr="00433454">
        <w:rPr>
          <w:rFonts w:ascii="Arial" w:hAnsi="Arial"/>
          <w:spacing w:val="-2"/>
          <w:sz w:val="24"/>
          <w:lang w:val="fr-CA"/>
        </w:rPr>
        <w:t xml:space="preserve"> la suspension cellul</w:t>
      </w:r>
      <w:r w:rsidR="00433454">
        <w:rPr>
          <w:rFonts w:ascii="Arial" w:hAnsi="Arial"/>
          <w:spacing w:val="-2"/>
          <w:sz w:val="24"/>
          <w:lang w:val="fr-CA"/>
        </w:rPr>
        <w:t>aire</w:t>
      </w:r>
      <w:r w:rsidRPr="00433454">
        <w:rPr>
          <w:rFonts w:ascii="Arial" w:hAnsi="Arial"/>
          <w:spacing w:val="-2"/>
          <w:sz w:val="24"/>
          <w:lang w:val="fr-CA"/>
        </w:rPr>
        <w:t xml:space="preserve"> appropriée</w:t>
      </w:r>
      <w:r w:rsidR="002339D7">
        <w:rPr>
          <w:rFonts w:ascii="Arial" w:hAnsi="Arial"/>
          <w:spacing w:val="-2"/>
          <w:sz w:val="24"/>
          <w:lang w:val="fr-CA"/>
        </w:rPr>
        <w:t xml:space="preserve"> à 3 à 5 %</w:t>
      </w:r>
      <w:r w:rsidRPr="00433454">
        <w:rPr>
          <w:rFonts w:ascii="Arial" w:hAnsi="Arial"/>
          <w:spacing w:val="-2"/>
          <w:sz w:val="24"/>
          <w:lang w:val="fr-CA"/>
        </w:rPr>
        <w:t>.</w:t>
      </w:r>
    </w:p>
    <w:p w:rsidR="00433454" w:rsidRDefault="00433454">
      <w:pPr>
        <w:suppressAutoHyphens/>
        <w:ind w:left="720"/>
        <w:rPr>
          <w:rFonts w:ascii="Arial" w:hAnsi="Arial"/>
          <w:spacing w:val="-2"/>
          <w:sz w:val="24"/>
          <w:u w:val="single"/>
          <w:lang w:val="fr-CA"/>
        </w:rPr>
      </w:pPr>
    </w:p>
    <w:p w:rsidR="002F7F35" w:rsidRPr="00E9744C" w:rsidRDefault="002F7F35">
      <w:pPr>
        <w:suppressAutoHyphens/>
        <w:ind w:left="720"/>
        <w:rPr>
          <w:rFonts w:ascii="Arial" w:hAnsi="Arial"/>
          <w:spacing w:val="-2"/>
          <w:sz w:val="24"/>
          <w:u w:val="single"/>
          <w:lang w:val="fr-CA"/>
        </w:rPr>
      </w:pPr>
      <w:r w:rsidRPr="00E9744C">
        <w:rPr>
          <w:rFonts w:ascii="Arial" w:hAnsi="Arial"/>
          <w:spacing w:val="-2"/>
          <w:sz w:val="24"/>
          <w:u w:val="single"/>
          <w:lang w:val="fr-CA"/>
        </w:rPr>
        <w:t>Procédure n</w:t>
      </w:r>
      <w:r w:rsidRPr="00E9744C">
        <w:rPr>
          <w:rFonts w:ascii="Arial" w:hAnsi="Arial"/>
          <w:spacing w:val="-2"/>
          <w:sz w:val="24"/>
          <w:u w:val="single"/>
          <w:vertAlign w:val="superscript"/>
          <w:lang w:val="fr-CA"/>
        </w:rPr>
        <w:t>o</w:t>
      </w:r>
      <w:r w:rsidRPr="00E9744C">
        <w:rPr>
          <w:rFonts w:ascii="Arial" w:hAnsi="Arial"/>
          <w:spacing w:val="-2"/>
          <w:sz w:val="24"/>
          <w:u w:val="single"/>
          <w:lang w:val="fr-CA"/>
        </w:rPr>
        <w:t xml:space="preserve"> 2 : </w:t>
      </w:r>
      <w:r w:rsidRPr="00E9744C">
        <w:rPr>
          <w:rFonts w:ascii="Arial" w:hAnsi="Arial"/>
          <w:sz w:val="24"/>
          <w:u w:val="single"/>
          <w:lang w:val="fr-CA"/>
        </w:rPr>
        <w:t xml:space="preserve">préparation de globules rouges recouverts de </w:t>
      </w:r>
      <w:r w:rsidRPr="00E9744C">
        <w:rPr>
          <w:rFonts w:ascii="Arial" w:hAnsi="Arial"/>
          <w:spacing w:val="-2"/>
          <w:sz w:val="24"/>
          <w:u w:val="single"/>
          <w:lang w:val="fr-CA"/>
        </w:rPr>
        <w:t>C3d (et de C4d)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6B2340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Concentrer </w:t>
      </w:r>
      <w:r w:rsidR="002F7F35">
        <w:rPr>
          <w:rFonts w:ascii="Arial" w:hAnsi="Arial"/>
          <w:spacing w:val="-2"/>
          <w:sz w:val="24"/>
          <w:lang w:val="fr-CA"/>
        </w:rPr>
        <w:t>les globules rouges recouverts de C3b préparés dans la procédure n</w:t>
      </w:r>
      <w:r w:rsidR="002F7F35">
        <w:rPr>
          <w:rFonts w:ascii="Arial" w:hAnsi="Arial"/>
          <w:spacing w:val="-2"/>
          <w:sz w:val="24"/>
          <w:vertAlign w:val="superscript"/>
          <w:lang w:val="fr-CA"/>
        </w:rPr>
        <w:t>o</w:t>
      </w:r>
      <w:r w:rsidR="002F7F35">
        <w:rPr>
          <w:rFonts w:ascii="Arial" w:hAnsi="Arial"/>
          <w:spacing w:val="-2"/>
          <w:sz w:val="24"/>
          <w:lang w:val="fr-CA"/>
        </w:rPr>
        <w:t xml:space="preserve"> 1, </w:t>
      </w:r>
      <w:r w:rsidR="00433454">
        <w:rPr>
          <w:rFonts w:ascii="Arial" w:hAnsi="Arial"/>
          <w:spacing w:val="-2"/>
          <w:sz w:val="24"/>
          <w:lang w:val="fr-CA"/>
        </w:rPr>
        <w:t xml:space="preserve">retirer </w:t>
      </w:r>
      <w:r w:rsidR="002F7F35">
        <w:rPr>
          <w:rFonts w:ascii="Arial" w:hAnsi="Arial"/>
          <w:spacing w:val="-2"/>
          <w:sz w:val="24"/>
          <w:lang w:val="fr-CA"/>
        </w:rPr>
        <w:t>la solution saline</w:t>
      </w:r>
      <w:r w:rsidR="00433454">
        <w:rPr>
          <w:rFonts w:ascii="Arial" w:hAnsi="Arial"/>
          <w:spacing w:val="-2"/>
          <w:sz w:val="24"/>
          <w:lang w:val="fr-CA"/>
        </w:rPr>
        <w:t xml:space="preserve"> par succion</w:t>
      </w:r>
      <w:r w:rsidR="002F7F35"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Pour chaque goutte </w:t>
      </w:r>
      <w:r w:rsidRPr="006B2340">
        <w:rPr>
          <w:rFonts w:ascii="Arial" w:hAnsi="Arial"/>
          <w:spacing w:val="-2"/>
          <w:sz w:val="24"/>
          <w:lang w:val="fr-CA"/>
        </w:rPr>
        <w:t xml:space="preserve">de </w:t>
      </w:r>
      <w:r w:rsidR="006B2340">
        <w:rPr>
          <w:rFonts w:ascii="Arial" w:hAnsi="Arial"/>
          <w:spacing w:val="-2"/>
          <w:sz w:val="24"/>
          <w:lang w:val="fr-CA"/>
        </w:rPr>
        <w:t xml:space="preserve">concentré </w:t>
      </w:r>
      <w:r w:rsidR="00433454" w:rsidRPr="006B2340">
        <w:rPr>
          <w:rFonts w:ascii="Arial" w:hAnsi="Arial"/>
          <w:spacing w:val="-2"/>
          <w:sz w:val="24"/>
          <w:lang w:val="fr-CA"/>
        </w:rPr>
        <w:t xml:space="preserve">globulaire </w:t>
      </w:r>
      <w:r w:rsidRPr="006B2340">
        <w:rPr>
          <w:rFonts w:ascii="Arial" w:hAnsi="Arial"/>
          <w:spacing w:val="-2"/>
          <w:sz w:val="24"/>
          <w:lang w:val="fr-CA"/>
        </w:rPr>
        <w:t>recouvert de C3b</w:t>
      </w:r>
      <w:r>
        <w:rPr>
          <w:rFonts w:ascii="Arial" w:hAnsi="Arial"/>
          <w:spacing w:val="-2"/>
          <w:sz w:val="24"/>
          <w:lang w:val="fr-CA"/>
        </w:rPr>
        <w:t xml:space="preserve">, ajouter 1 goutte de trypsine à 0,1 % dans de la </w:t>
      </w:r>
      <w:r w:rsidR="008D4FDF">
        <w:rPr>
          <w:rFonts w:ascii="Arial" w:hAnsi="Arial"/>
          <w:spacing w:val="-2"/>
          <w:sz w:val="24"/>
          <w:lang w:val="fr-CA"/>
        </w:rPr>
        <w:t>solution tamponnée au phosphate</w:t>
      </w:r>
      <w:r>
        <w:rPr>
          <w:rFonts w:ascii="Arial" w:hAnsi="Arial"/>
          <w:spacing w:val="-2"/>
          <w:sz w:val="24"/>
          <w:lang w:val="fr-CA"/>
        </w:rPr>
        <w:t xml:space="preserve"> (pH 7,3) ratio 1:1. Voir Remarque 8.2.</w:t>
      </w:r>
    </w:p>
    <w:p w:rsidR="002F7F35" w:rsidRDefault="002F7F35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2F7F35" w:rsidRDefault="00FD5567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Incuber à 37</w:t>
      </w:r>
      <w:r w:rsidR="002F7F35">
        <w:rPr>
          <w:rFonts w:ascii="Arial" w:hAnsi="Arial" w:cs="Arial"/>
          <w:spacing w:val="-2"/>
          <w:sz w:val="24"/>
          <w:lang w:val="fr-CA"/>
        </w:rPr>
        <w:t>°</w:t>
      </w:r>
      <w:r w:rsidR="002F7F35">
        <w:rPr>
          <w:rFonts w:ascii="Arial" w:hAnsi="Arial"/>
          <w:spacing w:val="-2"/>
          <w:sz w:val="24"/>
          <w:lang w:val="fr-CA"/>
        </w:rPr>
        <w:t>C pendant 30 minutes.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Laver trois fois les globules rouges dans une solution saline </w:t>
      </w:r>
      <w:r w:rsidR="002339D7">
        <w:rPr>
          <w:rFonts w:ascii="Arial" w:hAnsi="Arial"/>
          <w:spacing w:val="-2"/>
          <w:sz w:val="24"/>
          <w:lang w:val="fr-CA"/>
        </w:rPr>
        <w:t xml:space="preserve">normale </w:t>
      </w:r>
      <w:r>
        <w:rPr>
          <w:rFonts w:ascii="Arial" w:hAnsi="Arial"/>
          <w:spacing w:val="-2"/>
          <w:sz w:val="24"/>
          <w:lang w:val="fr-CA"/>
        </w:rPr>
        <w:t>à 0,9 %.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071C77">
      <w:pPr>
        <w:numPr>
          <w:ilvl w:val="1"/>
          <w:numId w:val="1"/>
        </w:numPr>
        <w:suppressAutoHyphens/>
        <w:spacing w:after="120"/>
        <w:rPr>
          <w:rFonts w:ascii="Arial" w:hAnsi="Arial"/>
          <w:spacing w:val="-2"/>
          <w:sz w:val="24"/>
          <w:lang w:val="fr-CA"/>
        </w:rPr>
      </w:pPr>
      <w:r w:rsidRPr="008D4FDF">
        <w:rPr>
          <w:rFonts w:ascii="Arial" w:hAnsi="Arial"/>
          <w:spacing w:val="-2"/>
          <w:sz w:val="24"/>
          <w:lang w:val="fr-CA"/>
        </w:rPr>
        <w:t>Préparer la</w:t>
      </w:r>
      <w:r w:rsidR="002F7F35" w:rsidRPr="00433454">
        <w:rPr>
          <w:rFonts w:ascii="Arial" w:hAnsi="Arial"/>
          <w:spacing w:val="-2"/>
          <w:sz w:val="24"/>
          <w:lang w:val="fr-CA"/>
        </w:rPr>
        <w:t xml:space="preserve"> </w:t>
      </w:r>
      <w:r w:rsidR="00433454">
        <w:rPr>
          <w:rFonts w:ascii="Arial" w:hAnsi="Arial"/>
          <w:spacing w:val="-2"/>
          <w:sz w:val="24"/>
          <w:lang w:val="fr-CA"/>
        </w:rPr>
        <w:t xml:space="preserve">suspension cellulaire </w:t>
      </w:r>
      <w:r w:rsidR="002F7F35" w:rsidRPr="00433454">
        <w:rPr>
          <w:rFonts w:ascii="Arial" w:hAnsi="Arial"/>
          <w:spacing w:val="-2"/>
          <w:sz w:val="24"/>
          <w:lang w:val="fr-CA"/>
        </w:rPr>
        <w:t>appropriée</w:t>
      </w:r>
      <w:r w:rsidR="002339D7">
        <w:rPr>
          <w:rFonts w:ascii="Arial" w:hAnsi="Arial"/>
          <w:spacing w:val="-2"/>
          <w:sz w:val="24"/>
          <w:lang w:val="fr-CA"/>
        </w:rPr>
        <w:t xml:space="preserve"> à 3 à 5 %</w:t>
      </w:r>
      <w:r w:rsidR="002F7F35" w:rsidRPr="00433454">
        <w:rPr>
          <w:rFonts w:ascii="Arial" w:hAnsi="Arial"/>
          <w:spacing w:val="-2"/>
          <w:sz w:val="24"/>
          <w:lang w:val="fr-CA"/>
        </w:rPr>
        <w:t>.</w:t>
      </w:r>
    </w:p>
    <w:p w:rsidR="00E9744C" w:rsidRDefault="00E9744C" w:rsidP="00E9744C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E9744C" w:rsidRDefault="00E9744C" w:rsidP="00E9744C">
      <w:pPr>
        <w:numPr>
          <w:ilvl w:val="1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Congelées dans </w:t>
      </w:r>
      <w:r w:rsidRPr="007A446C">
        <w:rPr>
          <w:rFonts w:ascii="Arial" w:hAnsi="Arial"/>
          <w:spacing w:val="-2"/>
          <w:sz w:val="24"/>
          <w:lang w:val="fr-CA"/>
        </w:rPr>
        <w:t>du</w:t>
      </w:r>
      <w:r>
        <w:rPr>
          <w:rFonts w:ascii="Arial" w:hAnsi="Arial"/>
          <w:spacing w:val="-2"/>
          <w:sz w:val="24"/>
          <w:lang w:val="fr-CA"/>
        </w:rPr>
        <w:t xml:space="preserve"> LN</w:t>
      </w:r>
      <w:r>
        <w:rPr>
          <w:rFonts w:ascii="Arial" w:hAnsi="Arial"/>
          <w:spacing w:val="-3"/>
          <w:sz w:val="24"/>
          <w:vertAlign w:val="subscript"/>
          <w:lang w:val="fr-CA"/>
        </w:rPr>
        <w:t>2</w:t>
      </w:r>
      <w:r>
        <w:rPr>
          <w:rFonts w:ascii="Arial" w:hAnsi="Arial"/>
          <w:spacing w:val="-2"/>
          <w:sz w:val="24"/>
          <w:lang w:val="fr-CA"/>
        </w:rPr>
        <w:t>, ces cellules seront bonnes pendant 10 ans.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 – S.O.</w:t>
      </w:r>
    </w:p>
    <w:p w:rsidR="002F7F35" w:rsidRDefault="002F7F35">
      <w:pPr>
        <w:ind w:left="720"/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Remarques</w:t>
      </w:r>
    </w:p>
    <w:p w:rsidR="002F7F35" w:rsidRDefault="002F7F35">
      <w:pPr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L’EDTA inhibe l’absorption du complément, c’est pourquoi il ne faut pas utiliser de sang </w:t>
      </w:r>
      <w:proofErr w:type="spellStart"/>
      <w:r>
        <w:rPr>
          <w:rFonts w:ascii="Arial" w:hAnsi="Arial"/>
          <w:spacing w:val="-2"/>
          <w:sz w:val="24"/>
          <w:lang w:val="fr-CA"/>
        </w:rPr>
        <w:t>anticoagulé</w:t>
      </w:r>
      <w:proofErr w:type="spellEnd"/>
      <w:r>
        <w:rPr>
          <w:rFonts w:ascii="Arial" w:hAnsi="Arial"/>
          <w:spacing w:val="-2"/>
          <w:sz w:val="24"/>
          <w:lang w:val="fr-CA"/>
        </w:rPr>
        <w:t xml:space="preserve"> </w:t>
      </w:r>
      <w:r w:rsidR="00236587">
        <w:rPr>
          <w:rFonts w:ascii="Arial" w:hAnsi="Arial"/>
          <w:spacing w:val="-2"/>
          <w:sz w:val="24"/>
          <w:lang w:val="fr-CA"/>
        </w:rPr>
        <w:t xml:space="preserve">par </w:t>
      </w:r>
      <w:r>
        <w:rPr>
          <w:rFonts w:ascii="Arial" w:hAnsi="Arial"/>
          <w:spacing w:val="-2"/>
          <w:sz w:val="24"/>
          <w:lang w:val="fr-CA"/>
        </w:rPr>
        <w:t>EDTA lors de cette procédure.</w:t>
      </w:r>
    </w:p>
    <w:p w:rsidR="002F7F35" w:rsidRDefault="002F7F35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2F7F35" w:rsidRDefault="002F7F35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La trypsine à 0,1 % est préparée à partir d’une solution-mère à 1 % </w:t>
      </w:r>
      <w:r w:rsidR="00E9744C">
        <w:rPr>
          <w:rFonts w:ascii="Arial" w:hAnsi="Arial"/>
          <w:spacing w:val="-2"/>
          <w:sz w:val="24"/>
          <w:lang w:val="fr-CA"/>
        </w:rPr>
        <w:t>congelée à -18</w:t>
      </w:r>
      <w:r w:rsidR="00FD5567">
        <w:rPr>
          <w:rFonts w:ascii="Arial" w:hAnsi="Arial" w:cs="Arial"/>
          <w:spacing w:val="-2"/>
          <w:sz w:val="24"/>
          <w:lang w:val="fr-CA"/>
        </w:rPr>
        <w:t>º</w:t>
      </w:r>
      <w:r w:rsidR="00E9744C">
        <w:rPr>
          <w:rFonts w:ascii="Arial" w:hAnsi="Arial"/>
          <w:spacing w:val="-2"/>
          <w:sz w:val="24"/>
          <w:lang w:val="fr-CA"/>
        </w:rPr>
        <w:t>C</w:t>
      </w:r>
      <w:r>
        <w:rPr>
          <w:rFonts w:ascii="Arial" w:hAnsi="Arial"/>
          <w:spacing w:val="-2"/>
          <w:sz w:val="24"/>
          <w:lang w:val="fr-CA"/>
        </w:rPr>
        <w:t>.</w:t>
      </w:r>
    </w:p>
    <w:p w:rsidR="002F7F35" w:rsidRDefault="002F7F35">
      <w:pPr>
        <w:rPr>
          <w:rFonts w:ascii="Arial" w:hAnsi="Arial"/>
          <w:sz w:val="24"/>
          <w:lang w:val="fr-CA"/>
        </w:rPr>
      </w:pPr>
    </w:p>
    <w:p w:rsidR="002F7F35" w:rsidRDefault="002F7F3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Références</w:t>
      </w:r>
    </w:p>
    <w:p w:rsidR="00E9744C" w:rsidRPr="00784F49" w:rsidRDefault="00E9744C" w:rsidP="00E9744C">
      <w:pPr>
        <w:ind w:left="1440"/>
        <w:rPr>
          <w:rFonts w:ascii="Arial" w:hAnsi="Arial"/>
          <w:sz w:val="24"/>
        </w:rPr>
      </w:pPr>
    </w:p>
    <w:p w:rsidR="00E9744C" w:rsidRDefault="00E9744C" w:rsidP="00E9744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C608D">
        <w:rPr>
          <w:rFonts w:ascii="Arial" w:hAnsi="Arial"/>
          <w:sz w:val="24"/>
          <w:lang w:val="fr-CA"/>
        </w:rPr>
        <w:t xml:space="preserve">SIMDUT </w:t>
      </w:r>
      <w:hyperlink r:id="rId7" w:history="1">
        <w:r w:rsidRPr="00DC608D">
          <w:rPr>
            <w:rStyle w:val="Hyperlink"/>
            <w:rFonts w:ascii="Arial" w:hAnsi="Arial"/>
            <w:sz w:val="24"/>
            <w:lang w:val="fr-CA"/>
          </w:rPr>
          <w:t>www.whmis.ca</w:t>
        </w:r>
      </w:hyperlink>
    </w:p>
    <w:p w:rsidR="00FD5567" w:rsidRDefault="00FD5567" w:rsidP="00FD5567">
      <w:pPr>
        <w:ind w:left="1440"/>
        <w:rPr>
          <w:rFonts w:ascii="Arial" w:hAnsi="Arial"/>
          <w:sz w:val="24"/>
          <w:lang w:val="fr-CA"/>
        </w:rPr>
      </w:pPr>
    </w:p>
    <w:p w:rsidR="00E9744C" w:rsidRDefault="00E9744C" w:rsidP="00E9744C">
      <w:pPr>
        <w:numPr>
          <w:ilvl w:val="1"/>
          <w:numId w:val="1"/>
        </w:numPr>
        <w:rPr>
          <w:rFonts w:ascii="Arial" w:hAnsi="Arial"/>
          <w:sz w:val="24"/>
        </w:rPr>
      </w:pPr>
      <w:r w:rsidRPr="00E9744C"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>Judd</w:t>
      </w:r>
      <w:r w:rsidRPr="00E9744C">
        <w:rPr>
          <w:rFonts w:ascii="Arial" w:hAnsi="Arial"/>
          <w:sz w:val="24"/>
        </w:rPr>
        <w:t>,</w:t>
      </w:r>
      <w:r w:rsidRPr="0083092B">
        <w:rPr>
          <w:rFonts w:ascii="Arial" w:hAnsi="Arial"/>
          <w:sz w:val="24"/>
        </w:rPr>
        <w:t xml:space="preserve"> WJ, </w:t>
      </w:r>
      <w:proofErr w:type="spellStart"/>
      <w:r w:rsidRPr="0083092B">
        <w:rPr>
          <w:rFonts w:ascii="Arial" w:hAnsi="Arial"/>
          <w:sz w:val="24"/>
        </w:rPr>
        <w:t>éd</w:t>
      </w:r>
      <w:proofErr w:type="spellEnd"/>
      <w:r w:rsidRPr="0083092B">
        <w:rPr>
          <w:rFonts w:ascii="Arial" w:hAnsi="Arial"/>
          <w:sz w:val="24"/>
        </w:rPr>
        <w:t xml:space="preserve">. </w:t>
      </w:r>
      <w:r w:rsidRPr="0083092B">
        <w:rPr>
          <w:rFonts w:ascii="Arial" w:hAnsi="Arial"/>
          <w:i/>
          <w:sz w:val="24"/>
        </w:rPr>
        <w:t>Methods in Immunohematology</w:t>
      </w:r>
      <w:r w:rsidRPr="0083092B">
        <w:rPr>
          <w:rFonts w:ascii="Arial" w:hAnsi="Arial"/>
          <w:sz w:val="24"/>
        </w:rPr>
        <w:t>, 3</w:t>
      </w:r>
      <w:r w:rsidRPr="0083092B">
        <w:rPr>
          <w:rFonts w:ascii="Arial" w:hAnsi="Arial"/>
          <w:sz w:val="24"/>
          <w:vertAlign w:val="superscript"/>
        </w:rPr>
        <w:t>e</w:t>
      </w:r>
      <w:r w:rsidRPr="0083092B">
        <w:rPr>
          <w:rFonts w:ascii="Arial" w:hAnsi="Arial"/>
          <w:sz w:val="24"/>
        </w:rPr>
        <w:t xml:space="preserve"> </w:t>
      </w:r>
      <w:proofErr w:type="spellStart"/>
      <w:r w:rsidRPr="0083092B">
        <w:rPr>
          <w:rFonts w:ascii="Arial" w:hAnsi="Arial"/>
          <w:sz w:val="24"/>
        </w:rPr>
        <w:t>éd</w:t>
      </w:r>
      <w:proofErr w:type="spellEnd"/>
      <w:r w:rsidRPr="0083092B">
        <w:rPr>
          <w:rFonts w:ascii="Arial" w:hAnsi="Arial"/>
          <w:sz w:val="24"/>
        </w:rPr>
        <w:t>. Montgomery Scientific Publica</w:t>
      </w:r>
      <w:r>
        <w:rPr>
          <w:rFonts w:ascii="Arial" w:hAnsi="Arial"/>
          <w:sz w:val="24"/>
        </w:rPr>
        <w:t>t</w:t>
      </w:r>
      <w:r w:rsidRPr="0083092B">
        <w:rPr>
          <w:rFonts w:ascii="Arial" w:hAnsi="Arial"/>
          <w:sz w:val="24"/>
        </w:rPr>
        <w:t>ions (2008), p.</w:t>
      </w:r>
      <w:r>
        <w:rPr>
          <w:rFonts w:ascii="Arial" w:hAnsi="Arial"/>
          <w:sz w:val="24"/>
        </w:rPr>
        <w:t> </w:t>
      </w:r>
      <w:r w:rsidRPr="0083092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5</w:t>
      </w:r>
      <w:r w:rsidRPr="0083092B">
        <w:rPr>
          <w:rFonts w:ascii="Arial" w:hAnsi="Arial"/>
          <w:sz w:val="24"/>
        </w:rPr>
        <w:t>7-2</w:t>
      </w:r>
      <w:r>
        <w:rPr>
          <w:rFonts w:ascii="Arial" w:hAnsi="Arial"/>
          <w:sz w:val="24"/>
        </w:rPr>
        <w:t>5</w:t>
      </w:r>
      <w:r w:rsidRPr="0083092B">
        <w:rPr>
          <w:rFonts w:ascii="Arial" w:hAnsi="Arial"/>
          <w:sz w:val="24"/>
        </w:rPr>
        <w:t>9.</w:t>
      </w:r>
    </w:p>
    <w:p w:rsidR="00FD5567" w:rsidRDefault="00FD5567" w:rsidP="00FD5567">
      <w:pPr>
        <w:rPr>
          <w:rFonts w:ascii="Arial" w:hAnsi="Arial"/>
          <w:sz w:val="24"/>
        </w:rPr>
      </w:pPr>
    </w:p>
    <w:p w:rsidR="00E9744C" w:rsidRDefault="00E9744C" w:rsidP="00E9744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3092B">
        <w:rPr>
          <w:rFonts w:ascii="Arial" w:hAnsi="Arial"/>
          <w:i/>
          <w:sz w:val="24"/>
          <w:lang w:val="fr-CA"/>
        </w:rPr>
        <w:t>Standards for Hospital Transfusion Services</w:t>
      </w:r>
      <w:r w:rsidRPr="0083092B">
        <w:rPr>
          <w:rFonts w:ascii="Arial" w:hAnsi="Arial"/>
          <w:sz w:val="24"/>
          <w:lang w:val="fr-CA"/>
        </w:rPr>
        <w:t>, version 3, février 2011, Société canadienne de médecine transfusionnelle</w:t>
      </w:r>
      <w:r w:rsidR="00F35A94">
        <w:rPr>
          <w:rFonts w:ascii="Arial" w:hAnsi="Arial"/>
          <w:sz w:val="24"/>
          <w:lang w:val="fr-CA"/>
        </w:rPr>
        <w:t>,</w:t>
      </w:r>
      <w:r>
        <w:rPr>
          <w:rFonts w:ascii="Arial" w:hAnsi="Arial"/>
          <w:sz w:val="24"/>
          <w:lang w:val="fr-CA"/>
        </w:rPr>
        <w:t xml:space="preserve"> </w:t>
      </w:r>
      <w:r w:rsidRPr="0083092B">
        <w:rPr>
          <w:rFonts w:ascii="Arial" w:hAnsi="Arial"/>
          <w:sz w:val="24"/>
          <w:lang w:val="fr-CA"/>
        </w:rPr>
        <w:t>3.4.3.1;3.4.5.1.</w:t>
      </w:r>
    </w:p>
    <w:p w:rsidR="00FD5567" w:rsidRPr="00FD5567" w:rsidRDefault="00FD5567" w:rsidP="00FD5567">
      <w:pPr>
        <w:rPr>
          <w:rFonts w:ascii="Arial" w:hAnsi="Arial"/>
          <w:sz w:val="24"/>
          <w:lang w:val="fr-CA"/>
        </w:rPr>
      </w:pPr>
    </w:p>
    <w:p w:rsidR="00E9744C" w:rsidRPr="0083092B" w:rsidRDefault="00E9744C" w:rsidP="00E9744C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Hoffman et al. Reproducible </w:t>
      </w:r>
      <w:r w:rsidRPr="007847D8">
        <w:rPr>
          <w:rFonts w:ascii="Arial" w:hAnsi="Arial"/>
          <w:i/>
          <w:sz w:val="24"/>
        </w:rPr>
        <w:t>in vitro</w:t>
      </w:r>
      <w:r>
        <w:rPr>
          <w:rFonts w:ascii="Arial" w:hAnsi="Arial"/>
          <w:sz w:val="24"/>
        </w:rPr>
        <w:t xml:space="preserve"> preparation of intermediate C3d coated red b</w:t>
      </w:r>
      <w:r w:rsidR="00F35A94">
        <w:rPr>
          <w:rFonts w:ascii="Arial" w:hAnsi="Arial"/>
          <w:sz w:val="24"/>
        </w:rPr>
        <w:t>loo</w:t>
      </w:r>
      <w:r>
        <w:rPr>
          <w:rFonts w:ascii="Arial" w:hAnsi="Arial"/>
          <w:sz w:val="24"/>
        </w:rPr>
        <w:t xml:space="preserve">d cells. </w:t>
      </w:r>
      <w:r w:rsidRPr="00F35A94">
        <w:rPr>
          <w:rFonts w:ascii="Arial" w:hAnsi="Arial"/>
          <w:i/>
          <w:sz w:val="24"/>
        </w:rPr>
        <w:t>Transfusion</w:t>
      </w:r>
      <w:r w:rsidR="00F35A9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(1982) 22(3)</w:t>
      </w:r>
      <w:r w:rsidR="00F35A94">
        <w:rPr>
          <w:rFonts w:ascii="Arial" w:hAnsi="Arial"/>
          <w:sz w:val="24"/>
        </w:rPr>
        <w:t>,</w:t>
      </w:r>
      <w:r w:rsidR="00FD5567">
        <w:rPr>
          <w:rFonts w:ascii="Arial" w:hAnsi="Arial"/>
          <w:sz w:val="24"/>
        </w:rPr>
        <w:t xml:space="preserve"> </w:t>
      </w:r>
      <w:r w:rsidR="00235314">
        <w:rPr>
          <w:rFonts w:ascii="Arial" w:hAnsi="Arial"/>
          <w:sz w:val="24"/>
        </w:rPr>
        <w:t>p.</w:t>
      </w:r>
      <w:r>
        <w:rPr>
          <w:rFonts w:ascii="Arial" w:hAnsi="Arial"/>
          <w:sz w:val="24"/>
        </w:rPr>
        <w:t>180-184.</w:t>
      </w:r>
    </w:p>
    <w:p w:rsidR="00E9744C" w:rsidRPr="00FD5567" w:rsidRDefault="00E9744C" w:rsidP="00E9744C">
      <w:pPr>
        <w:ind w:left="720"/>
        <w:rPr>
          <w:rFonts w:ascii="Arial" w:hAnsi="Arial"/>
          <w:sz w:val="24"/>
          <w:lang w:val="en-CA"/>
        </w:rPr>
      </w:pPr>
    </w:p>
    <w:p w:rsidR="00765B39" w:rsidRPr="00AA3396" w:rsidRDefault="00765B39" w:rsidP="00765B39">
      <w:pPr>
        <w:pStyle w:val="ListParagraph"/>
        <w:numPr>
          <w:ilvl w:val="0"/>
          <w:numId w:val="15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765B39" w:rsidRPr="00AA3396" w:rsidRDefault="00765B39" w:rsidP="00765B39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210"/>
      </w:tblGrid>
      <w:tr w:rsidR="00765B39" w:rsidRPr="00AA3396" w:rsidTr="00FA73B5">
        <w:trPr>
          <w:cantSplit/>
        </w:trPr>
        <w:tc>
          <w:tcPr>
            <w:tcW w:w="3510" w:type="dxa"/>
            <w:shd w:val="clear" w:color="auto" w:fill="F2F2F2"/>
          </w:tcPr>
          <w:p w:rsidR="00765B39" w:rsidRPr="004050E8" w:rsidRDefault="00765B39" w:rsidP="00FA73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765B39" w:rsidRPr="004050E8" w:rsidRDefault="00765B39" w:rsidP="00FA73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765B39" w:rsidRPr="00AA3396" w:rsidTr="00FD5567">
        <w:trPr>
          <w:cantSplit/>
          <w:trHeight w:val="1605"/>
        </w:trPr>
        <w:tc>
          <w:tcPr>
            <w:tcW w:w="3510" w:type="dxa"/>
          </w:tcPr>
          <w:p w:rsidR="00765B39" w:rsidRPr="00AA3396" w:rsidRDefault="00765B39" w:rsidP="00FA73B5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décembre 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765B39" w:rsidRPr="00AA3396" w:rsidRDefault="00765B39" w:rsidP="00765B39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765B39" w:rsidRDefault="00F35A94" w:rsidP="00765B39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Révision et renumérotation des sections 2.0, 5.0 et 6.0</w:t>
            </w:r>
          </w:p>
          <w:p w:rsidR="00765B39" w:rsidRDefault="00765B39" w:rsidP="00765B39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Révision de</w:t>
            </w:r>
            <w:r w:rsidR="00F35A94">
              <w:rPr>
                <w:rFonts w:ascii="Arial" w:hAnsi="Arial"/>
                <w:sz w:val="22"/>
                <w:szCs w:val="22"/>
                <w:lang w:val="fr-CA"/>
              </w:rPr>
              <w:t xml:space="preserve"> la liste des équipements et fournitures à la section 4.0</w:t>
            </w:r>
          </w:p>
          <w:p w:rsidR="00765B39" w:rsidRPr="00AA3396" w:rsidRDefault="00765B39" w:rsidP="00765B39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2F7F35" w:rsidRDefault="002F7F35">
      <w:pPr>
        <w:rPr>
          <w:rFonts w:ascii="Arial" w:hAnsi="Arial"/>
          <w:sz w:val="24"/>
          <w:lang w:val="fr-CA"/>
        </w:rPr>
      </w:pPr>
    </w:p>
    <w:sectPr w:rsidR="002F7F3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A7" w:rsidRDefault="00E772A7">
      <w:r>
        <w:separator/>
      </w:r>
    </w:p>
  </w:endnote>
  <w:endnote w:type="continuationSeparator" w:id="0">
    <w:p w:rsidR="00E772A7" w:rsidRDefault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E0223">
      <w:trPr>
        <w:trHeight w:val="699"/>
      </w:trPr>
      <w:tc>
        <w:tcPr>
          <w:tcW w:w="1368" w:type="dxa"/>
        </w:tcPr>
        <w:p w:rsidR="005E0223" w:rsidRDefault="005E0223">
          <w:pPr>
            <w:pStyle w:val="Footer"/>
            <w:jc w:val="center"/>
            <w:rPr>
              <w:sz w:val="8"/>
            </w:rPr>
          </w:pPr>
        </w:p>
        <w:p w:rsidR="005E0223" w:rsidRDefault="005E0223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5E0223" w:rsidRDefault="005E022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65B39" w:rsidRDefault="00765B39" w:rsidP="00765B3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65B39" w:rsidRPr="00FD5567" w:rsidRDefault="00765B39" w:rsidP="00765B3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FD5567">
            <w:rPr>
              <w:rFonts w:ascii="Arial" w:hAnsi="Arial"/>
              <w:sz w:val="18"/>
              <w:lang w:val="fr-CA"/>
            </w:rPr>
            <w:t xml:space="preserve"> </w:t>
          </w:r>
        </w:p>
        <w:p w:rsidR="005E0223" w:rsidRPr="00FD5567" w:rsidRDefault="005E022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E0223" w:rsidRPr="00FD5567" w:rsidRDefault="005E0223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E0223" w:rsidRDefault="005E0223" w:rsidP="00765B3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PR.003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215C3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215C3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E0223" w:rsidRDefault="005E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E0223">
      <w:trPr>
        <w:trHeight w:val="720"/>
      </w:trPr>
      <w:tc>
        <w:tcPr>
          <w:tcW w:w="1368" w:type="dxa"/>
        </w:tcPr>
        <w:p w:rsidR="005E0223" w:rsidRDefault="00F450E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0223" w:rsidRDefault="005E0223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5E0223" w:rsidRDefault="005E022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65B39" w:rsidRDefault="00765B39" w:rsidP="00765B3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65B39" w:rsidRPr="00FD5567" w:rsidRDefault="00765B39" w:rsidP="00765B3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FD5567">
            <w:rPr>
              <w:rFonts w:ascii="Arial" w:hAnsi="Arial"/>
              <w:sz w:val="18"/>
              <w:lang w:val="fr-CA"/>
            </w:rPr>
            <w:t xml:space="preserve"> </w:t>
          </w:r>
        </w:p>
        <w:p w:rsidR="005E0223" w:rsidRPr="00FD5567" w:rsidRDefault="005E022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E0223" w:rsidRPr="00FD5567" w:rsidRDefault="005E0223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E0223" w:rsidRDefault="005E0223" w:rsidP="00765B3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PR.003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215C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215C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E0223" w:rsidRDefault="005E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A7" w:rsidRDefault="00E772A7">
      <w:r>
        <w:separator/>
      </w:r>
    </w:p>
  </w:footnote>
  <w:footnote w:type="continuationSeparator" w:id="0">
    <w:p w:rsidR="00E772A7" w:rsidRDefault="00E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23" w:rsidRDefault="005E0223">
    <w:pPr>
      <w:pStyle w:val="Heading9"/>
      <w:rPr>
        <w:rFonts w:ascii="Arial" w:hAnsi="Arial"/>
      </w:rPr>
    </w:pPr>
    <w:r>
      <w:rPr>
        <w:rFonts w:ascii="Arial" w:hAnsi="Arial"/>
        <w:lang w:val="fr-CA"/>
      </w:rPr>
      <w:t>Préparation d’hématies sensibilisées au complément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23" w:rsidRDefault="00F450EB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567" w:rsidRDefault="00FD5567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765B39" w:rsidRPr="000C64D0" w:rsidRDefault="00765B39" w:rsidP="00765B39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765B39" w:rsidRPr="000C64D0" w:rsidRDefault="00765B39" w:rsidP="00765B39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5E0223" w:rsidRDefault="005E0223">
    <w:pPr>
      <w:pStyle w:val="Header"/>
      <w:jc w:val="center"/>
      <w:rPr>
        <w:rFonts w:ascii="Arial" w:hAnsi="Arial"/>
        <w:b/>
        <w:sz w:val="28"/>
        <w:lang w:val="fr-CA"/>
      </w:rPr>
    </w:pPr>
  </w:p>
  <w:p w:rsidR="005E0223" w:rsidRDefault="005E0223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>Préparation d’hématies sensibilisées au complément</w:t>
    </w:r>
  </w:p>
  <w:p w:rsidR="005E0223" w:rsidRDefault="005E0223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5E0223" w:rsidRDefault="005E022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F450E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F2A6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0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5E0223">
      <w:tc>
        <w:tcPr>
          <w:tcW w:w="4428" w:type="dxa"/>
        </w:tcPr>
        <w:p w:rsidR="005E0223" w:rsidRDefault="005E0223" w:rsidP="00215D94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 :</w:t>
          </w:r>
          <w:r w:rsidR="009B741A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5E0223" w:rsidRDefault="005E0223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PR.003</w:t>
          </w:r>
        </w:p>
      </w:tc>
    </w:tr>
    <w:tr w:rsidR="005E0223">
      <w:tc>
        <w:tcPr>
          <w:tcW w:w="4428" w:type="dxa"/>
        </w:tcPr>
        <w:p w:rsidR="005E0223" w:rsidRDefault="005E0223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publication : 2006/0</w:t>
          </w:r>
          <w:r w:rsidR="00860B0D">
            <w:rPr>
              <w:rFonts w:ascii="Arial" w:hAnsi="Arial" w:cs="Arial"/>
              <w:lang w:val="fr-CA"/>
            </w:rPr>
            <w:t>8</w:t>
          </w:r>
          <w:r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5E0223" w:rsidRDefault="005E0223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Préparation des réactifs</w:t>
          </w:r>
        </w:p>
      </w:tc>
    </w:tr>
    <w:tr w:rsidR="005E0223">
      <w:tc>
        <w:tcPr>
          <w:tcW w:w="4428" w:type="dxa"/>
        </w:tcPr>
        <w:p w:rsidR="005E0223" w:rsidRDefault="005E0223" w:rsidP="00D01FB9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révision :</w:t>
          </w:r>
          <w:r w:rsidR="009B741A">
            <w:rPr>
              <w:rFonts w:ascii="Arial" w:hAnsi="Arial" w:cs="Arial"/>
              <w:lang w:val="fr-CA"/>
            </w:rPr>
            <w:t xml:space="preserve"> 2009/12/31</w:t>
          </w:r>
          <w:r w:rsidR="00683CDB">
            <w:rPr>
              <w:rFonts w:ascii="Arial" w:hAnsi="Arial" w:cs="Arial"/>
              <w:lang w:val="fr-CA"/>
            </w:rPr>
            <w:t>; 2014/12</w:t>
          </w:r>
          <w:r w:rsidR="00215D94"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5E0223" w:rsidRDefault="005E0223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Page</w:t>
          </w:r>
          <w:r w:rsidR="00931F7B">
            <w:rPr>
              <w:rFonts w:ascii="Arial" w:hAnsi="Arial" w:cs="Arial"/>
              <w:lang w:val="fr-CA"/>
            </w:rPr>
            <w:t>s</w:t>
          </w:r>
          <w:r w:rsidR="008D4FDF">
            <w:rPr>
              <w:rFonts w:ascii="Arial" w:hAnsi="Arial" w:cs="Arial"/>
              <w:lang w:val="fr-CA"/>
            </w:rPr>
            <w:t> :</w:t>
          </w:r>
          <w:r w:rsidR="00D01FB9">
            <w:rPr>
              <w:rFonts w:ascii="Arial" w:hAnsi="Arial" w:cs="Arial"/>
              <w:lang w:val="fr-CA"/>
            </w:rPr>
            <w:t xml:space="preserve">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1215C3">
            <w:rPr>
              <w:rFonts w:ascii="Arial" w:hAnsi="Arial" w:cs="Arial"/>
              <w:noProof/>
              <w:lang w:val="fr-CA"/>
            </w:rPr>
            <w:t>1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5E0223" w:rsidRDefault="00F450EB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2978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W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tL0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"/>
          </w:pict>
        </mc:Fallback>
      </mc:AlternateContent>
    </w:r>
    <w:r w:rsidR="005E0223">
      <w:rPr>
        <w:rFonts w:ascii="Arial" w:hAnsi="Arial" w:cs="Arial"/>
      </w:rPr>
      <w:tab/>
    </w:r>
  </w:p>
  <w:p w:rsidR="005E0223" w:rsidRDefault="005E0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3C4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04888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4B74A1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D9E3B2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3111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4"/>
    <w:rsid w:val="00060EB1"/>
    <w:rsid w:val="00071C77"/>
    <w:rsid w:val="000746A2"/>
    <w:rsid w:val="001215C3"/>
    <w:rsid w:val="00147916"/>
    <w:rsid w:val="001F13D2"/>
    <w:rsid w:val="00212E92"/>
    <w:rsid w:val="00215D94"/>
    <w:rsid w:val="002339D7"/>
    <w:rsid w:val="00235314"/>
    <w:rsid w:val="00236587"/>
    <w:rsid w:val="002F7F35"/>
    <w:rsid w:val="00301695"/>
    <w:rsid w:val="003A0231"/>
    <w:rsid w:val="003A1EBC"/>
    <w:rsid w:val="003E6BBF"/>
    <w:rsid w:val="003F299A"/>
    <w:rsid w:val="00412C14"/>
    <w:rsid w:val="004155D7"/>
    <w:rsid w:val="00433454"/>
    <w:rsid w:val="004B4578"/>
    <w:rsid w:val="00591468"/>
    <w:rsid w:val="005E0223"/>
    <w:rsid w:val="005F4181"/>
    <w:rsid w:val="005F4FFB"/>
    <w:rsid w:val="00604AEA"/>
    <w:rsid w:val="00627582"/>
    <w:rsid w:val="00645C50"/>
    <w:rsid w:val="00683247"/>
    <w:rsid w:val="00683CDB"/>
    <w:rsid w:val="006B2340"/>
    <w:rsid w:val="00765B39"/>
    <w:rsid w:val="007847D8"/>
    <w:rsid w:val="007A446C"/>
    <w:rsid w:val="007F14C9"/>
    <w:rsid w:val="00807E08"/>
    <w:rsid w:val="00860B0D"/>
    <w:rsid w:val="00861102"/>
    <w:rsid w:val="008B330E"/>
    <w:rsid w:val="008D4FDF"/>
    <w:rsid w:val="009259BB"/>
    <w:rsid w:val="00931F7B"/>
    <w:rsid w:val="009B741A"/>
    <w:rsid w:val="00A35AD3"/>
    <w:rsid w:val="00A363A0"/>
    <w:rsid w:val="00A84007"/>
    <w:rsid w:val="00A949FD"/>
    <w:rsid w:val="00AC6331"/>
    <w:rsid w:val="00AF74A7"/>
    <w:rsid w:val="00B34D64"/>
    <w:rsid w:val="00B43040"/>
    <w:rsid w:val="00B95246"/>
    <w:rsid w:val="00D01FB9"/>
    <w:rsid w:val="00E033B5"/>
    <w:rsid w:val="00E37A40"/>
    <w:rsid w:val="00E6624D"/>
    <w:rsid w:val="00E772A7"/>
    <w:rsid w:val="00E9744C"/>
    <w:rsid w:val="00F35A94"/>
    <w:rsid w:val="00F450EB"/>
    <w:rsid w:val="00F4518B"/>
    <w:rsid w:val="00F61B66"/>
    <w:rsid w:val="00FA6FEE"/>
    <w:rsid w:val="00FA729D"/>
    <w:rsid w:val="00FA73B5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8E51C-027D-4212-A9EC-0EE231D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b/>
      <w:spacing w:val="-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446C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2758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65B39"/>
    <w:pPr>
      <w:ind w:left="720"/>
    </w:pPr>
  </w:style>
  <w:style w:type="character" w:styleId="SubtleReference">
    <w:name w:val="Subtle Reference"/>
    <w:uiPriority w:val="31"/>
    <w:qFormat/>
    <w:rsid w:val="00E9744C"/>
    <w:rPr>
      <w:smallCaps/>
      <w:color w:val="C0504D"/>
      <w:u w:val="single"/>
    </w:rPr>
  </w:style>
  <w:style w:type="character" w:styleId="Hyperlink">
    <w:name w:val="Hyperlink"/>
    <w:rsid w:val="00E97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RP.003 Preparation of Complement Sensitized Red Cells</vt:lpstr>
      <vt:lpstr>RP.003 Preparation of Complement Sensitized Red Cells</vt:lpstr>
    </vt:vector>
  </TitlesOfParts>
  <Company>Microsoft</Company>
  <LinksUpToDate>false</LinksUpToDate>
  <CharactersWithSpaces>4595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RP.003 Preparation of Complement Sensitized Red Cells</dc:title>
  <dc:subject/>
  <dc:creator>Transfusion Ontario Program Office</dc:creator>
  <cp:keywords/>
  <cp:lastModifiedBy>Nesrallah, Heather</cp:lastModifiedBy>
  <cp:revision>2</cp:revision>
  <cp:lastPrinted>2010-03-09T18:10:00Z</cp:lastPrinted>
  <dcterms:created xsi:type="dcterms:W3CDTF">2020-08-11T20:18:00Z</dcterms:created>
  <dcterms:modified xsi:type="dcterms:W3CDTF">2020-08-11T20:18:00Z</dcterms:modified>
</cp:coreProperties>
</file>