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A3" w:rsidRDefault="00740EA3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>
        <w:rPr>
          <w:rFonts w:ascii="Arial" w:hAnsi="Arial"/>
          <w:b/>
          <w:sz w:val="28"/>
          <w:lang w:val="fr-CA"/>
        </w:rPr>
        <w:t>Principe</w:t>
      </w:r>
    </w:p>
    <w:p w:rsidR="00740EA3" w:rsidRDefault="00740EA3">
      <w:pPr>
        <w:rPr>
          <w:rFonts w:ascii="Arial" w:hAnsi="Arial"/>
          <w:sz w:val="24"/>
          <w:lang w:val="fr-CA"/>
        </w:rPr>
      </w:pPr>
    </w:p>
    <w:p w:rsidR="00E9097B" w:rsidRDefault="00E9097B">
      <w:pPr>
        <w:pStyle w:val="BodyTextIndent"/>
        <w:rPr>
          <w:lang w:val="fr-CA"/>
        </w:rPr>
      </w:pPr>
      <w:r w:rsidRPr="003160AD">
        <w:rPr>
          <w:lang w:val="fr-CA"/>
        </w:rPr>
        <w:t xml:space="preserve">L’ajout de cellules recouvertes d’IgG à des épreuves négatives à la GAH (utilisées pour la détection d’IgG) est nécessaire lors de procédures de </w:t>
      </w:r>
      <w:r>
        <w:rPr>
          <w:lang w:val="fr-CA"/>
        </w:rPr>
        <w:t xml:space="preserve">confirmation de la validité du </w:t>
      </w:r>
      <w:r w:rsidRPr="003160AD">
        <w:rPr>
          <w:lang w:val="fr-CA"/>
        </w:rPr>
        <w:t xml:space="preserve">dépistage d’anticorps et de </w:t>
      </w:r>
      <w:r>
        <w:rPr>
          <w:lang w:val="fr-CA"/>
        </w:rPr>
        <w:t xml:space="preserve">la </w:t>
      </w:r>
      <w:r w:rsidRPr="003160AD">
        <w:rPr>
          <w:lang w:val="fr-CA"/>
        </w:rPr>
        <w:t>compatibilité croisée.</w:t>
      </w:r>
      <w:r w:rsidR="00C04E36">
        <w:rPr>
          <w:lang w:val="fr-CA"/>
        </w:rPr>
        <w:t xml:space="preserve"> La GAH qui ne se lie pas aux globules rouges pendant une épreuve à l’</w:t>
      </w:r>
      <w:proofErr w:type="spellStart"/>
      <w:r w:rsidR="00C04E36">
        <w:rPr>
          <w:lang w:val="fr-CA"/>
        </w:rPr>
        <w:t>antiglobuline</w:t>
      </w:r>
      <w:proofErr w:type="spellEnd"/>
      <w:r w:rsidR="00C04E36">
        <w:rPr>
          <w:lang w:val="fr-CA"/>
        </w:rPr>
        <w:t xml:space="preserve"> (résultat négatif au test de Coombs) devrait rester dans les tubes et provoquer l’agglutination des </w:t>
      </w:r>
      <w:r w:rsidR="00C04E36" w:rsidRPr="003160AD">
        <w:rPr>
          <w:lang w:val="fr-CA"/>
        </w:rPr>
        <w:t xml:space="preserve">cellules recouvertes d’IgG </w:t>
      </w:r>
      <w:r w:rsidR="00C04E36">
        <w:rPr>
          <w:lang w:val="fr-CA"/>
        </w:rPr>
        <w:t>qu’on y ajoute</w:t>
      </w:r>
      <w:r w:rsidR="003160AD">
        <w:rPr>
          <w:lang w:val="fr-CA"/>
        </w:rPr>
        <w:t>.</w:t>
      </w:r>
      <w:r>
        <w:rPr>
          <w:lang w:val="fr-CA"/>
        </w:rPr>
        <w:t xml:space="preserve"> L’agglutination des </w:t>
      </w:r>
      <w:r w:rsidRPr="003160AD">
        <w:rPr>
          <w:lang w:val="fr-CA"/>
        </w:rPr>
        <w:t xml:space="preserve">cellules recouvertes </w:t>
      </w:r>
      <w:proofErr w:type="gramStart"/>
      <w:r w:rsidRPr="003160AD">
        <w:rPr>
          <w:lang w:val="fr-CA"/>
        </w:rPr>
        <w:t xml:space="preserve">d’IgG </w:t>
      </w:r>
      <w:r>
        <w:rPr>
          <w:lang w:val="fr-CA"/>
        </w:rPr>
        <w:t xml:space="preserve"> confirme</w:t>
      </w:r>
      <w:proofErr w:type="gramEnd"/>
      <w:r>
        <w:rPr>
          <w:lang w:val="fr-CA"/>
        </w:rPr>
        <w:t xml:space="preserve"> l’ajout et l’activité du réactif GAH.</w:t>
      </w:r>
    </w:p>
    <w:p w:rsidR="00561475" w:rsidRDefault="003160AD">
      <w:pPr>
        <w:pStyle w:val="BodyTextIndent"/>
        <w:rPr>
          <w:lang w:val="fr-CA"/>
        </w:rPr>
      </w:pPr>
      <w:r>
        <w:rPr>
          <w:lang w:val="fr-CA"/>
        </w:rPr>
        <w:br/>
      </w:r>
      <w:r w:rsidR="00E9097B">
        <w:rPr>
          <w:lang w:val="fr-CA"/>
        </w:rPr>
        <w:t xml:space="preserve">Il faut parfois préparer des </w:t>
      </w:r>
      <w:r w:rsidR="00E9097B" w:rsidRPr="003160AD">
        <w:rPr>
          <w:lang w:val="fr-CA"/>
        </w:rPr>
        <w:t>cellules recouvertes d’IgG</w:t>
      </w:r>
      <w:r w:rsidR="00E9097B">
        <w:rPr>
          <w:lang w:val="fr-CA"/>
        </w:rPr>
        <w:t xml:space="preserve"> en l’absence de cellules commerciales. </w:t>
      </w:r>
    </w:p>
    <w:p w:rsidR="00740EA3" w:rsidRDefault="00740EA3">
      <w:pPr>
        <w:rPr>
          <w:rFonts w:ascii="Arial" w:hAnsi="Arial"/>
          <w:sz w:val="24"/>
          <w:lang w:val="fr-CA"/>
        </w:rPr>
      </w:pPr>
    </w:p>
    <w:p w:rsidR="003160AD" w:rsidRDefault="00740EA3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 xml:space="preserve">Portée et politiques connexes </w:t>
      </w:r>
    </w:p>
    <w:p w:rsidR="00740EA3" w:rsidRDefault="00740EA3" w:rsidP="003160AD">
      <w:pPr>
        <w:ind w:left="720"/>
        <w:rPr>
          <w:rFonts w:ascii="Arial" w:hAnsi="Arial"/>
          <w:b/>
          <w:sz w:val="28"/>
          <w:lang w:val="fr-CA"/>
        </w:rPr>
      </w:pPr>
    </w:p>
    <w:p w:rsidR="00C04E36" w:rsidRPr="00C04E36" w:rsidRDefault="00C04E36" w:rsidP="003160AD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Tout réactif préparé </w:t>
      </w:r>
      <w:r w:rsidR="000754DE">
        <w:rPr>
          <w:rFonts w:ascii="Arial" w:hAnsi="Arial"/>
          <w:sz w:val="24"/>
          <w:lang w:val="fr-CA"/>
        </w:rPr>
        <w:t xml:space="preserve">en </w:t>
      </w:r>
      <w:r>
        <w:rPr>
          <w:rFonts w:ascii="Arial" w:hAnsi="Arial"/>
          <w:sz w:val="24"/>
          <w:lang w:val="fr-CA"/>
        </w:rPr>
        <w:t xml:space="preserve">laboratoire interne qui contient une substance </w:t>
      </w:r>
      <w:proofErr w:type="gramStart"/>
      <w:r>
        <w:rPr>
          <w:rFonts w:ascii="Arial" w:hAnsi="Arial"/>
          <w:sz w:val="24"/>
          <w:lang w:val="fr-CA"/>
        </w:rPr>
        <w:t>contrôlée</w:t>
      </w:r>
      <w:proofErr w:type="gramEnd"/>
      <w:r>
        <w:rPr>
          <w:rFonts w:ascii="Arial" w:hAnsi="Arial"/>
          <w:sz w:val="24"/>
          <w:lang w:val="fr-CA"/>
        </w:rPr>
        <w:t xml:space="preserve"> doit être étiqueté conformément au règlement du SIMDUT</w:t>
      </w:r>
      <w:r>
        <w:rPr>
          <w:rFonts w:ascii="Arial" w:hAnsi="Arial"/>
          <w:sz w:val="24"/>
          <w:vertAlign w:val="superscript"/>
          <w:lang w:val="fr-CA"/>
        </w:rPr>
        <w:t>9.1</w:t>
      </w:r>
      <w:r>
        <w:rPr>
          <w:rFonts w:ascii="Arial" w:hAnsi="Arial"/>
          <w:sz w:val="24"/>
          <w:lang w:val="fr-CA"/>
        </w:rPr>
        <w:t xml:space="preserve">.  </w:t>
      </w:r>
    </w:p>
    <w:p w:rsidR="003160AD" w:rsidRPr="003160AD" w:rsidRDefault="003160AD" w:rsidP="00E9097B">
      <w:pPr>
        <w:ind w:left="1440"/>
        <w:rPr>
          <w:rFonts w:ascii="Arial" w:hAnsi="Arial"/>
          <w:sz w:val="24"/>
          <w:lang w:val="fr-CA"/>
        </w:rPr>
      </w:pPr>
    </w:p>
    <w:p w:rsidR="00740EA3" w:rsidRDefault="00740EA3">
      <w:pPr>
        <w:ind w:left="1440"/>
        <w:rPr>
          <w:rFonts w:ascii="Arial" w:hAnsi="Arial"/>
          <w:sz w:val="24"/>
          <w:lang w:val="fr-CA"/>
        </w:rPr>
      </w:pPr>
    </w:p>
    <w:p w:rsidR="00740EA3" w:rsidRDefault="00740EA3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 xml:space="preserve">Échantillons – S.O. </w:t>
      </w:r>
    </w:p>
    <w:p w:rsidR="00740EA3" w:rsidRDefault="00740EA3">
      <w:pPr>
        <w:rPr>
          <w:rFonts w:ascii="Arial" w:hAnsi="Arial"/>
          <w:sz w:val="24"/>
          <w:lang w:val="fr-CA"/>
        </w:rPr>
      </w:pPr>
    </w:p>
    <w:p w:rsidR="00740EA3" w:rsidRDefault="00740EA3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Matériel</w:t>
      </w:r>
    </w:p>
    <w:p w:rsidR="00740EA3" w:rsidRDefault="00740EA3">
      <w:pPr>
        <w:rPr>
          <w:rFonts w:ascii="Arial" w:hAnsi="Arial"/>
          <w:sz w:val="24"/>
          <w:lang w:val="fr-CA"/>
        </w:rPr>
      </w:pPr>
    </w:p>
    <w:p w:rsidR="00740EA3" w:rsidRDefault="00740EA3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Équipement :</w:t>
      </w:r>
      <w:r>
        <w:rPr>
          <w:rFonts w:ascii="Arial" w:hAnsi="Arial"/>
          <w:sz w:val="24"/>
          <w:lang w:val="fr-CA"/>
        </w:rPr>
        <w:tab/>
      </w:r>
      <w:r w:rsidR="00D758EE">
        <w:rPr>
          <w:rFonts w:ascii="Arial" w:hAnsi="Arial"/>
          <w:sz w:val="24"/>
          <w:lang w:val="fr-CA"/>
        </w:rPr>
        <w:t>l</w:t>
      </w:r>
      <w:r>
        <w:rPr>
          <w:rFonts w:ascii="Arial" w:hAnsi="Arial"/>
          <w:sz w:val="24"/>
          <w:lang w:val="fr-CA"/>
        </w:rPr>
        <w:t>aveu</w:t>
      </w:r>
      <w:r w:rsidR="00D758EE">
        <w:rPr>
          <w:rFonts w:ascii="Arial" w:hAnsi="Arial"/>
          <w:sz w:val="24"/>
          <w:lang w:val="fr-CA"/>
        </w:rPr>
        <w:t>se</w:t>
      </w:r>
      <w:r>
        <w:rPr>
          <w:rFonts w:ascii="Arial" w:hAnsi="Arial"/>
          <w:sz w:val="24"/>
          <w:lang w:val="fr-CA"/>
        </w:rPr>
        <w:t xml:space="preserve"> de cellules </w:t>
      </w:r>
    </w:p>
    <w:p w:rsidR="00740EA3" w:rsidRDefault="00740EA3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 w:rsidR="00D758EE">
        <w:rPr>
          <w:rFonts w:ascii="Arial" w:hAnsi="Arial"/>
          <w:sz w:val="24"/>
          <w:lang w:val="fr-CA"/>
        </w:rPr>
        <w:t>c</w:t>
      </w:r>
      <w:r>
        <w:rPr>
          <w:rFonts w:ascii="Arial" w:hAnsi="Arial"/>
          <w:sz w:val="24"/>
          <w:lang w:val="fr-CA"/>
        </w:rPr>
        <w:t>entrifugeuse</w:t>
      </w:r>
      <w:proofErr w:type="gramEnd"/>
      <w:r>
        <w:rPr>
          <w:rFonts w:ascii="Arial" w:hAnsi="Arial"/>
          <w:sz w:val="24"/>
          <w:lang w:val="fr-CA"/>
        </w:rPr>
        <w:t xml:space="preserve"> sérologique</w:t>
      </w:r>
    </w:p>
    <w:p w:rsidR="00740EA3" w:rsidRDefault="00740EA3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 w:rsidR="00D758EE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>upport</w:t>
      </w:r>
      <w:proofErr w:type="gramEnd"/>
      <w:r>
        <w:rPr>
          <w:rFonts w:ascii="Arial" w:hAnsi="Arial"/>
          <w:sz w:val="24"/>
          <w:lang w:val="fr-CA"/>
        </w:rPr>
        <w:t xml:space="preserve"> à tubes</w:t>
      </w:r>
    </w:p>
    <w:p w:rsidR="00740EA3" w:rsidRDefault="00D758EE">
      <w:pPr>
        <w:ind w:left="288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m</w:t>
      </w:r>
      <w:r w:rsidR="00740EA3">
        <w:rPr>
          <w:rFonts w:ascii="Arial" w:hAnsi="Arial"/>
          <w:sz w:val="24"/>
          <w:lang w:val="fr-CA"/>
        </w:rPr>
        <w:t>icroscope</w:t>
      </w:r>
      <w:proofErr w:type="gramEnd"/>
    </w:p>
    <w:p w:rsidR="00740EA3" w:rsidRDefault="00D758EE">
      <w:pPr>
        <w:ind w:left="288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b</w:t>
      </w:r>
      <w:r w:rsidR="00740EA3">
        <w:rPr>
          <w:rFonts w:ascii="Arial" w:hAnsi="Arial"/>
          <w:sz w:val="24"/>
          <w:lang w:val="fr-CA"/>
        </w:rPr>
        <w:t>ain</w:t>
      </w:r>
      <w:proofErr w:type="gramEnd"/>
      <w:r w:rsidR="00740EA3">
        <w:rPr>
          <w:rFonts w:ascii="Arial" w:hAnsi="Arial"/>
          <w:sz w:val="24"/>
          <w:lang w:val="fr-CA"/>
        </w:rPr>
        <w:t>-marie/bloc chauffant à 37°C</w:t>
      </w:r>
    </w:p>
    <w:p w:rsidR="00813069" w:rsidRDefault="00813069" w:rsidP="00813069">
      <w:pPr>
        <w:rPr>
          <w:rFonts w:ascii="Arial" w:hAnsi="Arial"/>
          <w:sz w:val="24"/>
          <w:lang w:val="fr-CA"/>
        </w:rPr>
      </w:pPr>
    </w:p>
    <w:p w:rsidR="00813069" w:rsidRDefault="00813069" w:rsidP="00813069">
      <w:pPr>
        <w:rPr>
          <w:rFonts w:ascii="Arial" w:hAnsi="Arial"/>
          <w:sz w:val="24"/>
          <w:lang w:val="fr-CA"/>
        </w:rPr>
      </w:pPr>
    </w:p>
    <w:p w:rsidR="00740EA3" w:rsidRDefault="00740EA3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lastRenderedPageBreak/>
        <w:t>Fournitures :</w:t>
      </w:r>
      <w:r w:rsidR="000754DE">
        <w:rPr>
          <w:rFonts w:ascii="Arial" w:hAnsi="Arial"/>
          <w:b/>
          <w:sz w:val="24"/>
          <w:lang w:val="fr-CA"/>
        </w:rPr>
        <w:t xml:space="preserve"> </w:t>
      </w:r>
      <w:r w:rsidR="000754DE">
        <w:rPr>
          <w:rFonts w:ascii="Arial" w:hAnsi="Arial"/>
          <w:b/>
          <w:sz w:val="24"/>
          <w:lang w:val="fr-CA"/>
        </w:rPr>
        <w:tab/>
      </w:r>
      <w:r w:rsidR="00D758EE">
        <w:rPr>
          <w:rFonts w:ascii="Arial" w:hAnsi="Arial"/>
          <w:sz w:val="24"/>
          <w:lang w:val="fr-CA"/>
        </w:rPr>
        <w:t>t</w:t>
      </w:r>
      <w:r>
        <w:rPr>
          <w:rFonts w:ascii="Arial" w:hAnsi="Arial"/>
          <w:sz w:val="24"/>
          <w:lang w:val="fr-CA"/>
        </w:rPr>
        <w:t>ubes – 10 x 75</w:t>
      </w:r>
      <w:r w:rsidR="0083092B">
        <w:rPr>
          <w:rFonts w:ascii="Arial" w:hAnsi="Arial"/>
          <w:sz w:val="24"/>
          <w:lang w:val="fr-CA"/>
        </w:rPr>
        <w:t> </w:t>
      </w:r>
      <w:r>
        <w:rPr>
          <w:rFonts w:ascii="Arial" w:hAnsi="Arial"/>
          <w:sz w:val="24"/>
          <w:lang w:val="fr-CA"/>
        </w:rPr>
        <w:t>mm</w:t>
      </w:r>
    </w:p>
    <w:p w:rsidR="00740EA3" w:rsidRDefault="00740EA3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 w:rsidR="00D758EE">
        <w:rPr>
          <w:rFonts w:ascii="Arial" w:hAnsi="Arial"/>
          <w:sz w:val="24"/>
          <w:lang w:val="fr-CA"/>
        </w:rPr>
        <w:t>p</w:t>
      </w:r>
      <w:r>
        <w:rPr>
          <w:rFonts w:ascii="Arial" w:hAnsi="Arial"/>
          <w:sz w:val="24"/>
          <w:lang w:val="fr-CA"/>
        </w:rPr>
        <w:t>ipettes</w:t>
      </w:r>
      <w:proofErr w:type="gramEnd"/>
      <w:r>
        <w:rPr>
          <w:rFonts w:ascii="Arial" w:hAnsi="Arial"/>
          <w:sz w:val="24"/>
          <w:lang w:val="fr-CA"/>
        </w:rPr>
        <w:t xml:space="preserve"> sérologiques</w:t>
      </w:r>
    </w:p>
    <w:p w:rsidR="00740EA3" w:rsidRDefault="00740EA3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 w:rsidR="00D758EE">
        <w:rPr>
          <w:rFonts w:ascii="Arial" w:hAnsi="Arial"/>
          <w:sz w:val="24"/>
          <w:lang w:val="fr-CA"/>
        </w:rPr>
        <w:t>f</w:t>
      </w:r>
      <w:r>
        <w:rPr>
          <w:rFonts w:ascii="Arial" w:hAnsi="Arial"/>
          <w:sz w:val="24"/>
          <w:lang w:val="fr-CA"/>
        </w:rPr>
        <w:t>lacon</w:t>
      </w:r>
      <w:proofErr w:type="gramEnd"/>
      <w:r>
        <w:rPr>
          <w:rFonts w:ascii="Arial" w:hAnsi="Arial"/>
          <w:sz w:val="24"/>
          <w:lang w:val="fr-CA"/>
        </w:rPr>
        <w:t xml:space="preserve"> compte-gouttes </w:t>
      </w:r>
    </w:p>
    <w:p w:rsidR="00740EA3" w:rsidRDefault="00740EA3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</w:p>
    <w:p w:rsidR="00740EA3" w:rsidRDefault="00740EA3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b/>
          <w:sz w:val="24"/>
          <w:lang w:val="fr-CA"/>
        </w:rPr>
        <w:t>Réactifs :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 w:rsidR="00D758EE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>olution saline</w:t>
      </w:r>
      <w:r w:rsidR="003160AD">
        <w:rPr>
          <w:rFonts w:ascii="Arial" w:hAnsi="Arial"/>
          <w:sz w:val="24"/>
          <w:lang w:val="fr-CA"/>
        </w:rPr>
        <w:t xml:space="preserve"> </w:t>
      </w:r>
    </w:p>
    <w:p w:rsidR="00740EA3" w:rsidRDefault="00740EA3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 w:rsidR="00853F13">
        <w:rPr>
          <w:rFonts w:ascii="Arial" w:hAnsi="Arial"/>
          <w:sz w:val="24"/>
          <w:lang w:val="fr-CA"/>
        </w:rPr>
        <w:t>a</w:t>
      </w:r>
      <w:r>
        <w:rPr>
          <w:rFonts w:ascii="Arial" w:hAnsi="Arial"/>
          <w:sz w:val="24"/>
          <w:lang w:val="fr-CA"/>
        </w:rPr>
        <w:t>nti</w:t>
      </w:r>
      <w:proofErr w:type="gramEnd"/>
      <w:r>
        <w:rPr>
          <w:rFonts w:ascii="Arial" w:hAnsi="Arial"/>
          <w:sz w:val="24"/>
          <w:lang w:val="fr-CA"/>
        </w:rPr>
        <w:t>-D IgG</w:t>
      </w:r>
    </w:p>
    <w:p w:rsidR="00740EA3" w:rsidRDefault="00853F13">
      <w:pPr>
        <w:ind w:left="288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s</w:t>
      </w:r>
      <w:r w:rsidR="00740EA3">
        <w:rPr>
          <w:rFonts w:ascii="Arial" w:hAnsi="Arial"/>
          <w:sz w:val="24"/>
          <w:lang w:val="fr-CA"/>
        </w:rPr>
        <w:t>egments</w:t>
      </w:r>
      <w:proofErr w:type="gramEnd"/>
      <w:r w:rsidR="00740EA3">
        <w:rPr>
          <w:rFonts w:ascii="Arial" w:hAnsi="Arial"/>
          <w:sz w:val="24"/>
          <w:lang w:val="fr-CA"/>
        </w:rPr>
        <w:t xml:space="preserve"> de globules rouges O positif (confirmer que le segment est Rh positif avant de commencer la procédure)</w:t>
      </w:r>
    </w:p>
    <w:p w:rsidR="00740EA3" w:rsidRDefault="00740EA3">
      <w:p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proofErr w:type="gramStart"/>
      <w:r w:rsidR="00853F13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>olution</w:t>
      </w:r>
      <w:proofErr w:type="gramEnd"/>
      <w:r>
        <w:rPr>
          <w:rFonts w:ascii="Arial" w:hAnsi="Arial"/>
          <w:sz w:val="24"/>
          <w:lang w:val="fr-CA"/>
        </w:rPr>
        <w:t xml:space="preserve"> </w:t>
      </w:r>
      <w:proofErr w:type="spellStart"/>
      <w:r>
        <w:rPr>
          <w:rFonts w:ascii="Arial" w:hAnsi="Arial"/>
          <w:sz w:val="24"/>
          <w:lang w:val="fr-CA"/>
        </w:rPr>
        <w:t>Alsevers</w:t>
      </w:r>
      <w:proofErr w:type="spellEnd"/>
    </w:p>
    <w:p w:rsidR="00740EA3" w:rsidRDefault="00740EA3">
      <w:pPr>
        <w:rPr>
          <w:rFonts w:ascii="Arial" w:hAnsi="Arial"/>
          <w:sz w:val="24"/>
          <w:lang w:val="fr-CA"/>
        </w:rPr>
      </w:pPr>
    </w:p>
    <w:p w:rsidR="00740EA3" w:rsidRDefault="00740EA3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Contrôle de la qualité</w:t>
      </w:r>
      <w:r w:rsidR="000754DE">
        <w:rPr>
          <w:rFonts w:ascii="Arial" w:hAnsi="Arial"/>
          <w:b/>
          <w:sz w:val="28"/>
          <w:lang w:val="fr-CA"/>
        </w:rPr>
        <w:br/>
      </w:r>
    </w:p>
    <w:p w:rsidR="000754DE" w:rsidRPr="000754DE" w:rsidRDefault="000754DE" w:rsidP="000754D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La température du bain-marie ou du bloc chauffant doit être vérifiée et documentée à chaque utilisation</w:t>
      </w:r>
      <w:r>
        <w:rPr>
          <w:rFonts w:ascii="Arial" w:hAnsi="Arial"/>
          <w:sz w:val="24"/>
          <w:vertAlign w:val="superscript"/>
          <w:lang w:val="fr-CA"/>
        </w:rPr>
        <w:t>9.2</w:t>
      </w:r>
      <w:r>
        <w:rPr>
          <w:rFonts w:ascii="Arial" w:hAnsi="Arial"/>
          <w:sz w:val="24"/>
          <w:lang w:val="fr-CA"/>
        </w:rPr>
        <w:t>.</w:t>
      </w:r>
      <w:r>
        <w:rPr>
          <w:rFonts w:ascii="Arial" w:hAnsi="Arial"/>
          <w:sz w:val="24"/>
          <w:lang w:val="fr-CA"/>
        </w:rPr>
        <w:br/>
      </w:r>
    </w:p>
    <w:p w:rsidR="000754DE" w:rsidRDefault="000754DE" w:rsidP="000754D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L’équipement de centrifugation sera entretenu conformément aux recommandations du fabricant, notamment en ce qui a trait à la vitesse de rotation et au mécanisme de minutage</w:t>
      </w:r>
      <w:r>
        <w:rPr>
          <w:rFonts w:ascii="Arial" w:hAnsi="Arial"/>
          <w:sz w:val="24"/>
          <w:vertAlign w:val="superscript"/>
          <w:lang w:val="fr-CA"/>
        </w:rPr>
        <w:t>9.2</w:t>
      </w:r>
      <w:r>
        <w:rPr>
          <w:rFonts w:ascii="Arial" w:hAnsi="Arial"/>
          <w:sz w:val="24"/>
          <w:lang w:val="fr-CA"/>
        </w:rPr>
        <w:t>.</w:t>
      </w:r>
    </w:p>
    <w:p w:rsidR="000754DE" w:rsidRDefault="000754DE" w:rsidP="000754DE">
      <w:pPr>
        <w:ind w:left="1440"/>
        <w:rPr>
          <w:rFonts w:ascii="Arial" w:hAnsi="Arial"/>
          <w:sz w:val="24"/>
          <w:lang w:val="fr-CA"/>
        </w:rPr>
      </w:pPr>
    </w:p>
    <w:p w:rsidR="000754DE" w:rsidRPr="00F23BCD" w:rsidRDefault="000754DE" w:rsidP="000754D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Les pipettes sérologiques doivent être entretenues conformément aux recommandations du fabricant, y compris en ce qui concerne la précision du volume, la diminution des transferts et l’absence de contamination</w:t>
      </w:r>
      <w:r>
        <w:rPr>
          <w:rFonts w:ascii="Arial" w:hAnsi="Arial"/>
          <w:sz w:val="24"/>
          <w:vertAlign w:val="superscript"/>
          <w:lang w:val="fr-CA"/>
        </w:rPr>
        <w:t>9.2</w:t>
      </w:r>
      <w:r>
        <w:rPr>
          <w:rFonts w:ascii="Arial" w:hAnsi="Arial"/>
          <w:sz w:val="24"/>
          <w:lang w:val="fr-CA"/>
        </w:rPr>
        <w:t>.</w:t>
      </w:r>
      <w:r>
        <w:rPr>
          <w:rFonts w:ascii="Arial" w:hAnsi="Arial"/>
          <w:sz w:val="24"/>
          <w:lang w:val="fr-CA"/>
        </w:rPr>
        <w:br/>
      </w:r>
    </w:p>
    <w:p w:rsidR="000754DE" w:rsidRPr="000754DE" w:rsidRDefault="000754DE" w:rsidP="000754D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Les globules rouges enrobés d’IgG doivent afficher une agglutination d’au moins 2+ dans des épreuves faites avec des réactifs contenant de l’anti-</w:t>
      </w:r>
      <w:r w:rsidR="00DC608D">
        <w:rPr>
          <w:rFonts w:ascii="Arial" w:hAnsi="Arial"/>
          <w:sz w:val="24"/>
          <w:lang w:val="fr-CA"/>
        </w:rPr>
        <w:t>IgG</w:t>
      </w:r>
      <w:r w:rsidR="0083092B">
        <w:rPr>
          <w:rFonts w:ascii="Arial" w:hAnsi="Arial"/>
          <w:sz w:val="24"/>
          <w:vertAlign w:val="superscript"/>
          <w:lang w:val="fr-CA"/>
        </w:rPr>
        <w:t>9.3</w:t>
      </w:r>
      <w:r w:rsidR="00DC608D">
        <w:rPr>
          <w:rFonts w:ascii="Arial" w:hAnsi="Arial"/>
          <w:sz w:val="24"/>
          <w:lang w:val="fr-CA"/>
        </w:rPr>
        <w:t>,</w:t>
      </w:r>
    </w:p>
    <w:p w:rsidR="00740EA3" w:rsidRDefault="00740EA3">
      <w:pPr>
        <w:rPr>
          <w:rFonts w:ascii="Arial" w:hAnsi="Arial"/>
          <w:b/>
          <w:sz w:val="24"/>
          <w:lang w:val="fr-CA"/>
        </w:rPr>
      </w:pPr>
    </w:p>
    <w:p w:rsidR="00740EA3" w:rsidRDefault="00740EA3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Procédure</w:t>
      </w:r>
    </w:p>
    <w:p w:rsidR="00740EA3" w:rsidRDefault="00740EA3">
      <w:pPr>
        <w:rPr>
          <w:rFonts w:ascii="Arial" w:hAnsi="Arial"/>
          <w:b/>
          <w:sz w:val="28"/>
          <w:lang w:val="fr-CA"/>
        </w:rPr>
      </w:pPr>
    </w:p>
    <w:p w:rsidR="00740EA3" w:rsidRDefault="00740EA3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Étiqueter 6 tubes de 10 x 75</w:t>
      </w:r>
      <w:r w:rsidR="0083092B">
        <w:rPr>
          <w:rFonts w:ascii="Arial" w:hAnsi="Arial"/>
          <w:sz w:val="24"/>
          <w:lang w:val="fr-CA"/>
        </w:rPr>
        <w:t> </w:t>
      </w:r>
      <w:r>
        <w:rPr>
          <w:rFonts w:ascii="Arial" w:hAnsi="Arial"/>
          <w:sz w:val="24"/>
          <w:lang w:val="fr-CA"/>
        </w:rPr>
        <w:t xml:space="preserve">mm </w:t>
      </w:r>
      <w:r w:rsidR="003160AD">
        <w:rPr>
          <w:rFonts w:ascii="Arial" w:hAnsi="Arial"/>
          <w:sz w:val="24"/>
          <w:lang w:val="fr-CA"/>
        </w:rPr>
        <w:t xml:space="preserve">contenant des cellules témoins Coombs </w:t>
      </w:r>
      <w:r>
        <w:rPr>
          <w:rFonts w:ascii="Arial" w:hAnsi="Arial"/>
          <w:sz w:val="24"/>
          <w:lang w:val="fr-CA"/>
        </w:rPr>
        <w:t>en y inscrivant « </w:t>
      </w:r>
      <w:r w:rsidR="00DA7139">
        <w:rPr>
          <w:rFonts w:ascii="Arial" w:hAnsi="Arial"/>
          <w:sz w:val="24"/>
          <w:lang w:val="fr-CA"/>
        </w:rPr>
        <w:t>CTC </w:t>
      </w:r>
      <w:r>
        <w:rPr>
          <w:rFonts w:ascii="Arial" w:hAnsi="Arial"/>
          <w:sz w:val="24"/>
          <w:lang w:val="fr-CA"/>
        </w:rPr>
        <w:t>». Mettre le contenu de 2 segments (ou 1 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de sang entier Rh positif) dans chaque tube. </w:t>
      </w:r>
    </w:p>
    <w:p w:rsidR="00740EA3" w:rsidRDefault="00740EA3">
      <w:pPr>
        <w:rPr>
          <w:rFonts w:ascii="Arial" w:hAnsi="Arial"/>
          <w:sz w:val="24"/>
          <w:lang w:val="fr-CA"/>
        </w:rPr>
      </w:pPr>
    </w:p>
    <w:p w:rsidR="00740EA3" w:rsidRDefault="00740EA3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Ajouter 4 gouttes de réactif anti-D IgG à chaque tube.</w:t>
      </w:r>
    </w:p>
    <w:p w:rsidR="00740EA3" w:rsidRDefault="00740EA3">
      <w:pPr>
        <w:rPr>
          <w:rFonts w:ascii="Arial" w:hAnsi="Arial"/>
          <w:sz w:val="24"/>
          <w:lang w:val="fr-CA"/>
        </w:rPr>
      </w:pPr>
    </w:p>
    <w:p w:rsidR="00740EA3" w:rsidRDefault="00740EA3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Incuber les tubes à 37°C pendant 15 minutes.</w:t>
      </w:r>
    </w:p>
    <w:p w:rsidR="00740EA3" w:rsidRDefault="00740EA3">
      <w:pPr>
        <w:rPr>
          <w:rFonts w:ascii="Arial" w:hAnsi="Arial"/>
          <w:sz w:val="24"/>
          <w:lang w:val="fr-CA"/>
        </w:rPr>
      </w:pPr>
    </w:p>
    <w:p w:rsidR="00740EA3" w:rsidRDefault="00740EA3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Laver le contenu de chaque tube 4 fois à l’aide d’une solution saline. Conserver les </w:t>
      </w:r>
      <w:r w:rsidR="00937A26">
        <w:rPr>
          <w:rFonts w:ascii="Arial" w:hAnsi="Arial"/>
          <w:sz w:val="24"/>
          <w:lang w:val="fr-CA"/>
        </w:rPr>
        <w:t>cellules</w:t>
      </w:r>
      <w:r>
        <w:rPr>
          <w:rFonts w:ascii="Arial" w:hAnsi="Arial"/>
          <w:sz w:val="24"/>
          <w:lang w:val="fr-CA"/>
        </w:rPr>
        <w:t xml:space="preserve"> dans une solution </w:t>
      </w:r>
      <w:proofErr w:type="spellStart"/>
      <w:r>
        <w:rPr>
          <w:rFonts w:ascii="Arial" w:hAnsi="Arial"/>
          <w:sz w:val="24"/>
          <w:lang w:val="fr-CA"/>
        </w:rPr>
        <w:t>Alsevers</w:t>
      </w:r>
      <w:proofErr w:type="spellEnd"/>
      <w:r>
        <w:rPr>
          <w:rFonts w:ascii="Arial" w:hAnsi="Arial"/>
          <w:sz w:val="24"/>
          <w:lang w:val="fr-CA"/>
        </w:rPr>
        <w:t xml:space="preserve"> </w:t>
      </w:r>
      <w:r w:rsidR="003160AD">
        <w:rPr>
          <w:rFonts w:ascii="Arial" w:hAnsi="Arial"/>
          <w:sz w:val="24"/>
          <w:lang w:val="fr-CA"/>
        </w:rPr>
        <w:t>(</w:t>
      </w:r>
      <w:r w:rsidR="00DC608D">
        <w:rPr>
          <w:rFonts w:ascii="Arial" w:hAnsi="Arial"/>
          <w:sz w:val="24"/>
          <w:lang w:val="fr-CA"/>
        </w:rPr>
        <w:t xml:space="preserve">ajouter un volume équivalent de solution </w:t>
      </w:r>
      <w:proofErr w:type="spellStart"/>
      <w:r w:rsidR="00DC608D">
        <w:rPr>
          <w:rFonts w:ascii="Arial" w:hAnsi="Arial"/>
          <w:sz w:val="24"/>
          <w:lang w:val="fr-CA"/>
        </w:rPr>
        <w:t>Alsevers</w:t>
      </w:r>
      <w:proofErr w:type="spellEnd"/>
      <w:r w:rsidR="00DC608D">
        <w:rPr>
          <w:rFonts w:ascii="Arial" w:hAnsi="Arial"/>
          <w:sz w:val="24"/>
          <w:lang w:val="fr-CA"/>
        </w:rPr>
        <w:t>. Mettre la date et ses initiales sur l’étiquette, sceller les t</w:t>
      </w:r>
      <w:r w:rsidR="00813069">
        <w:rPr>
          <w:rFonts w:ascii="Arial" w:hAnsi="Arial"/>
          <w:sz w:val="24"/>
          <w:lang w:val="fr-CA"/>
        </w:rPr>
        <w:t>ubes et entreposer entre 1 et 6</w:t>
      </w:r>
      <w:r w:rsidR="00DC608D">
        <w:rPr>
          <w:rFonts w:ascii="Arial" w:hAnsi="Arial"/>
          <w:sz w:val="24"/>
          <w:lang w:val="fr-CA"/>
        </w:rPr>
        <w:t xml:space="preserve">°C </w:t>
      </w:r>
      <w:r>
        <w:rPr>
          <w:rFonts w:ascii="Arial" w:hAnsi="Arial"/>
          <w:sz w:val="24"/>
          <w:lang w:val="fr-CA"/>
        </w:rPr>
        <w:t>jusqu’à utilisation.</w:t>
      </w:r>
    </w:p>
    <w:p w:rsidR="00740EA3" w:rsidRDefault="00740EA3">
      <w:pPr>
        <w:rPr>
          <w:rFonts w:ascii="Arial" w:hAnsi="Arial"/>
          <w:sz w:val="24"/>
          <w:lang w:val="fr-CA"/>
        </w:rPr>
      </w:pPr>
    </w:p>
    <w:p w:rsidR="00740EA3" w:rsidRDefault="00740EA3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Chaque jour, étiqueter un flacon compte-gouttes de 10 </w:t>
      </w:r>
      <w:proofErr w:type="spellStart"/>
      <w:r>
        <w:rPr>
          <w:rFonts w:ascii="Arial" w:hAnsi="Arial"/>
          <w:sz w:val="24"/>
          <w:lang w:val="fr-CA"/>
        </w:rPr>
        <w:t>mL</w:t>
      </w:r>
      <w:proofErr w:type="spellEnd"/>
      <w:r>
        <w:rPr>
          <w:rFonts w:ascii="Arial" w:hAnsi="Arial"/>
          <w:sz w:val="24"/>
          <w:lang w:val="fr-CA"/>
        </w:rPr>
        <w:t xml:space="preserve"> en y inscrivant « </w:t>
      </w:r>
      <w:r w:rsidR="00DA7139">
        <w:rPr>
          <w:rFonts w:ascii="Arial" w:hAnsi="Arial"/>
          <w:sz w:val="24"/>
          <w:lang w:val="fr-CA"/>
        </w:rPr>
        <w:t>CTC </w:t>
      </w:r>
      <w:r>
        <w:rPr>
          <w:rFonts w:ascii="Arial" w:hAnsi="Arial"/>
          <w:sz w:val="24"/>
          <w:lang w:val="fr-CA"/>
        </w:rPr>
        <w:t>»</w:t>
      </w:r>
      <w:r w:rsidR="00A22A13">
        <w:rPr>
          <w:rFonts w:ascii="Arial" w:hAnsi="Arial"/>
          <w:sz w:val="24"/>
          <w:lang w:val="fr-CA"/>
        </w:rPr>
        <w:t xml:space="preserve"> et la date</w:t>
      </w:r>
      <w:r>
        <w:rPr>
          <w:rFonts w:ascii="Arial" w:hAnsi="Arial"/>
          <w:sz w:val="24"/>
          <w:lang w:val="fr-CA"/>
        </w:rPr>
        <w:t>.</w:t>
      </w:r>
      <w:r w:rsidR="00A22A13">
        <w:rPr>
          <w:rFonts w:ascii="Arial" w:hAnsi="Arial"/>
          <w:sz w:val="24"/>
          <w:lang w:val="fr-CA"/>
        </w:rPr>
        <w:t xml:space="preserve"> Mettre ses initiales </w:t>
      </w:r>
      <w:r w:rsidR="00DC608D">
        <w:rPr>
          <w:rFonts w:ascii="Arial" w:hAnsi="Arial"/>
          <w:sz w:val="24"/>
          <w:lang w:val="fr-CA"/>
        </w:rPr>
        <w:t xml:space="preserve">et la date </w:t>
      </w:r>
      <w:r w:rsidR="00A22A13">
        <w:rPr>
          <w:rFonts w:ascii="Arial" w:hAnsi="Arial"/>
          <w:sz w:val="24"/>
          <w:lang w:val="fr-CA"/>
        </w:rPr>
        <w:t>sur l’étiquette.</w:t>
      </w:r>
    </w:p>
    <w:p w:rsidR="00740EA3" w:rsidRDefault="00740EA3">
      <w:pPr>
        <w:rPr>
          <w:rFonts w:ascii="Arial" w:hAnsi="Arial"/>
          <w:sz w:val="24"/>
          <w:lang w:val="fr-CA"/>
        </w:rPr>
      </w:pPr>
    </w:p>
    <w:p w:rsidR="00740EA3" w:rsidRDefault="00740EA3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Laver </w:t>
      </w:r>
      <w:r w:rsidR="00A22A13">
        <w:rPr>
          <w:rFonts w:ascii="Arial" w:hAnsi="Arial"/>
          <w:sz w:val="24"/>
          <w:lang w:val="fr-CA"/>
        </w:rPr>
        <w:t xml:space="preserve">4 </w:t>
      </w:r>
      <w:r>
        <w:rPr>
          <w:rFonts w:ascii="Arial" w:hAnsi="Arial"/>
          <w:sz w:val="24"/>
          <w:lang w:val="fr-CA"/>
        </w:rPr>
        <w:t xml:space="preserve">fois </w:t>
      </w:r>
      <w:r w:rsidR="00937A26">
        <w:rPr>
          <w:rFonts w:ascii="Arial" w:hAnsi="Arial"/>
          <w:sz w:val="24"/>
          <w:lang w:val="fr-CA"/>
        </w:rPr>
        <w:t xml:space="preserve">chaque </w:t>
      </w:r>
      <w:r>
        <w:rPr>
          <w:rFonts w:ascii="Arial" w:hAnsi="Arial"/>
          <w:sz w:val="24"/>
          <w:lang w:val="fr-CA"/>
        </w:rPr>
        <w:t>tube de cellules témoin</w:t>
      </w:r>
      <w:r w:rsidR="00FC25A3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 xml:space="preserve"> sensibilisées </w:t>
      </w:r>
      <w:r w:rsidRPr="004D6ED3">
        <w:rPr>
          <w:rFonts w:ascii="Arial" w:hAnsi="Arial"/>
          <w:sz w:val="24"/>
          <w:lang w:val="fr-CA"/>
        </w:rPr>
        <w:t>par une</w:t>
      </w:r>
      <w:r>
        <w:rPr>
          <w:rFonts w:ascii="Arial" w:hAnsi="Arial"/>
          <w:sz w:val="24"/>
          <w:lang w:val="fr-CA"/>
        </w:rPr>
        <w:t xml:space="preserve"> IgG pour retirer la solution </w:t>
      </w:r>
      <w:proofErr w:type="spellStart"/>
      <w:r>
        <w:rPr>
          <w:rFonts w:ascii="Arial" w:hAnsi="Arial"/>
          <w:sz w:val="24"/>
          <w:lang w:val="fr-CA"/>
        </w:rPr>
        <w:t>Alsevers</w:t>
      </w:r>
      <w:proofErr w:type="spellEnd"/>
      <w:r>
        <w:rPr>
          <w:rFonts w:ascii="Arial" w:hAnsi="Arial"/>
          <w:sz w:val="24"/>
          <w:lang w:val="fr-CA"/>
        </w:rPr>
        <w:t>.</w:t>
      </w:r>
    </w:p>
    <w:p w:rsidR="00740EA3" w:rsidRDefault="00740EA3">
      <w:pPr>
        <w:rPr>
          <w:rFonts w:ascii="Arial" w:hAnsi="Arial"/>
          <w:sz w:val="24"/>
          <w:lang w:val="fr-CA"/>
        </w:rPr>
      </w:pPr>
    </w:p>
    <w:p w:rsidR="00740EA3" w:rsidRDefault="00740EA3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Transférer dans le </w:t>
      </w:r>
      <w:r w:rsidR="00DA7139">
        <w:rPr>
          <w:rFonts w:ascii="Arial" w:hAnsi="Arial"/>
          <w:sz w:val="24"/>
          <w:lang w:val="fr-CA"/>
        </w:rPr>
        <w:t xml:space="preserve">flacon </w:t>
      </w:r>
      <w:r>
        <w:rPr>
          <w:rFonts w:ascii="Arial" w:hAnsi="Arial"/>
          <w:sz w:val="24"/>
          <w:lang w:val="fr-CA"/>
        </w:rPr>
        <w:t xml:space="preserve">compte-gouttes </w:t>
      </w:r>
      <w:r w:rsidR="00A22A13">
        <w:rPr>
          <w:rFonts w:ascii="Arial" w:hAnsi="Arial"/>
          <w:sz w:val="24"/>
          <w:lang w:val="fr-CA"/>
        </w:rPr>
        <w:t xml:space="preserve">propre </w:t>
      </w:r>
      <w:r>
        <w:rPr>
          <w:rFonts w:ascii="Arial" w:hAnsi="Arial"/>
          <w:sz w:val="24"/>
          <w:lang w:val="fr-CA"/>
        </w:rPr>
        <w:t>les cellules lavées et remplir de solution saline pour obtenir une suspension à 5 %.</w:t>
      </w:r>
    </w:p>
    <w:p w:rsidR="00740EA3" w:rsidRDefault="00740EA3">
      <w:pPr>
        <w:rPr>
          <w:rFonts w:ascii="Arial" w:hAnsi="Arial"/>
          <w:sz w:val="24"/>
          <w:lang w:val="fr-CA"/>
        </w:rPr>
      </w:pPr>
    </w:p>
    <w:p w:rsidR="00740EA3" w:rsidRDefault="00740EA3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Chaque jour, jeter les cellules témoin</w:t>
      </w:r>
      <w:r w:rsidR="00FC25A3">
        <w:rPr>
          <w:rFonts w:ascii="Arial" w:hAnsi="Arial"/>
          <w:sz w:val="24"/>
          <w:lang w:val="fr-CA"/>
        </w:rPr>
        <w:t>s</w:t>
      </w:r>
      <w:r>
        <w:rPr>
          <w:rFonts w:ascii="Arial" w:hAnsi="Arial"/>
          <w:sz w:val="24"/>
          <w:lang w:val="fr-CA"/>
        </w:rPr>
        <w:t xml:space="preserve"> sensibilisées</w:t>
      </w:r>
      <w:r w:rsidR="00DA7139">
        <w:rPr>
          <w:rFonts w:ascii="Arial" w:hAnsi="Arial"/>
          <w:sz w:val="24"/>
          <w:lang w:val="fr-CA"/>
        </w:rPr>
        <w:t xml:space="preserve"> </w:t>
      </w:r>
      <w:r w:rsidRPr="004D6ED3">
        <w:rPr>
          <w:rFonts w:ascii="Arial" w:hAnsi="Arial"/>
          <w:sz w:val="24"/>
          <w:lang w:val="fr-CA"/>
        </w:rPr>
        <w:t>par une</w:t>
      </w:r>
      <w:r>
        <w:rPr>
          <w:rFonts w:ascii="Arial" w:hAnsi="Arial"/>
          <w:sz w:val="24"/>
          <w:lang w:val="fr-CA"/>
        </w:rPr>
        <w:t xml:space="preserve"> IgG de la journée précédente</w:t>
      </w:r>
      <w:r w:rsidR="00A22A13">
        <w:rPr>
          <w:rFonts w:ascii="Arial" w:hAnsi="Arial"/>
          <w:sz w:val="24"/>
          <w:lang w:val="fr-CA"/>
        </w:rPr>
        <w:t xml:space="preserve"> et préparer un nouveau </w:t>
      </w:r>
      <w:r w:rsidR="00DA7139">
        <w:rPr>
          <w:rFonts w:ascii="Arial" w:hAnsi="Arial"/>
          <w:sz w:val="24"/>
          <w:lang w:val="fr-CA"/>
        </w:rPr>
        <w:t>flacon</w:t>
      </w:r>
      <w:r w:rsidR="00DC608D">
        <w:rPr>
          <w:rFonts w:ascii="Arial" w:hAnsi="Arial"/>
          <w:sz w:val="24"/>
          <w:lang w:val="fr-CA"/>
        </w:rPr>
        <w:t xml:space="preserve"> en lavant quatre fois les cellules et en remplissant le </w:t>
      </w:r>
      <w:r w:rsidR="0083092B">
        <w:rPr>
          <w:rFonts w:ascii="Arial" w:hAnsi="Arial"/>
          <w:sz w:val="24"/>
          <w:lang w:val="fr-CA"/>
        </w:rPr>
        <w:t>flacon compte-gouttes</w:t>
      </w:r>
      <w:r w:rsidR="00DC608D">
        <w:rPr>
          <w:rFonts w:ascii="Arial" w:hAnsi="Arial"/>
          <w:sz w:val="24"/>
          <w:lang w:val="fr-CA"/>
        </w:rPr>
        <w:t xml:space="preserve"> bien lavé</w:t>
      </w:r>
      <w:r>
        <w:rPr>
          <w:rFonts w:ascii="Arial" w:hAnsi="Arial"/>
          <w:sz w:val="24"/>
          <w:lang w:val="fr-CA"/>
        </w:rPr>
        <w:t>.</w:t>
      </w:r>
    </w:p>
    <w:p w:rsidR="00740EA3" w:rsidRDefault="00740EA3">
      <w:pPr>
        <w:rPr>
          <w:rFonts w:ascii="Arial" w:hAnsi="Arial"/>
          <w:b/>
          <w:sz w:val="28"/>
          <w:lang w:val="fr-CA"/>
        </w:rPr>
      </w:pPr>
    </w:p>
    <w:p w:rsidR="00740EA3" w:rsidRDefault="00740EA3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Documentation – S.O.</w:t>
      </w:r>
    </w:p>
    <w:p w:rsidR="00740EA3" w:rsidRDefault="00740EA3">
      <w:pPr>
        <w:ind w:left="720"/>
        <w:rPr>
          <w:rFonts w:ascii="Arial" w:hAnsi="Arial"/>
          <w:b/>
          <w:sz w:val="28"/>
          <w:lang w:val="fr-CA"/>
        </w:rPr>
      </w:pPr>
    </w:p>
    <w:p w:rsidR="00740EA3" w:rsidRDefault="00740EA3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Remarques – S.O.</w:t>
      </w:r>
    </w:p>
    <w:p w:rsidR="00740EA3" w:rsidRDefault="00740EA3">
      <w:pPr>
        <w:ind w:left="720"/>
        <w:rPr>
          <w:rFonts w:ascii="Arial" w:hAnsi="Arial"/>
          <w:b/>
          <w:sz w:val="28"/>
          <w:lang w:val="fr-CA"/>
        </w:rPr>
      </w:pPr>
    </w:p>
    <w:p w:rsidR="00740EA3" w:rsidRDefault="00740EA3">
      <w:pPr>
        <w:numPr>
          <w:ilvl w:val="0"/>
          <w:numId w:val="1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Références</w:t>
      </w:r>
    </w:p>
    <w:p w:rsidR="00A22A13" w:rsidRPr="00784F49" w:rsidRDefault="00A22A13" w:rsidP="00A22A13">
      <w:pPr>
        <w:ind w:left="1440"/>
        <w:rPr>
          <w:rFonts w:ascii="Arial" w:hAnsi="Arial"/>
          <w:sz w:val="24"/>
        </w:rPr>
      </w:pPr>
    </w:p>
    <w:p w:rsidR="00DC608D" w:rsidRDefault="00DC608D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DC608D">
        <w:rPr>
          <w:rFonts w:ascii="Arial" w:hAnsi="Arial"/>
          <w:sz w:val="24"/>
          <w:lang w:val="fr-CA"/>
        </w:rPr>
        <w:t xml:space="preserve">SIMDUT </w:t>
      </w:r>
      <w:hyperlink r:id="rId7" w:history="1">
        <w:r w:rsidRPr="00DC608D">
          <w:rPr>
            <w:rStyle w:val="Hyperlink"/>
            <w:rFonts w:ascii="Arial" w:hAnsi="Arial"/>
            <w:sz w:val="24"/>
            <w:lang w:val="fr-CA"/>
          </w:rPr>
          <w:t>www.whmis.ca</w:t>
        </w:r>
      </w:hyperlink>
    </w:p>
    <w:p w:rsidR="00813069" w:rsidRPr="00813069" w:rsidRDefault="00813069" w:rsidP="00813069">
      <w:pPr>
        <w:ind w:left="1440"/>
        <w:rPr>
          <w:rFonts w:ascii="Arial" w:hAnsi="Arial"/>
          <w:sz w:val="24"/>
          <w:lang w:val="fr-CA"/>
        </w:rPr>
      </w:pPr>
    </w:p>
    <w:p w:rsidR="00BD0AD9" w:rsidRPr="00813069" w:rsidRDefault="00A22A13" w:rsidP="002469EE">
      <w:pPr>
        <w:numPr>
          <w:ilvl w:val="1"/>
          <w:numId w:val="1"/>
        </w:numPr>
        <w:rPr>
          <w:rFonts w:ascii="Arial" w:hAnsi="Arial"/>
          <w:sz w:val="24"/>
          <w:lang w:val="fr-CA"/>
        </w:rPr>
      </w:pPr>
      <w:r w:rsidRPr="0083092B">
        <w:rPr>
          <w:rFonts w:ascii="Arial" w:hAnsi="Arial"/>
          <w:i/>
          <w:sz w:val="24"/>
          <w:lang w:val="fr-CA"/>
        </w:rPr>
        <w:t>Standards for Hospital Transfusion Services</w:t>
      </w:r>
      <w:r w:rsidRPr="0083092B">
        <w:rPr>
          <w:rFonts w:ascii="Arial" w:hAnsi="Arial"/>
          <w:sz w:val="24"/>
          <w:lang w:val="fr-CA"/>
        </w:rPr>
        <w:t xml:space="preserve">, version </w:t>
      </w:r>
      <w:r w:rsidR="00DC608D" w:rsidRPr="0083092B">
        <w:rPr>
          <w:rFonts w:ascii="Arial" w:hAnsi="Arial"/>
          <w:sz w:val="24"/>
          <w:lang w:val="fr-CA"/>
        </w:rPr>
        <w:t>3</w:t>
      </w:r>
      <w:r w:rsidRPr="0083092B">
        <w:rPr>
          <w:rFonts w:ascii="Arial" w:hAnsi="Arial"/>
          <w:sz w:val="24"/>
          <w:lang w:val="fr-CA"/>
        </w:rPr>
        <w:t xml:space="preserve">, </w:t>
      </w:r>
      <w:r w:rsidR="00DC608D" w:rsidRPr="0083092B">
        <w:rPr>
          <w:rFonts w:ascii="Arial" w:hAnsi="Arial"/>
          <w:sz w:val="24"/>
          <w:lang w:val="fr-CA"/>
        </w:rPr>
        <w:t>février 2011</w:t>
      </w:r>
      <w:r w:rsidRPr="0083092B">
        <w:rPr>
          <w:rFonts w:ascii="Arial" w:hAnsi="Arial"/>
          <w:sz w:val="24"/>
          <w:lang w:val="fr-CA"/>
        </w:rPr>
        <w:t>, Société canadienne de médecine transfusionnelle</w:t>
      </w:r>
      <w:r w:rsidR="0083092B">
        <w:rPr>
          <w:rFonts w:ascii="Arial" w:hAnsi="Arial"/>
          <w:sz w:val="24"/>
          <w:lang w:val="fr-CA"/>
        </w:rPr>
        <w:t> </w:t>
      </w:r>
      <w:r w:rsidR="00DC608D" w:rsidRPr="0083092B">
        <w:rPr>
          <w:rFonts w:ascii="Arial" w:hAnsi="Arial"/>
          <w:sz w:val="24"/>
          <w:lang w:val="fr-CA"/>
        </w:rPr>
        <w:t>: 3.4.2.2;3.4.3.1;3.4.5.1</w:t>
      </w:r>
      <w:r w:rsidR="00C90209" w:rsidRPr="0083092B">
        <w:rPr>
          <w:rFonts w:ascii="Arial" w:hAnsi="Arial"/>
          <w:sz w:val="24"/>
          <w:lang w:val="fr-CA"/>
        </w:rPr>
        <w:t>.</w:t>
      </w:r>
    </w:p>
    <w:p w:rsidR="00813069" w:rsidRPr="00813069" w:rsidRDefault="00813069" w:rsidP="00813069">
      <w:pPr>
        <w:ind w:left="1440"/>
        <w:rPr>
          <w:rStyle w:val="SubtleReference"/>
          <w:rFonts w:ascii="Arial" w:hAnsi="Arial"/>
          <w:smallCaps w:val="0"/>
          <w:color w:val="auto"/>
          <w:sz w:val="24"/>
          <w:u w:val="none"/>
        </w:rPr>
      </w:pPr>
    </w:p>
    <w:p w:rsidR="00A22A13" w:rsidRPr="0083092B" w:rsidRDefault="00A22A13" w:rsidP="002469EE">
      <w:pPr>
        <w:numPr>
          <w:ilvl w:val="1"/>
          <w:numId w:val="1"/>
        </w:numPr>
        <w:rPr>
          <w:rFonts w:ascii="Arial" w:hAnsi="Arial"/>
          <w:sz w:val="24"/>
        </w:rPr>
      </w:pPr>
      <w:r w:rsidRPr="0083092B">
        <w:rPr>
          <w:rStyle w:val="SubtleReference"/>
          <w:rFonts w:ascii="Arial" w:hAnsi="Arial" w:cs="Arial"/>
          <w:color w:val="auto"/>
          <w:sz w:val="24"/>
          <w:szCs w:val="24"/>
          <w:u w:val="none"/>
        </w:rPr>
        <w:t>Judd</w:t>
      </w:r>
      <w:r w:rsidRPr="0083092B">
        <w:rPr>
          <w:rFonts w:ascii="Arial" w:hAnsi="Arial"/>
          <w:sz w:val="24"/>
        </w:rPr>
        <w:t xml:space="preserve">, WJ, </w:t>
      </w:r>
      <w:proofErr w:type="spellStart"/>
      <w:r w:rsidR="00DC608D" w:rsidRPr="0083092B">
        <w:rPr>
          <w:rFonts w:ascii="Arial" w:hAnsi="Arial"/>
          <w:sz w:val="24"/>
        </w:rPr>
        <w:t>éd</w:t>
      </w:r>
      <w:proofErr w:type="spellEnd"/>
      <w:r w:rsidRPr="0083092B">
        <w:rPr>
          <w:rFonts w:ascii="Arial" w:hAnsi="Arial"/>
          <w:sz w:val="24"/>
        </w:rPr>
        <w:t xml:space="preserve">. </w:t>
      </w:r>
      <w:r w:rsidRPr="0083092B">
        <w:rPr>
          <w:rFonts w:ascii="Arial" w:hAnsi="Arial"/>
          <w:i/>
          <w:sz w:val="24"/>
        </w:rPr>
        <w:t>Methods in Immunohematology</w:t>
      </w:r>
      <w:r w:rsidRPr="0083092B">
        <w:rPr>
          <w:rFonts w:ascii="Arial" w:hAnsi="Arial"/>
          <w:sz w:val="24"/>
        </w:rPr>
        <w:t>, 3</w:t>
      </w:r>
      <w:r w:rsidRPr="0083092B">
        <w:rPr>
          <w:rFonts w:ascii="Arial" w:hAnsi="Arial"/>
          <w:sz w:val="24"/>
          <w:vertAlign w:val="superscript"/>
        </w:rPr>
        <w:t>e</w:t>
      </w:r>
      <w:r w:rsidRPr="0083092B">
        <w:rPr>
          <w:rFonts w:ascii="Arial" w:hAnsi="Arial"/>
          <w:sz w:val="24"/>
        </w:rPr>
        <w:t xml:space="preserve"> </w:t>
      </w:r>
      <w:proofErr w:type="spellStart"/>
      <w:r w:rsidRPr="0083092B">
        <w:rPr>
          <w:rFonts w:ascii="Arial" w:hAnsi="Arial"/>
          <w:sz w:val="24"/>
        </w:rPr>
        <w:t>éd</w:t>
      </w:r>
      <w:proofErr w:type="spellEnd"/>
      <w:r w:rsidRPr="0083092B">
        <w:rPr>
          <w:rFonts w:ascii="Arial" w:hAnsi="Arial"/>
          <w:sz w:val="24"/>
        </w:rPr>
        <w:t xml:space="preserve">. </w:t>
      </w:r>
      <w:r w:rsidR="00BD0AD9">
        <w:rPr>
          <w:rFonts w:ascii="Arial" w:hAnsi="Arial"/>
          <w:sz w:val="24"/>
        </w:rPr>
        <w:t>Montgomery Scientific Publicat</w:t>
      </w:r>
      <w:r w:rsidR="00DC608D" w:rsidRPr="0083092B">
        <w:rPr>
          <w:rFonts w:ascii="Arial" w:hAnsi="Arial"/>
          <w:sz w:val="24"/>
        </w:rPr>
        <w:t>ions</w:t>
      </w:r>
      <w:r w:rsidRPr="0083092B">
        <w:rPr>
          <w:rFonts w:ascii="Arial" w:hAnsi="Arial"/>
          <w:sz w:val="24"/>
        </w:rPr>
        <w:t xml:space="preserve"> (2008), p.</w:t>
      </w:r>
      <w:r w:rsidR="0083092B">
        <w:rPr>
          <w:rFonts w:ascii="Arial" w:hAnsi="Arial"/>
          <w:sz w:val="24"/>
        </w:rPr>
        <w:t> </w:t>
      </w:r>
      <w:r w:rsidR="00C90209" w:rsidRPr="0083092B">
        <w:rPr>
          <w:rFonts w:ascii="Arial" w:hAnsi="Arial"/>
          <w:sz w:val="24"/>
        </w:rPr>
        <w:t>267-26</w:t>
      </w:r>
      <w:r w:rsidR="000566CF" w:rsidRPr="0083092B">
        <w:rPr>
          <w:rFonts w:ascii="Arial" w:hAnsi="Arial"/>
          <w:sz w:val="24"/>
        </w:rPr>
        <w:t>9</w:t>
      </w:r>
      <w:r w:rsidRPr="0083092B">
        <w:rPr>
          <w:rFonts w:ascii="Arial" w:hAnsi="Arial"/>
          <w:sz w:val="24"/>
        </w:rPr>
        <w:t>.</w:t>
      </w:r>
    </w:p>
    <w:p w:rsidR="00A22A13" w:rsidRDefault="00A22A13" w:rsidP="00A22A13">
      <w:pPr>
        <w:ind w:left="720"/>
        <w:rPr>
          <w:rFonts w:ascii="Arial" w:hAnsi="Arial"/>
          <w:sz w:val="24"/>
          <w:lang w:val="fr-CA"/>
        </w:rPr>
      </w:pPr>
    </w:p>
    <w:p w:rsidR="00493BFD" w:rsidRPr="00AA3396" w:rsidRDefault="00493BFD" w:rsidP="00493BFD">
      <w:pPr>
        <w:pStyle w:val="ListParagraph"/>
        <w:numPr>
          <w:ilvl w:val="0"/>
          <w:numId w:val="15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493BFD" w:rsidRPr="00AA3396" w:rsidRDefault="00493BFD" w:rsidP="00493BFD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5196"/>
      </w:tblGrid>
      <w:tr w:rsidR="00493BFD" w:rsidRPr="00AA3396" w:rsidTr="00086BB2">
        <w:trPr>
          <w:cantSplit/>
        </w:trPr>
        <w:tc>
          <w:tcPr>
            <w:tcW w:w="3510" w:type="dxa"/>
            <w:shd w:val="clear" w:color="auto" w:fill="F2F2F2"/>
          </w:tcPr>
          <w:p w:rsidR="00493BFD" w:rsidRPr="004050E8" w:rsidRDefault="00493BFD" w:rsidP="00086BB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346" w:type="dxa"/>
            <w:shd w:val="clear" w:color="auto" w:fill="F2F2F2"/>
          </w:tcPr>
          <w:p w:rsidR="00493BFD" w:rsidRPr="004050E8" w:rsidRDefault="00493BFD" w:rsidP="00086BB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493BFD" w:rsidRPr="00AA3396" w:rsidTr="00813069">
        <w:trPr>
          <w:cantSplit/>
          <w:trHeight w:val="1326"/>
        </w:trPr>
        <w:tc>
          <w:tcPr>
            <w:tcW w:w="3510" w:type="dxa"/>
          </w:tcPr>
          <w:p w:rsidR="00493BFD" w:rsidRPr="00AA3396" w:rsidRDefault="00493BFD" w:rsidP="00086BB2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1</w:t>
            </w:r>
            <w:r w:rsidRPr="007E6852">
              <w:rPr>
                <w:rFonts w:ascii="Arial" w:hAnsi="Arial"/>
                <w:sz w:val="22"/>
                <w:szCs w:val="22"/>
                <w:vertAlign w:val="superscript"/>
                <w:lang w:val="fr-CA"/>
              </w:rPr>
              <w:t>er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 décembre</w:t>
            </w:r>
            <w:r w:rsidR="0083092B">
              <w:rPr>
                <w:rFonts w:ascii="Arial" w:hAnsi="Arial"/>
                <w:sz w:val="22"/>
                <w:szCs w:val="22"/>
                <w:lang w:val="fr-CA"/>
              </w:rPr>
              <w:t> 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2014 </w:t>
            </w:r>
          </w:p>
        </w:tc>
        <w:tc>
          <w:tcPr>
            <w:tcW w:w="5346" w:type="dxa"/>
          </w:tcPr>
          <w:p w:rsidR="00493BFD" w:rsidRPr="00AA3396" w:rsidRDefault="00493BFD" w:rsidP="00493BFD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83092B" w:rsidRDefault="00493BFD" w:rsidP="00493BFD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Changement du libellé de la section </w:t>
            </w:r>
            <w:r w:rsidR="0083092B">
              <w:rPr>
                <w:rFonts w:ascii="Arial" w:hAnsi="Arial"/>
                <w:sz w:val="22"/>
                <w:szCs w:val="22"/>
                <w:lang w:val="fr-CA"/>
              </w:rPr>
              <w:t>1.0</w:t>
            </w:r>
          </w:p>
          <w:p w:rsidR="0083092B" w:rsidRDefault="0083092B" w:rsidP="00493BFD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Ajoute de la section 2.</w:t>
            </w:r>
          </w:p>
          <w:p w:rsidR="0083092B" w:rsidRDefault="0083092B" w:rsidP="00493BFD">
            <w:pPr>
              <w:pStyle w:val="ListParagraph"/>
              <w:keepLines/>
              <w:widowControl w:val="0"/>
              <w:numPr>
                <w:ilvl w:val="0"/>
                <w:numId w:val="14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Révision et renumérotation des sections 5.0 et 6.0</w:t>
            </w:r>
          </w:p>
          <w:p w:rsidR="00493BFD" w:rsidRPr="00AA3396" w:rsidRDefault="00493BFD" w:rsidP="00493BFD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Mise à jour des références</w:t>
            </w:r>
          </w:p>
        </w:tc>
      </w:tr>
      <w:tr w:rsidR="0083092B" w:rsidRPr="00AA3396" w:rsidTr="00813069">
        <w:trPr>
          <w:cantSplit/>
          <w:trHeight w:val="192"/>
        </w:trPr>
        <w:tc>
          <w:tcPr>
            <w:tcW w:w="3510" w:type="dxa"/>
          </w:tcPr>
          <w:p w:rsidR="0083092B" w:rsidRDefault="0083092B" w:rsidP="00086BB2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4 septembre 2015</w:t>
            </w:r>
          </w:p>
        </w:tc>
        <w:tc>
          <w:tcPr>
            <w:tcW w:w="5346" w:type="dxa"/>
          </w:tcPr>
          <w:p w:rsidR="0083092B" w:rsidRPr="00AA3396" w:rsidRDefault="0083092B" w:rsidP="00493BFD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du libellé du principe</w:t>
            </w:r>
          </w:p>
        </w:tc>
      </w:tr>
    </w:tbl>
    <w:p w:rsidR="00493BFD" w:rsidRDefault="00493BFD" w:rsidP="00A22A13">
      <w:pPr>
        <w:ind w:left="1440"/>
        <w:rPr>
          <w:rFonts w:ascii="Arial" w:hAnsi="Arial"/>
          <w:sz w:val="24"/>
          <w:lang w:val="fr-CA"/>
        </w:rPr>
      </w:pPr>
    </w:p>
    <w:sectPr w:rsidR="00493BFD" w:rsidSect="0021602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0E" w:rsidRDefault="00CB2F0E">
      <w:r>
        <w:separator/>
      </w:r>
    </w:p>
  </w:endnote>
  <w:endnote w:type="continuationSeparator" w:id="0">
    <w:p w:rsidR="00CB2F0E" w:rsidRDefault="00CB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16026">
      <w:trPr>
        <w:trHeight w:val="720"/>
      </w:trPr>
      <w:tc>
        <w:tcPr>
          <w:tcW w:w="1368" w:type="dxa"/>
        </w:tcPr>
        <w:p w:rsidR="00216026" w:rsidRDefault="00216026">
          <w:pPr>
            <w:pStyle w:val="Footer"/>
            <w:jc w:val="center"/>
            <w:rPr>
              <w:sz w:val="8"/>
            </w:rPr>
          </w:pPr>
        </w:p>
        <w:p w:rsidR="00216026" w:rsidRDefault="009258A1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216026" w:rsidRDefault="00216026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493BFD" w:rsidRDefault="00493BFD" w:rsidP="00493BF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493BFD" w:rsidRPr="00813069" w:rsidRDefault="00493BFD" w:rsidP="00493BF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813069">
            <w:rPr>
              <w:rFonts w:ascii="Arial" w:hAnsi="Arial"/>
              <w:sz w:val="18"/>
              <w:lang w:val="fr-CA"/>
            </w:rPr>
            <w:t xml:space="preserve"> </w:t>
          </w:r>
        </w:p>
        <w:p w:rsidR="00216026" w:rsidRPr="00813069" w:rsidRDefault="0021602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216026" w:rsidRPr="00813069" w:rsidRDefault="00216026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216026" w:rsidRDefault="00216026" w:rsidP="00493BF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PR.002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83092B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A545D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A545D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16026" w:rsidRDefault="00216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216026">
      <w:trPr>
        <w:trHeight w:val="720"/>
      </w:trPr>
      <w:tc>
        <w:tcPr>
          <w:tcW w:w="1368" w:type="dxa"/>
        </w:tcPr>
        <w:p w:rsidR="00216026" w:rsidRDefault="00216026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16026" w:rsidRDefault="009258A1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561475" w:rsidRDefault="00561475" w:rsidP="00561475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493BFD" w:rsidRDefault="00493BFD" w:rsidP="00493BF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493BFD" w:rsidRPr="00813069" w:rsidRDefault="00493BFD" w:rsidP="00493BFD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813069">
            <w:rPr>
              <w:rFonts w:ascii="Arial" w:hAnsi="Arial"/>
              <w:sz w:val="18"/>
              <w:lang w:val="fr-CA"/>
            </w:rPr>
            <w:t xml:space="preserve"> </w:t>
          </w:r>
        </w:p>
        <w:p w:rsidR="00561475" w:rsidRPr="00D52543" w:rsidRDefault="00561475" w:rsidP="00561475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216026" w:rsidRPr="00813069" w:rsidRDefault="00216026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216026" w:rsidRPr="00813069" w:rsidRDefault="00216026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216026" w:rsidRDefault="00216026" w:rsidP="00493BF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PR.002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>Page</w:t>
          </w:r>
          <w:r w:rsidR="0083092B">
            <w:rPr>
              <w:rFonts w:ascii="Arial" w:hAnsi="Arial"/>
              <w:snapToGrid w:val="0"/>
              <w:sz w:val="18"/>
            </w:rPr>
            <w:t> 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A545D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A545D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16026" w:rsidRDefault="00216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0E" w:rsidRDefault="00CB2F0E">
      <w:r>
        <w:separator/>
      </w:r>
    </w:p>
  </w:footnote>
  <w:footnote w:type="continuationSeparator" w:id="0">
    <w:p w:rsidR="00CB2F0E" w:rsidRDefault="00CB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26" w:rsidRDefault="00216026">
    <w:pPr>
      <w:pStyle w:val="Header"/>
      <w:jc w:val="center"/>
      <w:rPr>
        <w:rFonts w:ascii="Arial" w:hAnsi="Arial"/>
        <w:b/>
        <w:bCs/>
        <w:sz w:val="28"/>
        <w:lang w:val="fr-CA"/>
      </w:rPr>
    </w:pPr>
    <w:r>
      <w:rPr>
        <w:rFonts w:ascii="Arial" w:hAnsi="Arial"/>
        <w:b/>
        <w:bCs/>
        <w:sz w:val="28"/>
        <w:lang w:val="fr-CA"/>
      </w:rPr>
      <w:t xml:space="preserve">Préparation de cellules témoins traitées par réactif IgG </w:t>
    </w:r>
  </w:p>
  <w:p w:rsidR="00216026" w:rsidRDefault="00216026">
    <w:pPr>
      <w:pStyle w:val="Header"/>
      <w:jc w:val="center"/>
      <w:rPr>
        <w:rFonts w:ascii="Arial" w:hAnsi="Arial"/>
        <w:b/>
        <w:bCs/>
        <w:sz w:val="28"/>
        <w:lang w:val="fr-CA"/>
      </w:rPr>
    </w:pPr>
    <w:r>
      <w:rPr>
        <w:rFonts w:ascii="Arial" w:hAnsi="Arial"/>
        <w:b/>
        <w:bCs/>
        <w:sz w:val="28"/>
        <w:lang w:val="fr-CA"/>
      </w:rPr>
      <w:t>(</w:t>
    </w:r>
    <w:proofErr w:type="gramStart"/>
    <w:r>
      <w:rPr>
        <w:rFonts w:ascii="Arial" w:hAnsi="Arial"/>
        <w:b/>
        <w:bCs/>
        <w:sz w:val="28"/>
        <w:lang w:val="fr-CA"/>
      </w:rPr>
      <w:t>cellules</w:t>
    </w:r>
    <w:proofErr w:type="gramEnd"/>
    <w:r>
      <w:rPr>
        <w:rFonts w:ascii="Arial" w:hAnsi="Arial"/>
        <w:b/>
        <w:bCs/>
        <w:sz w:val="28"/>
        <w:lang w:val="fr-CA"/>
      </w:rPr>
      <w:t xml:space="preserve"> témoins Coombs)</w:t>
    </w:r>
  </w:p>
  <w:p w:rsidR="00216026" w:rsidRDefault="00216026">
    <w:pPr>
      <w:pStyle w:val="Header"/>
      <w:jc w:val="center"/>
      <w:rPr>
        <w:rFonts w:ascii="Arial" w:hAnsi="Arial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026" w:rsidRDefault="009258A1">
    <w:pPr>
      <w:pStyle w:val="Header"/>
      <w:tabs>
        <w:tab w:val="clear" w:pos="8640"/>
        <w:tab w:val="left" w:pos="4783"/>
      </w:tabs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257300" cy="4191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069" w:rsidRDefault="00813069">
    <w:pPr>
      <w:pStyle w:val="Header"/>
      <w:tabs>
        <w:tab w:val="clear" w:pos="8640"/>
        <w:tab w:val="left" w:pos="4783"/>
      </w:tabs>
      <w:rPr>
        <w:lang w:val="fr-CA"/>
      </w:rPr>
    </w:pPr>
  </w:p>
  <w:p w:rsidR="00493BFD" w:rsidRPr="000C64D0" w:rsidRDefault="00493BFD" w:rsidP="00493BFD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493BFD" w:rsidRPr="000C64D0" w:rsidRDefault="00493BFD" w:rsidP="00493BFD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0C64D0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216026" w:rsidRDefault="00216026">
    <w:pPr>
      <w:pStyle w:val="Header"/>
      <w:jc w:val="center"/>
      <w:rPr>
        <w:rFonts w:ascii="Arial" w:hAnsi="Arial"/>
        <w:b/>
        <w:sz w:val="28"/>
        <w:lang w:val="fr-CA"/>
      </w:rPr>
    </w:pPr>
  </w:p>
  <w:p w:rsidR="00216026" w:rsidRDefault="00216026">
    <w:pPr>
      <w:pStyle w:val="Header"/>
      <w:jc w:val="center"/>
      <w:rPr>
        <w:rFonts w:ascii="Arial" w:hAnsi="Arial"/>
        <w:b/>
        <w:bCs/>
        <w:sz w:val="28"/>
        <w:lang w:val="fr-CA"/>
      </w:rPr>
    </w:pPr>
    <w:r>
      <w:rPr>
        <w:rFonts w:ascii="Arial" w:hAnsi="Arial"/>
        <w:b/>
        <w:bCs/>
        <w:sz w:val="28"/>
        <w:lang w:val="fr-CA"/>
      </w:rPr>
      <w:t xml:space="preserve">Préparation de cellules témoins traitées par réactif IgG </w:t>
    </w:r>
  </w:p>
  <w:p w:rsidR="00216026" w:rsidRDefault="00216026">
    <w:pPr>
      <w:pStyle w:val="Header"/>
      <w:jc w:val="center"/>
      <w:rPr>
        <w:rFonts w:ascii="Arial" w:hAnsi="Arial"/>
        <w:b/>
        <w:sz w:val="28"/>
        <w:lang w:val="fr-CA"/>
      </w:rPr>
    </w:pPr>
    <w:r>
      <w:rPr>
        <w:rFonts w:ascii="Arial" w:hAnsi="Arial"/>
        <w:b/>
        <w:bCs/>
        <w:sz w:val="28"/>
        <w:lang w:val="fr-CA"/>
      </w:rPr>
      <w:t>(</w:t>
    </w:r>
    <w:proofErr w:type="gramStart"/>
    <w:r>
      <w:rPr>
        <w:rFonts w:ascii="Arial" w:hAnsi="Arial"/>
        <w:b/>
        <w:bCs/>
        <w:sz w:val="28"/>
        <w:lang w:val="fr-CA"/>
      </w:rPr>
      <w:t>cellules</w:t>
    </w:r>
    <w:proofErr w:type="gramEnd"/>
    <w:r>
      <w:rPr>
        <w:rFonts w:ascii="Arial" w:hAnsi="Arial"/>
        <w:b/>
        <w:bCs/>
        <w:sz w:val="28"/>
        <w:lang w:val="fr-CA"/>
      </w:rPr>
      <w:t xml:space="preserve"> témoins Coombs)</w:t>
    </w:r>
  </w:p>
  <w:p w:rsidR="00216026" w:rsidRDefault="00216026">
    <w:pPr>
      <w:pStyle w:val="Header"/>
      <w:jc w:val="center"/>
      <w:rPr>
        <w:rFonts w:ascii="Arial" w:hAnsi="Arial"/>
        <w:b/>
        <w:spacing w:val="-2"/>
        <w:sz w:val="28"/>
        <w:lang w:val="fr-CA"/>
      </w:rPr>
    </w:pPr>
  </w:p>
  <w:p w:rsidR="00216026" w:rsidRDefault="00216026">
    <w:pPr>
      <w:pStyle w:val="Header"/>
      <w:jc w:val="center"/>
      <w:rPr>
        <w:rFonts w:ascii="Arial" w:hAnsi="Arial" w:cs="Arial"/>
        <w:b/>
        <w:bCs/>
        <w:lang w:val="fr-CA"/>
      </w:rPr>
    </w:pPr>
    <w:r>
      <w:rPr>
        <w:rFonts w:ascii="Arial" w:hAnsi="Arial" w:cs="Arial"/>
        <w:b/>
        <w:bCs/>
        <w:lang w:val="fr-CA"/>
      </w:rPr>
      <w:tab/>
    </w:r>
    <w:r w:rsidR="009258A1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BF88D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EI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1"/>
      <w:gridCol w:w="4319"/>
    </w:tblGrid>
    <w:tr w:rsidR="00216026">
      <w:tc>
        <w:tcPr>
          <w:tcW w:w="4428" w:type="dxa"/>
        </w:tcPr>
        <w:p w:rsidR="00216026" w:rsidRDefault="00216026" w:rsidP="00E9097B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Approbation :</w:t>
          </w:r>
          <w:r w:rsidR="00561475"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428" w:type="dxa"/>
        </w:tcPr>
        <w:p w:rsidR="00216026" w:rsidRDefault="00216026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Document n</w:t>
          </w:r>
          <w:r>
            <w:rPr>
              <w:rFonts w:ascii="Arial" w:hAnsi="Arial" w:cs="Arial"/>
              <w:vertAlign w:val="superscript"/>
              <w:lang w:val="fr-CA"/>
            </w:rPr>
            <w:t>o</w:t>
          </w:r>
          <w:r>
            <w:rPr>
              <w:rFonts w:ascii="Arial" w:hAnsi="Arial" w:cs="Arial"/>
              <w:lang w:val="fr-CA"/>
            </w:rPr>
            <w:t xml:space="preserve"> : PR.002</w:t>
          </w:r>
        </w:p>
      </w:tc>
    </w:tr>
    <w:tr w:rsidR="00216026">
      <w:tc>
        <w:tcPr>
          <w:tcW w:w="4428" w:type="dxa"/>
        </w:tcPr>
        <w:p w:rsidR="00216026" w:rsidRDefault="00216026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Date de publication : 2006/08/01</w:t>
          </w:r>
        </w:p>
      </w:tc>
      <w:tc>
        <w:tcPr>
          <w:tcW w:w="4428" w:type="dxa"/>
        </w:tcPr>
        <w:p w:rsidR="00216026" w:rsidRDefault="00216026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Catégorie : Préparation des réactifs</w:t>
          </w:r>
        </w:p>
      </w:tc>
    </w:tr>
    <w:tr w:rsidR="00216026">
      <w:tc>
        <w:tcPr>
          <w:tcW w:w="4428" w:type="dxa"/>
        </w:tcPr>
        <w:p w:rsidR="00216026" w:rsidRDefault="00216026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Date de révision :</w:t>
          </w:r>
          <w:r w:rsidR="00561475">
            <w:rPr>
              <w:rFonts w:ascii="Arial" w:hAnsi="Arial" w:cs="Arial"/>
              <w:lang w:val="fr-CA"/>
            </w:rPr>
            <w:t xml:space="preserve"> 2009/12/31</w:t>
          </w:r>
          <w:r w:rsidR="00E9097B">
            <w:rPr>
              <w:rFonts w:ascii="Arial" w:hAnsi="Arial" w:cs="Arial"/>
              <w:lang w:val="fr-CA"/>
            </w:rPr>
            <w:t>; 2014/12/01</w:t>
          </w:r>
        </w:p>
      </w:tc>
      <w:tc>
        <w:tcPr>
          <w:tcW w:w="4428" w:type="dxa"/>
        </w:tcPr>
        <w:p w:rsidR="00216026" w:rsidRDefault="00216026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Pages : </w:t>
          </w:r>
          <w:r>
            <w:rPr>
              <w:rFonts w:ascii="Arial" w:hAnsi="Arial" w:cs="Arial"/>
              <w:lang w:val="fr-CA"/>
            </w:rPr>
            <w:fldChar w:fldCharType="begin"/>
          </w:r>
          <w:r>
            <w:rPr>
              <w:rFonts w:ascii="Arial" w:hAnsi="Arial" w:cs="Arial"/>
              <w:lang w:val="fr-CA"/>
            </w:rPr>
            <w:instrText xml:space="preserve"> NUMPAGES </w:instrText>
          </w:r>
          <w:r>
            <w:rPr>
              <w:rFonts w:ascii="Arial" w:hAnsi="Arial" w:cs="Arial"/>
              <w:lang w:val="fr-CA"/>
            </w:rPr>
            <w:fldChar w:fldCharType="separate"/>
          </w:r>
          <w:r w:rsidR="00AA545D">
            <w:rPr>
              <w:rFonts w:ascii="Arial" w:hAnsi="Arial" w:cs="Arial"/>
              <w:noProof/>
              <w:lang w:val="fr-CA"/>
            </w:rPr>
            <w:t>1</w:t>
          </w:r>
          <w:r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216026" w:rsidRDefault="009258A1">
    <w:pPr>
      <w:pStyle w:val="Header"/>
      <w:rPr>
        <w:lang w:val="fr-CA"/>
      </w:rPr>
    </w:pPr>
    <w:r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A67B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0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GLgvTM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216026">
      <w:rPr>
        <w:rFonts w:ascii="Arial" w:hAnsi="Arial" w:cs="Arial"/>
        <w:lang w:val="fr-CA"/>
      </w:rPr>
      <w:tab/>
    </w:r>
  </w:p>
  <w:p w:rsidR="00216026" w:rsidRDefault="0021602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3C57D1"/>
    <w:multiLevelType w:val="hybridMultilevel"/>
    <w:tmpl w:val="4D1ED6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4149E"/>
    <w:multiLevelType w:val="hybridMultilevel"/>
    <w:tmpl w:val="41584A2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9D6B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9F30A7"/>
    <w:multiLevelType w:val="multilevel"/>
    <w:tmpl w:val="4DDAFF9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121A0"/>
    <w:multiLevelType w:val="multilevel"/>
    <w:tmpl w:val="54AA856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B792486"/>
    <w:multiLevelType w:val="singleLevel"/>
    <w:tmpl w:val="CFD0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6"/>
  </w:num>
  <w:num w:numId="6">
    <w:abstractNumId w:val="15"/>
  </w:num>
  <w:num w:numId="7">
    <w:abstractNumId w:val="13"/>
  </w:num>
  <w:num w:numId="8">
    <w:abstractNumId w:val="0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EE"/>
    <w:rsid w:val="000566CF"/>
    <w:rsid w:val="000754DE"/>
    <w:rsid w:val="00086BB2"/>
    <w:rsid w:val="00216026"/>
    <w:rsid w:val="00245839"/>
    <w:rsid w:val="002469EE"/>
    <w:rsid w:val="002B63CC"/>
    <w:rsid w:val="002D55F3"/>
    <w:rsid w:val="003160AD"/>
    <w:rsid w:val="003E2E93"/>
    <w:rsid w:val="00493BFD"/>
    <w:rsid w:val="004D6ED3"/>
    <w:rsid w:val="00561475"/>
    <w:rsid w:val="00657D95"/>
    <w:rsid w:val="006E2005"/>
    <w:rsid w:val="00740EA3"/>
    <w:rsid w:val="007462FB"/>
    <w:rsid w:val="007E1DF1"/>
    <w:rsid w:val="007F72A0"/>
    <w:rsid w:val="00813069"/>
    <w:rsid w:val="0083092B"/>
    <w:rsid w:val="00853F13"/>
    <w:rsid w:val="009258A1"/>
    <w:rsid w:val="00937A26"/>
    <w:rsid w:val="00981EB4"/>
    <w:rsid w:val="009E2C17"/>
    <w:rsid w:val="00A22A13"/>
    <w:rsid w:val="00AA545D"/>
    <w:rsid w:val="00AB674D"/>
    <w:rsid w:val="00AC0FC9"/>
    <w:rsid w:val="00AE5A9E"/>
    <w:rsid w:val="00BA0460"/>
    <w:rsid w:val="00BA5654"/>
    <w:rsid w:val="00BD0AD9"/>
    <w:rsid w:val="00C04E36"/>
    <w:rsid w:val="00C90209"/>
    <w:rsid w:val="00CB2F0E"/>
    <w:rsid w:val="00CE1208"/>
    <w:rsid w:val="00D16211"/>
    <w:rsid w:val="00D758EE"/>
    <w:rsid w:val="00DA7139"/>
    <w:rsid w:val="00DB62D1"/>
    <w:rsid w:val="00DC608D"/>
    <w:rsid w:val="00DE3960"/>
    <w:rsid w:val="00DE4114"/>
    <w:rsid w:val="00E3257B"/>
    <w:rsid w:val="00E66FFB"/>
    <w:rsid w:val="00E9097B"/>
    <w:rsid w:val="00ED7AD7"/>
    <w:rsid w:val="00F0737E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05FFE-7B60-4CA7-96EC-79688AA5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A7139"/>
    <w:rPr>
      <w:rFonts w:ascii="Tahoma" w:hAnsi="Tahoma" w:cs="Tahoma"/>
      <w:sz w:val="16"/>
      <w:szCs w:val="16"/>
    </w:rPr>
  </w:style>
  <w:style w:type="character" w:styleId="SubtleReference">
    <w:name w:val="Subtle Reference"/>
    <w:uiPriority w:val="31"/>
    <w:qFormat/>
    <w:rsid w:val="00A22A1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493BFD"/>
    <w:pPr>
      <w:ind w:left="720"/>
    </w:pPr>
  </w:style>
  <w:style w:type="character" w:styleId="Hyperlink">
    <w:name w:val="Hyperlink"/>
    <w:rsid w:val="00DC608D"/>
    <w:rPr>
      <w:color w:val="0563C1"/>
      <w:u w:val="single"/>
    </w:rPr>
  </w:style>
  <w:style w:type="character" w:styleId="FollowedHyperlink">
    <w:name w:val="FollowedHyperlink"/>
    <w:rsid w:val="00DC608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mi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RP.002 Preparation of IgG Reagent Check Cells (Coombs Control Cells)</vt:lpstr>
      <vt:lpstr>RP.002 Preparation of IgG Reagent Check Cells (Coombs Control Cells)</vt:lpstr>
    </vt:vector>
  </TitlesOfParts>
  <Company>Microsoft</Company>
  <LinksUpToDate>false</LinksUpToDate>
  <CharactersWithSpaces>3787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http://www.whmis.ca/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RP.002 Preparation of IgG Reagent Check Cells (Coombs Control Cells)</dc:title>
  <dc:subject/>
  <dc:creator>Transfusion Ontario Program Office</dc:creator>
  <cp:keywords/>
  <cp:lastModifiedBy>Nesrallah, Heather</cp:lastModifiedBy>
  <cp:revision>2</cp:revision>
  <cp:lastPrinted>2010-03-09T17:36:00Z</cp:lastPrinted>
  <dcterms:created xsi:type="dcterms:W3CDTF">2020-08-11T20:17:00Z</dcterms:created>
  <dcterms:modified xsi:type="dcterms:W3CDTF">2020-08-11T20:17:00Z</dcterms:modified>
</cp:coreProperties>
</file>