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E418D3" w:rsidRDefault="00E418D3">
      <w:pPr>
        <w:rPr>
          <w:rFonts w:ascii="Arial" w:hAnsi="Arial"/>
          <w:sz w:val="24"/>
        </w:rPr>
      </w:pP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remove antibody from coated red cells.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294A5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Freeze – thaw elution techniques are </w:t>
      </w:r>
      <w:r w:rsidR="00E11938">
        <w:rPr>
          <w:rFonts w:ascii="Arial" w:hAnsi="Arial"/>
          <w:sz w:val="24"/>
        </w:rPr>
        <w:t xml:space="preserve">usually restricted to the </w:t>
      </w:r>
      <w:r w:rsidR="00E418D3">
        <w:rPr>
          <w:rFonts w:ascii="Arial" w:hAnsi="Arial"/>
          <w:sz w:val="24"/>
        </w:rPr>
        <w:t xml:space="preserve">confirmation of ABO hemolytic disease of the </w:t>
      </w:r>
      <w:r>
        <w:rPr>
          <w:rFonts w:ascii="Arial" w:hAnsi="Arial"/>
          <w:sz w:val="24"/>
        </w:rPr>
        <w:t xml:space="preserve">fetus and </w:t>
      </w:r>
      <w:r w:rsidR="00E418D3">
        <w:rPr>
          <w:rFonts w:ascii="Arial" w:hAnsi="Arial"/>
          <w:sz w:val="24"/>
        </w:rPr>
        <w:t>newborn (HD</w:t>
      </w:r>
      <w:r>
        <w:rPr>
          <w:rFonts w:ascii="Arial" w:hAnsi="Arial"/>
          <w:sz w:val="24"/>
        </w:rPr>
        <w:t>F</w:t>
      </w:r>
      <w:r w:rsidR="00E418D3">
        <w:rPr>
          <w:rFonts w:ascii="Arial" w:hAnsi="Arial"/>
          <w:sz w:val="24"/>
        </w:rPr>
        <w:t>N)</w:t>
      </w:r>
      <w:r>
        <w:rPr>
          <w:rFonts w:ascii="Arial" w:hAnsi="Arial"/>
          <w:sz w:val="24"/>
        </w:rPr>
        <w:t xml:space="preserve"> </w:t>
      </w:r>
      <w:r w:rsidR="00892328">
        <w:rPr>
          <w:rFonts w:ascii="Arial" w:hAnsi="Arial"/>
          <w:sz w:val="24"/>
        </w:rPr>
        <w:t>b</w:t>
      </w:r>
      <w:r w:rsidR="00E11938">
        <w:rPr>
          <w:rFonts w:ascii="Arial" w:hAnsi="Arial"/>
          <w:sz w:val="24"/>
        </w:rPr>
        <w:t>ecause t</w:t>
      </w:r>
      <w:r>
        <w:rPr>
          <w:rFonts w:ascii="Arial" w:hAnsi="Arial"/>
          <w:sz w:val="24"/>
        </w:rPr>
        <w:t xml:space="preserve">hey </w:t>
      </w:r>
      <w:r w:rsidR="00E11938">
        <w:rPr>
          <w:rFonts w:ascii="Arial" w:hAnsi="Arial"/>
          <w:sz w:val="24"/>
        </w:rPr>
        <w:t>rarely work well</w:t>
      </w:r>
      <w:r>
        <w:rPr>
          <w:rFonts w:ascii="Arial" w:hAnsi="Arial"/>
          <w:sz w:val="24"/>
        </w:rPr>
        <w:t xml:space="preserve"> for detection of other antibodies.</w:t>
      </w:r>
      <w:r w:rsidRPr="00294A5D">
        <w:rPr>
          <w:rFonts w:ascii="Arial" w:hAnsi="Arial"/>
          <w:sz w:val="24"/>
          <w:szCs w:val="24"/>
          <w:vertAlign w:val="superscript"/>
        </w:rPr>
        <w:t>9.1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Red cells coated with antibody are thoroughly washed to remove unbound protein. The washed cells are then frozen and subsequently rapidly thawed. The hemolysate is then tested for the pres</w:t>
      </w:r>
      <w:r w:rsidR="00294A5D">
        <w:rPr>
          <w:rFonts w:ascii="Arial" w:hAnsi="Arial"/>
          <w:sz w:val="24"/>
        </w:rPr>
        <w:t>ence of the suspected antibody.</w:t>
      </w:r>
      <w:r w:rsidR="00294A5D" w:rsidRPr="00294A5D">
        <w:rPr>
          <w:rFonts w:ascii="Arial" w:hAnsi="Arial"/>
          <w:sz w:val="24"/>
          <w:szCs w:val="24"/>
          <w:vertAlign w:val="superscript"/>
        </w:rPr>
        <w:t>9.2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E418D3" w:rsidRDefault="00E418D3">
      <w:pPr>
        <w:rPr>
          <w:rFonts w:ascii="Arial" w:hAnsi="Arial"/>
          <w:sz w:val="24"/>
        </w:rPr>
      </w:pPr>
    </w:p>
    <w:p w:rsidR="00E418D3" w:rsidRDefault="00E418D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elution may be performed to investigate fetal-maternal ABO incompatibility. This method is </w:t>
      </w:r>
      <w:r w:rsidRPr="00294A5D">
        <w:rPr>
          <w:rFonts w:ascii="Arial" w:hAnsi="Arial"/>
          <w:sz w:val="24"/>
        </w:rPr>
        <w:t>not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to be used routinely for other investigations. 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the Direct Antiglobulin Test (DAT) is found to be positive in a cord or newborn sample and anti-A or B is suspected an elution </w:t>
      </w:r>
      <w:r w:rsidR="00294A5D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be performed to confi</w:t>
      </w:r>
      <w:r w:rsidR="00294A5D">
        <w:rPr>
          <w:rFonts w:ascii="Arial" w:hAnsi="Arial"/>
          <w:sz w:val="24"/>
        </w:rPr>
        <w:t>rm the presence of the antibody as per facility policy.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reagents shall be used and controlled according to the </w:t>
      </w:r>
      <w:r w:rsidR="00E11938">
        <w:rPr>
          <w:rFonts w:ascii="Arial" w:hAnsi="Arial"/>
          <w:sz w:val="24"/>
        </w:rPr>
        <w:t>manufacturer’s written instructions.</w:t>
      </w:r>
      <w:r>
        <w:rPr>
          <w:rFonts w:ascii="Arial" w:hAnsi="Arial"/>
          <w:sz w:val="24"/>
        </w:rPr>
        <w:t xml:space="preserve"> </w:t>
      </w:r>
      <w:r w:rsidR="00294A5D">
        <w:rPr>
          <w:rFonts w:ascii="Arial" w:hAnsi="Arial"/>
          <w:sz w:val="24"/>
          <w:vertAlign w:val="superscript"/>
        </w:rPr>
        <w:t>9.3</w:t>
      </w:r>
    </w:p>
    <w:p w:rsidR="00E418D3" w:rsidRDefault="00E418D3">
      <w:pPr>
        <w:ind w:left="1440"/>
        <w:rPr>
          <w:rFonts w:ascii="Arial" w:hAnsi="Arial"/>
          <w:sz w:val="24"/>
        </w:rPr>
      </w:pPr>
    </w:p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E418D3" w:rsidRDefault="00E418D3">
      <w:pPr>
        <w:rPr>
          <w:rFonts w:ascii="Arial" w:hAnsi="Arial"/>
          <w:sz w:val="24"/>
        </w:rPr>
      </w:pPr>
    </w:p>
    <w:p w:rsidR="00E418D3" w:rsidRDefault="002F1EE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Cord b</w:t>
      </w:r>
      <w:r w:rsidR="00E418D3">
        <w:rPr>
          <w:rFonts w:ascii="Arial" w:hAnsi="Arial"/>
          <w:sz w:val="24"/>
        </w:rPr>
        <w:t xml:space="preserve">lood clotted specimen 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 w:rsidP="00B67AAC">
      <w:pPr>
        <w:rPr>
          <w:rFonts w:ascii="Arial" w:hAnsi="Arial"/>
          <w:sz w:val="24"/>
        </w:rPr>
      </w:pPr>
    </w:p>
    <w:p w:rsidR="00DA7DF2" w:rsidRDefault="00DA7DF2" w:rsidP="00B67AAC">
      <w:pPr>
        <w:rPr>
          <w:rFonts w:ascii="Arial" w:hAnsi="Arial"/>
          <w:sz w:val="24"/>
        </w:rPr>
      </w:pPr>
    </w:p>
    <w:p w:rsidR="00DA7DF2" w:rsidRDefault="00DA7DF2" w:rsidP="00B67AAC">
      <w:pPr>
        <w:rPr>
          <w:rFonts w:ascii="Arial" w:hAnsi="Arial"/>
          <w:sz w:val="24"/>
        </w:rPr>
      </w:pPr>
    </w:p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E418D3" w:rsidRDefault="00E418D3">
      <w:pPr>
        <w:rPr>
          <w:rFonts w:ascii="Arial" w:hAnsi="Arial"/>
          <w:sz w:val="24"/>
        </w:rPr>
      </w:pP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Cell Washer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E418D3" w:rsidRDefault="00E418D3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Freezer (at least minus 20</w:t>
      </w:r>
      <w:r w:rsidR="00294A5D">
        <w:rPr>
          <w:rFonts w:ascii="Arial" w:hAnsi="Arial" w:cs="Arial"/>
          <w:sz w:val="24"/>
        </w:rPr>
        <w:t>°</w:t>
      </w:r>
      <w:r w:rsidR="00294A5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C)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Microscope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294A5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Stopper</w:t>
      </w:r>
    </w:p>
    <w:p w:rsidR="00E418D3" w:rsidRDefault="00E418D3">
      <w:pPr>
        <w:ind w:left="720"/>
        <w:rPr>
          <w:rFonts w:ascii="Arial" w:hAnsi="Arial"/>
          <w:b/>
          <w:sz w:val="24"/>
        </w:rPr>
      </w:pP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4A5D">
        <w:rPr>
          <w:rFonts w:ascii="Arial" w:hAnsi="Arial"/>
          <w:sz w:val="24"/>
        </w:rPr>
        <w:t>Normal s</w:t>
      </w:r>
      <w:r>
        <w:rPr>
          <w:rFonts w:ascii="Arial" w:hAnsi="Arial"/>
          <w:sz w:val="24"/>
        </w:rPr>
        <w:t>aline</w:t>
      </w:r>
    </w:p>
    <w:p w:rsidR="00E418D3" w:rsidRDefault="00E418D3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IgG check cells</w:t>
      </w:r>
    </w:p>
    <w:p w:rsidR="00294A5D" w:rsidRDefault="00294A5D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Screening cells</w:t>
      </w:r>
    </w:p>
    <w:p w:rsidR="00294A5D" w:rsidRDefault="00294A5D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294A5D">
        <w:rPr>
          <w:rFonts w:ascii="Arial" w:hAnsi="Arial"/>
          <w:sz w:val="24"/>
          <w:szCs w:val="24"/>
          <w:vertAlign w:val="subscript"/>
        </w:rPr>
        <w:t>1</w:t>
      </w:r>
      <w:r>
        <w:rPr>
          <w:rFonts w:ascii="Arial" w:hAnsi="Arial"/>
          <w:sz w:val="24"/>
        </w:rPr>
        <w:t xml:space="preserve"> and B cells</w:t>
      </w:r>
    </w:p>
    <w:p w:rsidR="00E418D3" w:rsidRDefault="00E418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last wash is tested with the eluate to ensure that the recovered antibody present in the eluate has been released from a bound state on the original cells and not residual unbound antibody remaining as a result of inadequate wash procedure.</w:t>
      </w:r>
    </w:p>
    <w:p w:rsidR="00E418D3" w:rsidRDefault="00E418D3">
      <w:pPr>
        <w:ind w:left="720"/>
        <w:rPr>
          <w:rFonts w:ascii="Arial" w:hAnsi="Arial"/>
          <w:sz w:val="24"/>
        </w:rPr>
      </w:pPr>
    </w:p>
    <w:p w:rsidR="00E418D3" w:rsidRDefault="00E418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E418D3" w:rsidRDefault="00E418D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DA7DF2" w:rsidTr="00DA7DF2">
        <w:tc>
          <w:tcPr>
            <w:tcW w:w="8856" w:type="dxa"/>
          </w:tcPr>
          <w:p w:rsidR="00DA7DF2" w:rsidRPr="00DA7DF2" w:rsidRDefault="00DA7DF2" w:rsidP="00DA7DF2">
            <w:pPr>
              <w:pStyle w:val="ListParagraph"/>
              <w:numPr>
                <w:ilvl w:val="1"/>
                <w:numId w:val="1"/>
              </w:numPr>
              <w:tabs>
                <w:tab w:val="num" w:pos="698"/>
              </w:tabs>
              <w:ind w:left="698" w:hanging="709"/>
              <w:rPr>
                <w:rFonts w:ascii="Arial" w:hAnsi="Arial"/>
                <w:sz w:val="24"/>
              </w:rPr>
            </w:pPr>
            <w:r w:rsidRPr="00DA7DF2">
              <w:rPr>
                <w:rFonts w:ascii="Arial" w:hAnsi="Arial"/>
                <w:sz w:val="24"/>
              </w:rPr>
              <w:t>Centrifuge the specimen for 5 min</w:t>
            </w:r>
            <w:r>
              <w:rPr>
                <w:rFonts w:ascii="Arial" w:hAnsi="Arial"/>
                <w:sz w:val="24"/>
              </w:rPr>
              <w:t>utes at 3500 rpm or equivalent.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 w:rsidRPr="00DA7DF2">
              <w:rPr>
                <w:rFonts w:ascii="Arial" w:hAnsi="Arial"/>
                <w:sz w:val="24"/>
              </w:rPr>
              <w:t>Label three tubes with first three lette</w:t>
            </w:r>
            <w:r w:rsidR="002F1EE0">
              <w:rPr>
                <w:rFonts w:ascii="Arial" w:hAnsi="Arial"/>
                <w:sz w:val="24"/>
              </w:rPr>
              <w:t>rs of the patient's family name.</w:t>
            </w:r>
            <w:r w:rsidRPr="00DA7DF2">
              <w:rPr>
                <w:rFonts w:ascii="Arial" w:hAnsi="Arial"/>
                <w:sz w:val="24"/>
              </w:rPr>
              <w:t xml:space="preserve"> Transcribe the information from the patient specimen label</w:t>
            </w:r>
            <w:r w:rsidRPr="00DA7DF2">
              <w:rPr>
                <w:rFonts w:ascii="Arial" w:hAnsi="Arial"/>
                <w:b/>
                <w:sz w:val="24"/>
              </w:rPr>
              <w:t xml:space="preserve"> </w:t>
            </w:r>
            <w:r w:rsidRPr="00DA7DF2">
              <w:rPr>
                <w:rFonts w:ascii="Arial" w:hAnsi="Arial"/>
                <w:sz w:val="24"/>
              </w:rPr>
              <w:t>(not from the request form). Patient specimen labels may be used (ensure the information coincides exactly to the specimen label).</w:t>
            </w:r>
          </w:p>
        </w:tc>
      </w:tr>
      <w:tr w:rsidR="00DA7DF2" w:rsidTr="00DA7DF2">
        <w:tc>
          <w:tcPr>
            <w:tcW w:w="8856" w:type="dxa"/>
          </w:tcPr>
          <w:p w:rsidR="00DA7DF2" w:rsidRDefault="00DA7DF2" w:rsidP="00DA7DF2">
            <w:pPr>
              <w:pStyle w:val="ListParagraph"/>
              <w:numPr>
                <w:ilvl w:val="1"/>
                <w:numId w:val="1"/>
              </w:numPr>
              <w:tabs>
                <w:tab w:val="num" w:pos="698"/>
              </w:tabs>
              <w:ind w:left="840" w:hanging="840"/>
              <w:rPr>
                <w:rFonts w:ascii="Arial" w:hAnsi="Arial"/>
                <w:sz w:val="24"/>
              </w:rPr>
            </w:pPr>
            <w:r w:rsidRPr="00DA7DF2">
              <w:rPr>
                <w:rFonts w:ascii="Arial" w:hAnsi="Arial"/>
                <w:sz w:val="24"/>
              </w:rPr>
              <w:t>Label one tube serum, one tube eluate and one tube last wash.</w:t>
            </w:r>
          </w:p>
        </w:tc>
      </w:tr>
      <w:tr w:rsidR="00DA7DF2" w:rsidTr="00DA7DF2">
        <w:tc>
          <w:tcPr>
            <w:tcW w:w="8856" w:type="dxa"/>
          </w:tcPr>
          <w:p w:rsidR="00DA7DF2" w:rsidRPr="00DA7DF2" w:rsidRDefault="00DA7DF2" w:rsidP="00DA7DF2">
            <w:pPr>
              <w:pStyle w:val="ListParagraph"/>
              <w:numPr>
                <w:ilvl w:val="1"/>
                <w:numId w:val="1"/>
              </w:numPr>
              <w:tabs>
                <w:tab w:val="num" w:pos="698"/>
              </w:tabs>
              <w:spacing w:line="228" w:lineRule="auto"/>
              <w:ind w:left="698" w:hanging="698"/>
              <w:rPr>
                <w:rFonts w:ascii="Arial" w:hAnsi="Arial"/>
                <w:sz w:val="24"/>
              </w:rPr>
            </w:pPr>
            <w:r w:rsidRPr="00DA7DF2">
              <w:rPr>
                <w:rFonts w:ascii="Arial" w:hAnsi="Arial"/>
                <w:sz w:val="24"/>
              </w:rPr>
              <w:t>Separate the serum and add to the tube labeled serum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  <w:tr w:rsidR="00DA7DF2" w:rsidTr="00DA7DF2">
        <w:trPr>
          <w:hidden/>
        </w:trPr>
        <w:tc>
          <w:tcPr>
            <w:tcW w:w="8856" w:type="dxa"/>
          </w:tcPr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Pr="00DA7DF2" w:rsidRDefault="00DA7DF2" w:rsidP="00DA7DF2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Arial" w:hAnsi="Arial"/>
                <w:vanish/>
                <w:sz w:val="24"/>
              </w:rPr>
            </w:pPr>
          </w:p>
          <w:p w:rsidR="00DA7DF2" w:rsidRDefault="00DA7DF2" w:rsidP="00DA7DF2">
            <w:pPr>
              <w:numPr>
                <w:ilvl w:val="1"/>
                <w:numId w:val="13"/>
              </w:numPr>
              <w:tabs>
                <w:tab w:val="num" w:pos="720"/>
              </w:tabs>
              <w:ind w:lef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20 drops of red cells to the tube labeled eluate. Wash the red cells 6 times with normal saline.</w:t>
            </w:r>
          </w:p>
        </w:tc>
      </w:tr>
      <w:tr w:rsidR="00DA7DF2" w:rsidTr="00DA7DF2">
        <w:tc>
          <w:tcPr>
            <w:tcW w:w="8856" w:type="dxa"/>
          </w:tcPr>
          <w:p w:rsidR="00DA7DF2" w:rsidRDefault="00DA7DF2" w:rsidP="00DA7DF2">
            <w:pPr>
              <w:numPr>
                <w:ilvl w:val="1"/>
                <w:numId w:val="13"/>
              </w:numPr>
              <w:tabs>
                <w:tab w:val="num" w:pos="698"/>
              </w:tabs>
              <w:ind w:left="698" w:hanging="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last wash to the appropriately labeled tube and retain for further testing.</w:t>
            </w:r>
          </w:p>
        </w:tc>
      </w:tr>
      <w:tr w:rsidR="00DA7DF2" w:rsidTr="00DA7DF2">
        <w:tc>
          <w:tcPr>
            <w:tcW w:w="8856" w:type="dxa"/>
          </w:tcPr>
          <w:p w:rsidR="00DA7DF2" w:rsidRDefault="00DA7DF2" w:rsidP="00482710">
            <w:pPr>
              <w:numPr>
                <w:ilvl w:val="1"/>
                <w:numId w:val="13"/>
              </w:numPr>
              <w:tabs>
                <w:tab w:val="num" w:pos="698"/>
              </w:tabs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0.5 mL washed packed cells add 3 drops of normal saline. Mix well and stopper securely.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Rotate the tube in order to coat the inside of the tube with red cells.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Place the tube on its side in a freezer (-20</w:t>
            </w:r>
            <w:r>
              <w:rPr>
                <w:rFonts w:ascii="Arial" w:hAnsi="Arial" w:cs="Arial"/>
                <w:sz w:val="24"/>
              </w:rPr>
              <w:t>°C</w:t>
            </w:r>
            <w:r>
              <w:rPr>
                <w:rFonts w:ascii="Arial" w:hAnsi="Arial"/>
                <w:sz w:val="24"/>
              </w:rPr>
              <w:t xml:space="preserve"> to</w:t>
            </w:r>
            <w:r w:rsidR="002F1EE0">
              <w:rPr>
                <w:rFonts w:ascii="Arial" w:hAnsi="Arial"/>
                <w:sz w:val="24"/>
              </w:rPr>
              <w:t xml:space="preserve"> -</w:t>
            </w:r>
            <w:r>
              <w:rPr>
                <w:rFonts w:ascii="Arial" w:hAnsi="Arial"/>
                <w:sz w:val="24"/>
              </w:rPr>
              <w:t>70</w:t>
            </w:r>
            <w:r>
              <w:rPr>
                <w:rFonts w:ascii="Arial" w:hAnsi="Arial" w:cs="Arial"/>
                <w:sz w:val="24"/>
              </w:rPr>
              <w:t>°</w:t>
            </w:r>
            <w:r w:rsidR="002F1EE0">
              <w:rPr>
                <w:rFonts w:ascii="Arial" w:hAnsi="Arial"/>
                <w:sz w:val="24"/>
              </w:rPr>
              <w:t>C) for 10 minutes (</w:t>
            </w:r>
            <w:r>
              <w:rPr>
                <w:rFonts w:ascii="Arial" w:hAnsi="Arial"/>
                <w:sz w:val="24"/>
              </w:rPr>
              <w:t>or longer</w:t>
            </w:r>
            <w:r w:rsidR="002F1EE0"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</w:rPr>
              <w:t xml:space="preserve"> until frozen.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Thaw the red cells rapidly </w:t>
            </w:r>
            <w:r w:rsidR="002F1EE0">
              <w:rPr>
                <w:rFonts w:ascii="Arial" w:hAnsi="Arial"/>
                <w:sz w:val="24"/>
              </w:rPr>
              <w:t xml:space="preserve">by holding the tube </w:t>
            </w:r>
            <w:r>
              <w:rPr>
                <w:rFonts w:ascii="Arial" w:hAnsi="Arial"/>
                <w:sz w:val="24"/>
              </w:rPr>
              <w:t>under warm running tap water.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 w:hanging="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Centrifuge the thawed cell hemolysate at 1000 rpm for 2 minutes to clear of cellular debris and transfer the supernatant eluate to a clean test tube labeled with the patient’s family name and “eluate”</w:t>
            </w:r>
          </w:p>
        </w:tc>
      </w:tr>
      <w:tr w:rsidR="00DA7DF2" w:rsidTr="00DA7DF2">
        <w:tc>
          <w:tcPr>
            <w:tcW w:w="8856" w:type="dxa"/>
          </w:tcPr>
          <w:p w:rsidR="00482710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Label 2 sets of 5 tubes:</w:t>
            </w:r>
            <w:r>
              <w:rPr>
                <w:rFonts w:ascii="Arial" w:hAnsi="Arial"/>
                <w:sz w:val="24"/>
              </w:rPr>
              <w:br/>
            </w:r>
          </w:p>
          <w:p w:rsidR="00482710" w:rsidRDefault="00482710" w:rsidP="00482710">
            <w:pPr>
              <w:spacing w:line="228" w:lineRule="auto"/>
              <w:ind w:left="698"/>
              <w:rPr>
                <w:rFonts w:ascii="Arial" w:hAnsi="Arial"/>
                <w:sz w:val="24"/>
              </w:rPr>
            </w:pPr>
            <w:r w:rsidRPr="00482710">
              <w:rPr>
                <w:rFonts w:ascii="Arial" w:hAnsi="Arial"/>
                <w:sz w:val="24"/>
              </w:rPr>
              <w:t xml:space="preserve">For the eluate: </w:t>
            </w:r>
            <w:r w:rsidRPr="00482710">
              <w:rPr>
                <w:rFonts w:ascii="Arial" w:hAnsi="Arial"/>
                <w:sz w:val="24"/>
              </w:rPr>
              <w:tab/>
              <w:t>A</w:t>
            </w:r>
            <w:r w:rsidRPr="00482710">
              <w:rPr>
                <w:rFonts w:ascii="Arial" w:hAnsi="Arial"/>
                <w:sz w:val="24"/>
                <w:szCs w:val="24"/>
                <w:vertAlign w:val="subscript"/>
              </w:rPr>
              <w:t>1</w:t>
            </w:r>
            <w:r w:rsidRPr="00482710">
              <w:rPr>
                <w:rFonts w:ascii="Arial" w:hAnsi="Arial"/>
                <w:sz w:val="24"/>
              </w:rPr>
              <w:t>, B, and screening cells</w:t>
            </w:r>
            <w:r>
              <w:rPr>
                <w:rFonts w:ascii="Arial" w:hAnsi="Arial"/>
                <w:sz w:val="24"/>
              </w:rPr>
              <w:br/>
              <w:t>For the last wash:</w:t>
            </w:r>
            <w:r>
              <w:rPr>
                <w:rFonts w:ascii="Arial" w:hAnsi="Arial"/>
                <w:sz w:val="24"/>
              </w:rPr>
              <w:tab/>
              <w:t>A</w:t>
            </w:r>
            <w:r w:rsidRPr="00294A5D">
              <w:rPr>
                <w:rFonts w:ascii="Arial" w:hAnsi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/>
                <w:sz w:val="24"/>
              </w:rPr>
              <w:t>, B, and screening cells</w:t>
            </w:r>
            <w:r>
              <w:rPr>
                <w:rFonts w:ascii="Arial" w:hAnsi="Arial"/>
                <w:sz w:val="24"/>
              </w:rPr>
              <w:br/>
            </w:r>
          </w:p>
          <w:p w:rsidR="00DA7DF2" w:rsidRDefault="00482710" w:rsidP="00482710">
            <w:pPr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the set labeled eluate add 2 drops of the hemolysate</w:t>
            </w:r>
            <w:r>
              <w:rPr>
                <w:rFonts w:ascii="Arial" w:hAnsi="Arial"/>
                <w:sz w:val="24"/>
              </w:rPr>
              <w:br/>
              <w:t>To the set labeled last wash add 2 drops of last wash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each labeled tube add 1 drop of the appropriate 3% </w:t>
            </w:r>
            <w:r w:rsidRPr="009C3AC4">
              <w:rPr>
                <w:rFonts w:ascii="Arial" w:hAnsi="Arial"/>
                <w:sz w:val="24"/>
              </w:rPr>
              <w:t>red</w:t>
            </w:r>
            <w:r>
              <w:rPr>
                <w:rFonts w:ascii="Arial" w:hAnsi="Arial"/>
                <w:sz w:val="24"/>
              </w:rPr>
              <w:t xml:space="preserve"> cell suspension.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Incubate all tubes at 37</w:t>
            </w:r>
            <w:r>
              <w:rPr>
                <w:rFonts w:ascii="Arial" w:hAnsi="Arial" w:cs="Arial"/>
                <w:sz w:val="24"/>
              </w:rPr>
              <w:t>°</w:t>
            </w:r>
            <w:r>
              <w:rPr>
                <w:rFonts w:ascii="Arial" w:hAnsi="Arial"/>
                <w:sz w:val="24"/>
              </w:rPr>
              <w:t>C for 30 minutes.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 w:hanging="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Wash cells 4 times see RT.002 Cell Washing Automated and Manual.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 w:hanging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2 drops of anti IgG to each tube and centrifuge at 3400 rpm for 10-15 seconds.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 w:hanging="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Read and record the results. See RT.001- Reading and Recording Hemagglutination Reactions.   </w:t>
            </w:r>
          </w:p>
        </w:tc>
      </w:tr>
      <w:tr w:rsidR="00DA7DF2" w:rsidTr="00DA7DF2">
        <w:tc>
          <w:tcPr>
            <w:tcW w:w="8856" w:type="dxa"/>
          </w:tcPr>
          <w:p w:rsidR="00DA7DF2" w:rsidRDefault="00482710" w:rsidP="00482710">
            <w:pPr>
              <w:numPr>
                <w:ilvl w:val="1"/>
                <w:numId w:val="13"/>
              </w:numPr>
              <w:tabs>
                <w:tab w:val="num" w:pos="698"/>
              </w:tabs>
              <w:spacing w:line="228" w:lineRule="auto"/>
              <w:ind w:left="6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Interpret and Report the results. See 7.0 – Reporting.</w:t>
            </w:r>
            <w:r>
              <w:rPr>
                <w:rFonts w:ascii="Arial" w:hAnsi="Arial"/>
                <w:sz w:val="24"/>
              </w:rPr>
              <w:tab/>
            </w:r>
          </w:p>
        </w:tc>
      </w:tr>
    </w:tbl>
    <w:p w:rsidR="00E418D3" w:rsidRDefault="00E418D3">
      <w:pPr>
        <w:spacing w:line="228" w:lineRule="auto"/>
        <w:ind w:left="720"/>
        <w:rPr>
          <w:rFonts w:ascii="Arial" w:hAnsi="Arial"/>
          <w:sz w:val="24"/>
        </w:rPr>
      </w:pPr>
    </w:p>
    <w:p w:rsidR="00DA7DF2" w:rsidRDefault="00DA7DF2">
      <w:pPr>
        <w:spacing w:line="228" w:lineRule="auto"/>
        <w:ind w:left="720"/>
        <w:rPr>
          <w:rFonts w:ascii="Arial" w:hAnsi="Arial"/>
          <w:sz w:val="24"/>
        </w:rPr>
      </w:pPr>
    </w:p>
    <w:p w:rsidR="00E418D3" w:rsidRDefault="00E418D3" w:rsidP="00DA7DF2">
      <w:pPr>
        <w:numPr>
          <w:ilvl w:val="0"/>
          <w:numId w:val="13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</w:p>
    <w:p w:rsidR="00E418D3" w:rsidRDefault="00E418D3">
      <w:pPr>
        <w:spacing w:line="228" w:lineRule="auto"/>
        <w:rPr>
          <w:rFonts w:ascii="Arial" w:hAnsi="Arial"/>
          <w:b/>
          <w:sz w:val="28"/>
        </w:rPr>
      </w:pPr>
    </w:p>
    <w:p w:rsidR="00E418D3" w:rsidRDefault="00E418D3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last wash must be negative for the test to be valid.</w:t>
      </w:r>
    </w:p>
    <w:p w:rsidR="00E418D3" w:rsidRDefault="00E418D3">
      <w:pPr>
        <w:spacing w:line="228" w:lineRule="auto"/>
        <w:rPr>
          <w:rFonts w:ascii="Arial" w:hAnsi="Arial"/>
          <w:sz w:val="24"/>
        </w:rPr>
      </w:pPr>
    </w:p>
    <w:p w:rsidR="00E418D3" w:rsidRDefault="00E418D3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an antibody is identified in the eluate, report: “</w:t>
      </w:r>
      <w:r w:rsidR="00E83BAD">
        <w:rPr>
          <w:rFonts w:ascii="Arial" w:hAnsi="Arial"/>
          <w:sz w:val="24"/>
        </w:rPr>
        <w:t xml:space="preserve">Eluted antibody, </w:t>
      </w:r>
      <w:r>
        <w:rPr>
          <w:rFonts w:ascii="Arial" w:hAnsi="Arial"/>
          <w:sz w:val="24"/>
        </w:rPr>
        <w:t>anti-____ (A and/or B)</w:t>
      </w:r>
      <w:r w:rsidR="00E83BAD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>.</w:t>
      </w:r>
    </w:p>
    <w:p w:rsidR="00E418D3" w:rsidRDefault="00E418D3">
      <w:pPr>
        <w:spacing w:line="228" w:lineRule="auto"/>
        <w:ind w:left="720"/>
        <w:rPr>
          <w:rFonts w:ascii="Arial" w:hAnsi="Arial"/>
          <w:sz w:val="24"/>
        </w:rPr>
      </w:pPr>
    </w:p>
    <w:p w:rsidR="00E418D3" w:rsidRDefault="00E418D3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eluate is negative against the screening, A and B cells and/or pan</w:t>
      </w:r>
      <w:r w:rsidR="00E83BAD">
        <w:rPr>
          <w:rFonts w:ascii="Arial" w:hAnsi="Arial"/>
          <w:sz w:val="24"/>
        </w:rPr>
        <w:t>el cells, report: “Negative</w:t>
      </w:r>
      <w:r>
        <w:rPr>
          <w:rFonts w:ascii="Arial" w:hAnsi="Arial"/>
          <w:sz w:val="24"/>
        </w:rPr>
        <w:t>.”  See Procedural Notes 8.2.</w:t>
      </w:r>
    </w:p>
    <w:p w:rsidR="00E83BAD" w:rsidRDefault="00E83BAD" w:rsidP="00E83BAD">
      <w:pPr>
        <w:spacing w:line="228" w:lineRule="auto"/>
        <w:ind w:left="720"/>
        <w:rPr>
          <w:rFonts w:ascii="Arial" w:hAnsi="Arial"/>
          <w:sz w:val="24"/>
        </w:rPr>
      </w:pPr>
    </w:p>
    <w:p w:rsidR="00E418D3" w:rsidRDefault="00E418D3" w:rsidP="00DA7DF2">
      <w:pPr>
        <w:numPr>
          <w:ilvl w:val="0"/>
          <w:numId w:val="13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E418D3" w:rsidRDefault="00E418D3">
      <w:pPr>
        <w:spacing w:line="228" w:lineRule="auto"/>
        <w:rPr>
          <w:rFonts w:ascii="Arial" w:hAnsi="Arial"/>
          <w:b/>
        </w:rPr>
      </w:pPr>
    </w:p>
    <w:p w:rsidR="00E418D3" w:rsidRPr="008F1ED3" w:rsidRDefault="00E418D3" w:rsidP="008F1ED3">
      <w:pPr>
        <w:numPr>
          <w:ilvl w:val="1"/>
          <w:numId w:val="13"/>
        </w:num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antibody is present in the last wash, i.e., washing of the cells was inadequate and failed to remove free antibody, the results of the </w:t>
      </w:r>
      <w:r w:rsidRPr="008F1ED3">
        <w:rPr>
          <w:rFonts w:ascii="Arial" w:hAnsi="Arial"/>
          <w:sz w:val="24"/>
        </w:rPr>
        <w:t>eluate cannot be reported. The eluate should be repeated with additional washing of the cells in step 6.4</w:t>
      </w:r>
    </w:p>
    <w:p w:rsidR="00E418D3" w:rsidRDefault="00E418D3">
      <w:pPr>
        <w:spacing w:line="228" w:lineRule="auto"/>
        <w:ind w:left="720"/>
        <w:rPr>
          <w:rFonts w:ascii="Arial" w:hAnsi="Arial"/>
          <w:sz w:val="24"/>
        </w:rPr>
      </w:pPr>
    </w:p>
    <w:p w:rsidR="00E418D3" w:rsidRDefault="00E418D3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eluate is negative confirm that the DAT was positive with anti-IgG. If the DAT is confirmed positive consider an antibody to a low frequency antigen and select low frequency positive cells to test against the eluate.</w:t>
      </w:r>
    </w:p>
    <w:p w:rsidR="00E418D3" w:rsidRDefault="00E418D3">
      <w:pPr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83BAD" w:rsidRDefault="00E418D3" w:rsidP="00DA7DF2">
      <w:pPr>
        <w:numPr>
          <w:ilvl w:val="0"/>
          <w:numId w:val="13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E83BAD" w:rsidRPr="00E83BAD" w:rsidRDefault="00E83BAD" w:rsidP="00E83BAD">
      <w:pPr>
        <w:spacing w:line="228" w:lineRule="auto"/>
        <w:rPr>
          <w:rFonts w:ascii="Arial" w:hAnsi="Arial"/>
          <w:sz w:val="24"/>
          <w:szCs w:val="24"/>
        </w:rPr>
      </w:pPr>
    </w:p>
    <w:p w:rsidR="00E83BAD" w:rsidRPr="00E83BAD" w:rsidRDefault="00E83BAD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  <w:szCs w:val="24"/>
        </w:rPr>
      </w:pPr>
      <w:r w:rsidRPr="00E83BAD">
        <w:rPr>
          <w:rFonts w:ascii="Arial" w:hAnsi="Arial"/>
          <w:sz w:val="24"/>
          <w:szCs w:val="24"/>
        </w:rPr>
        <w:t>Roback JD, ed. A</w:t>
      </w:r>
      <w:r w:rsidR="00E11938">
        <w:rPr>
          <w:rFonts w:ascii="Arial" w:hAnsi="Arial"/>
          <w:sz w:val="24"/>
          <w:szCs w:val="24"/>
        </w:rPr>
        <w:t xml:space="preserve">ABB </w:t>
      </w:r>
      <w:r w:rsidRPr="00E83BAD">
        <w:rPr>
          <w:rFonts w:ascii="Arial" w:hAnsi="Arial"/>
          <w:sz w:val="24"/>
          <w:szCs w:val="24"/>
        </w:rPr>
        <w:t>Technical Manual, 1</w:t>
      </w:r>
      <w:r w:rsidR="00E11938">
        <w:rPr>
          <w:rFonts w:ascii="Arial" w:hAnsi="Arial"/>
          <w:sz w:val="24"/>
          <w:szCs w:val="24"/>
        </w:rPr>
        <w:t>7</w:t>
      </w:r>
      <w:r w:rsidRPr="00E83BAD">
        <w:rPr>
          <w:rFonts w:ascii="Arial" w:hAnsi="Arial"/>
          <w:sz w:val="24"/>
          <w:szCs w:val="24"/>
          <w:vertAlign w:val="superscript"/>
        </w:rPr>
        <w:t>th</w:t>
      </w:r>
      <w:r w:rsidRPr="00E83BAD">
        <w:rPr>
          <w:rFonts w:ascii="Arial" w:hAnsi="Arial"/>
          <w:sz w:val="24"/>
          <w:szCs w:val="24"/>
        </w:rPr>
        <w:t xml:space="preserve"> ed. Bethesda, MD:  American Association of Blood Banks, 20</w:t>
      </w:r>
      <w:r w:rsidR="00E11938">
        <w:rPr>
          <w:rFonts w:ascii="Arial" w:hAnsi="Arial"/>
          <w:sz w:val="24"/>
          <w:szCs w:val="24"/>
        </w:rPr>
        <w:t>11</w:t>
      </w:r>
      <w:r w:rsidRPr="00E83BAD">
        <w:rPr>
          <w:rFonts w:ascii="Arial" w:hAnsi="Arial"/>
          <w:sz w:val="24"/>
          <w:szCs w:val="24"/>
        </w:rPr>
        <w:t xml:space="preserve">: </w:t>
      </w:r>
      <w:r w:rsidR="00E11938">
        <w:rPr>
          <w:rFonts w:ascii="Arial" w:hAnsi="Arial"/>
          <w:sz w:val="24"/>
          <w:szCs w:val="24"/>
        </w:rPr>
        <w:t>479</w:t>
      </w:r>
      <w:r>
        <w:rPr>
          <w:rFonts w:ascii="Arial" w:hAnsi="Arial"/>
          <w:sz w:val="24"/>
          <w:szCs w:val="24"/>
        </w:rPr>
        <w:t>.</w:t>
      </w:r>
    </w:p>
    <w:p w:rsidR="00E83BAD" w:rsidRPr="00E83BAD" w:rsidRDefault="00E83BAD" w:rsidP="00E83BAD">
      <w:pPr>
        <w:spacing w:line="228" w:lineRule="auto"/>
        <w:ind w:left="720"/>
        <w:rPr>
          <w:rFonts w:ascii="Arial" w:hAnsi="Arial"/>
          <w:sz w:val="24"/>
          <w:szCs w:val="24"/>
        </w:rPr>
      </w:pPr>
    </w:p>
    <w:p w:rsidR="00E83BAD" w:rsidRPr="00E83BAD" w:rsidRDefault="00E83BAD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  <w:szCs w:val="24"/>
        </w:rPr>
      </w:pPr>
      <w:r w:rsidRPr="00E83BAD">
        <w:rPr>
          <w:rFonts w:ascii="Arial" w:hAnsi="Arial"/>
          <w:sz w:val="24"/>
          <w:szCs w:val="24"/>
        </w:rPr>
        <w:t>Judd WJ, Methods in Immunhematology 3</w:t>
      </w:r>
      <w:r w:rsidRPr="00E83BAD">
        <w:rPr>
          <w:rFonts w:ascii="Arial" w:hAnsi="Arial"/>
          <w:sz w:val="24"/>
          <w:szCs w:val="24"/>
          <w:vertAlign w:val="superscript"/>
        </w:rPr>
        <w:t>rd</w:t>
      </w:r>
      <w:r w:rsidRPr="00E83BAD">
        <w:rPr>
          <w:rFonts w:ascii="Arial" w:hAnsi="Arial"/>
          <w:sz w:val="24"/>
          <w:szCs w:val="24"/>
        </w:rPr>
        <w:t xml:space="preserve"> ed.:</w:t>
      </w:r>
      <w:r>
        <w:rPr>
          <w:rFonts w:ascii="Arial" w:hAnsi="Arial"/>
          <w:sz w:val="24"/>
          <w:szCs w:val="24"/>
        </w:rPr>
        <w:t>2008</w:t>
      </w:r>
      <w:r w:rsidR="00E11938">
        <w:rPr>
          <w:rFonts w:ascii="Arial" w:hAnsi="Arial"/>
          <w:sz w:val="24"/>
          <w:szCs w:val="24"/>
        </w:rPr>
        <w:t>: 140-142</w:t>
      </w:r>
    </w:p>
    <w:p w:rsidR="00E83BAD" w:rsidRPr="00E83BAD" w:rsidRDefault="00E83BAD" w:rsidP="00E83BAD">
      <w:pPr>
        <w:spacing w:line="228" w:lineRule="auto"/>
        <w:ind w:left="720"/>
        <w:rPr>
          <w:rFonts w:ascii="Arial" w:hAnsi="Arial"/>
          <w:sz w:val="24"/>
          <w:szCs w:val="24"/>
        </w:rPr>
      </w:pPr>
    </w:p>
    <w:p w:rsidR="00E83BAD" w:rsidRPr="00E83BAD" w:rsidRDefault="00E83BAD" w:rsidP="00DA7DF2">
      <w:pPr>
        <w:numPr>
          <w:ilvl w:val="1"/>
          <w:numId w:val="13"/>
        </w:numPr>
        <w:spacing w:line="228" w:lineRule="auto"/>
        <w:rPr>
          <w:rFonts w:ascii="Arial" w:hAnsi="Arial"/>
          <w:sz w:val="24"/>
          <w:szCs w:val="24"/>
        </w:rPr>
      </w:pPr>
      <w:r w:rsidRPr="00E83BAD">
        <w:rPr>
          <w:rFonts w:ascii="Arial" w:hAnsi="Arial"/>
          <w:sz w:val="24"/>
          <w:szCs w:val="24"/>
        </w:rPr>
        <w:t xml:space="preserve">Standards for Hospital Transfusion Services Version </w:t>
      </w:r>
      <w:r w:rsidR="00E11938">
        <w:rPr>
          <w:rFonts w:ascii="Arial" w:hAnsi="Arial"/>
          <w:sz w:val="24"/>
          <w:szCs w:val="24"/>
        </w:rPr>
        <w:t>3</w:t>
      </w:r>
      <w:r w:rsidRPr="00E83BAD">
        <w:rPr>
          <w:rFonts w:ascii="Arial" w:hAnsi="Arial"/>
          <w:sz w:val="24"/>
          <w:szCs w:val="24"/>
        </w:rPr>
        <w:t xml:space="preserve"> – </w:t>
      </w:r>
      <w:r w:rsidR="00E11938">
        <w:rPr>
          <w:rFonts w:ascii="Arial" w:hAnsi="Arial"/>
          <w:sz w:val="24"/>
          <w:szCs w:val="24"/>
        </w:rPr>
        <w:t>February</w:t>
      </w:r>
      <w:r w:rsidRPr="00E83BAD">
        <w:rPr>
          <w:rFonts w:ascii="Arial" w:hAnsi="Arial"/>
          <w:sz w:val="24"/>
          <w:szCs w:val="24"/>
        </w:rPr>
        <w:t xml:space="preserve"> 20</w:t>
      </w:r>
      <w:r w:rsidR="00E11938">
        <w:rPr>
          <w:rFonts w:ascii="Arial" w:hAnsi="Arial"/>
          <w:sz w:val="24"/>
          <w:szCs w:val="24"/>
        </w:rPr>
        <w:t>11</w:t>
      </w:r>
      <w:r w:rsidRPr="00E83BAD">
        <w:rPr>
          <w:rFonts w:ascii="Arial" w:hAnsi="Arial"/>
          <w:sz w:val="24"/>
          <w:szCs w:val="24"/>
        </w:rPr>
        <w:t>. Canadian Society for Transfusion Medicine, 5.3.1.</w:t>
      </w:r>
      <w:r w:rsidR="00E11938">
        <w:rPr>
          <w:rFonts w:ascii="Arial" w:hAnsi="Arial"/>
          <w:sz w:val="24"/>
          <w:szCs w:val="24"/>
        </w:rPr>
        <w:t>1</w:t>
      </w:r>
      <w:r w:rsidRPr="00E83BAD">
        <w:rPr>
          <w:rFonts w:ascii="Arial" w:hAnsi="Arial"/>
          <w:sz w:val="24"/>
          <w:szCs w:val="24"/>
        </w:rPr>
        <w:t>.</w:t>
      </w:r>
    </w:p>
    <w:p w:rsidR="00E83BAD" w:rsidRPr="00E83BAD" w:rsidRDefault="00E83BAD" w:rsidP="00E83BAD">
      <w:pPr>
        <w:spacing w:line="228" w:lineRule="auto"/>
        <w:ind w:left="1440" w:hanging="720"/>
        <w:rPr>
          <w:rFonts w:ascii="Arial" w:hAnsi="Arial"/>
          <w:snapToGrid w:val="0"/>
          <w:sz w:val="24"/>
        </w:rPr>
      </w:pPr>
    </w:p>
    <w:p w:rsidR="00E418D3" w:rsidRPr="003C4419" w:rsidRDefault="003C4419" w:rsidP="003C4419">
      <w:pPr>
        <w:pStyle w:val="ListParagraph"/>
        <w:numPr>
          <w:ilvl w:val="0"/>
          <w:numId w:val="13"/>
        </w:numPr>
        <w:rPr>
          <w:rFonts w:ascii="Arial" w:hAnsi="Arial"/>
          <w:b/>
          <w:sz w:val="28"/>
        </w:rPr>
      </w:pPr>
      <w:r w:rsidRPr="003C4419">
        <w:rPr>
          <w:rFonts w:ascii="Arial" w:hAnsi="Arial"/>
          <w:b/>
          <w:sz w:val="28"/>
        </w:rPr>
        <w:t>Revision History</w:t>
      </w:r>
    </w:p>
    <w:p w:rsidR="00E418D3" w:rsidRDefault="00E41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4419" w:rsidTr="003C44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9" w:rsidRPr="008F1ED3" w:rsidRDefault="003C441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F1ED3">
              <w:rPr>
                <w:rFonts w:ascii="Arial" w:hAnsi="Arial" w:cs="Arial"/>
                <w:b/>
                <w:sz w:val="22"/>
              </w:rPr>
              <w:t>Revision 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9" w:rsidRPr="008F1ED3" w:rsidRDefault="003C441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F1ED3">
              <w:rPr>
                <w:rFonts w:ascii="Arial" w:hAnsi="Arial" w:cs="Arial"/>
                <w:b/>
                <w:sz w:val="22"/>
              </w:rPr>
              <w:t>Summary of Revision</w:t>
            </w:r>
          </w:p>
        </w:tc>
      </w:tr>
      <w:tr w:rsidR="003C4419" w:rsidTr="003C44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9" w:rsidRPr="008F1ED3" w:rsidRDefault="008F1ED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8F1ED3">
              <w:rPr>
                <w:rFonts w:ascii="Arial" w:hAnsi="Arial" w:cs="Arial"/>
                <w:sz w:val="22"/>
              </w:rPr>
              <w:t>March 1, 2014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9" w:rsidRDefault="008F1ED3" w:rsidP="008F1ED3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8F1ED3">
              <w:rPr>
                <w:rFonts w:ascii="Arial" w:hAnsi="Arial" w:cs="Arial"/>
                <w:sz w:val="22"/>
              </w:rPr>
              <w:t>Revised manual name</w:t>
            </w:r>
          </w:p>
          <w:p w:rsidR="008F1ED3" w:rsidRDefault="008F1ED3" w:rsidP="008F1ED3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Revised wording of section 6.2 to include “label one tube serum” </w:t>
            </w:r>
          </w:p>
          <w:p w:rsidR="008F1ED3" w:rsidRDefault="008F1ED3" w:rsidP="008F1ED3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Revised wording of section 6.10 to include “labeled with patient’s family name and eluate.”</w:t>
            </w:r>
          </w:p>
          <w:p w:rsidR="008F1ED3" w:rsidRDefault="008F1ED3" w:rsidP="008F1ED3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Section 6.14- changed PA.005 to RT.002; Section 6.16- changed PA.006 to RT.001 </w:t>
            </w:r>
          </w:p>
          <w:p w:rsidR="008F1ED3" w:rsidRPr="008F1ED3" w:rsidRDefault="008F1ED3" w:rsidP="008F1ED3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Updated list of references to include latest editions/versions </w:t>
            </w:r>
          </w:p>
        </w:tc>
      </w:tr>
    </w:tbl>
    <w:p w:rsidR="003C4419" w:rsidRDefault="003C4419"/>
    <w:sectPr w:rsidR="003C4419" w:rsidSect="0052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F9" w:rsidRDefault="004C13F9">
      <w:r>
        <w:separator/>
      </w:r>
    </w:p>
  </w:endnote>
  <w:endnote w:type="continuationSeparator" w:id="0">
    <w:p w:rsidR="004C13F9" w:rsidRDefault="004C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C1" w:rsidRDefault="0041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94A5D">
      <w:trPr>
        <w:trHeight w:val="720"/>
      </w:trPr>
      <w:tc>
        <w:tcPr>
          <w:tcW w:w="1368" w:type="dxa"/>
        </w:tcPr>
        <w:p w:rsidR="00294A5D" w:rsidRDefault="00294A5D">
          <w:pPr>
            <w:pStyle w:val="Footer"/>
            <w:jc w:val="center"/>
            <w:rPr>
              <w:sz w:val="8"/>
            </w:rPr>
          </w:pPr>
        </w:p>
        <w:p w:rsidR="00294A5D" w:rsidRDefault="00CD2A35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4050" cy="444500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294A5D" w:rsidRDefault="00E1193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94A5D">
            <w:rPr>
              <w:rFonts w:ascii="Arial" w:hAnsi="Arial"/>
              <w:sz w:val="18"/>
            </w:rPr>
            <w:t xml:space="preserve"> Manual</w:t>
          </w: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94A5D" w:rsidRDefault="00294A5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NRT. 011</w:t>
          </w:r>
          <w:r>
            <w:rPr>
              <w:rFonts w:ascii="Arial" w:hAnsi="Arial"/>
              <w:sz w:val="18"/>
            </w:rPr>
            <w:br/>
          </w: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52340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52340F">
            <w:rPr>
              <w:rFonts w:ascii="Arial" w:hAnsi="Arial"/>
              <w:snapToGrid w:val="0"/>
              <w:sz w:val="18"/>
            </w:rPr>
            <w:fldChar w:fldCharType="separate"/>
          </w:r>
          <w:r w:rsidR="006C61EF">
            <w:rPr>
              <w:rFonts w:ascii="Arial" w:hAnsi="Arial"/>
              <w:noProof/>
              <w:snapToGrid w:val="0"/>
              <w:sz w:val="18"/>
            </w:rPr>
            <w:t>4</w:t>
          </w:r>
          <w:r w:rsidR="0052340F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52340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52340F">
            <w:rPr>
              <w:rFonts w:ascii="Arial" w:hAnsi="Arial"/>
              <w:snapToGrid w:val="0"/>
              <w:sz w:val="18"/>
            </w:rPr>
            <w:fldChar w:fldCharType="separate"/>
          </w:r>
          <w:r w:rsidR="006C61EF">
            <w:rPr>
              <w:rFonts w:ascii="Arial" w:hAnsi="Arial"/>
              <w:noProof/>
              <w:snapToGrid w:val="0"/>
              <w:sz w:val="18"/>
            </w:rPr>
            <w:t>4</w:t>
          </w:r>
          <w:r w:rsidR="0052340F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94A5D" w:rsidRDefault="00294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94A5D">
      <w:trPr>
        <w:trHeight w:val="720"/>
      </w:trPr>
      <w:tc>
        <w:tcPr>
          <w:tcW w:w="1368" w:type="dxa"/>
        </w:tcPr>
        <w:p w:rsidR="00294A5D" w:rsidRDefault="00294A5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94A5D" w:rsidRDefault="00CD2A35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4050" cy="444500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294A5D" w:rsidRDefault="00E1193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Resource </w:t>
          </w:r>
          <w:r w:rsidR="00294A5D">
            <w:rPr>
              <w:rFonts w:ascii="Arial" w:hAnsi="Arial"/>
              <w:sz w:val="18"/>
            </w:rPr>
            <w:t>Manual</w:t>
          </w: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94A5D" w:rsidRDefault="00294A5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NRT. 011</w:t>
          </w:r>
          <w:r>
            <w:rPr>
              <w:rFonts w:ascii="Arial" w:hAnsi="Arial"/>
              <w:sz w:val="18"/>
            </w:rPr>
            <w:br/>
          </w:r>
        </w:p>
        <w:p w:rsidR="00294A5D" w:rsidRDefault="00294A5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52340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52340F">
            <w:rPr>
              <w:rFonts w:ascii="Arial" w:hAnsi="Arial"/>
              <w:snapToGrid w:val="0"/>
              <w:sz w:val="18"/>
            </w:rPr>
            <w:fldChar w:fldCharType="separate"/>
          </w:r>
          <w:r w:rsidR="006C61EF">
            <w:rPr>
              <w:rFonts w:ascii="Arial" w:hAnsi="Arial"/>
              <w:noProof/>
              <w:snapToGrid w:val="0"/>
              <w:sz w:val="18"/>
            </w:rPr>
            <w:t>1</w:t>
          </w:r>
          <w:r w:rsidR="0052340F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52340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52340F">
            <w:rPr>
              <w:rFonts w:ascii="Arial" w:hAnsi="Arial"/>
              <w:snapToGrid w:val="0"/>
              <w:sz w:val="18"/>
            </w:rPr>
            <w:fldChar w:fldCharType="separate"/>
          </w:r>
          <w:r w:rsidR="006C61EF">
            <w:rPr>
              <w:rFonts w:ascii="Arial" w:hAnsi="Arial"/>
              <w:noProof/>
              <w:snapToGrid w:val="0"/>
              <w:sz w:val="18"/>
            </w:rPr>
            <w:t>1</w:t>
          </w:r>
          <w:r w:rsidR="0052340F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94A5D" w:rsidRDefault="0029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F9" w:rsidRDefault="004C13F9">
      <w:r>
        <w:separator/>
      </w:r>
    </w:p>
  </w:footnote>
  <w:footnote w:type="continuationSeparator" w:id="0">
    <w:p w:rsidR="004C13F9" w:rsidRDefault="004C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C1" w:rsidRDefault="00416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5D" w:rsidRDefault="00294A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Lui Freeze – Thaw Elution</w:t>
    </w:r>
  </w:p>
  <w:p w:rsidR="00294A5D" w:rsidRDefault="00294A5D">
    <w:pPr>
      <w:pStyle w:val="Header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5D" w:rsidRDefault="00DA7DF2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 wp14:anchorId="6A9B08DB" wp14:editId="58AF9BF0">
          <wp:extent cx="1233720" cy="4968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72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363" w:rsidRDefault="001C5363">
    <w:pPr>
      <w:pStyle w:val="Header"/>
      <w:tabs>
        <w:tab w:val="clear" w:pos="8640"/>
        <w:tab w:val="left" w:pos="4783"/>
      </w:tabs>
    </w:pPr>
  </w:p>
  <w:p w:rsidR="00294A5D" w:rsidRPr="008F1ED3" w:rsidRDefault="0089232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F1ED3">
      <w:rPr>
        <w:rFonts w:ascii="Arial" w:hAnsi="Arial" w:cs="Arial"/>
        <w:b/>
        <w:bCs/>
        <w:sz w:val="24"/>
        <w:szCs w:val="24"/>
      </w:rPr>
      <w:t>Ontario Regional Blood Coordinating Network</w:t>
    </w:r>
  </w:p>
  <w:p w:rsidR="00892328" w:rsidRPr="008F1ED3" w:rsidRDefault="0089232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F1ED3">
      <w:rPr>
        <w:rFonts w:ascii="Arial" w:hAnsi="Arial" w:cs="Arial"/>
        <w:b/>
        <w:bCs/>
        <w:sz w:val="24"/>
        <w:szCs w:val="24"/>
      </w:rPr>
      <w:t>Transfusion Technical Resource Manual</w:t>
    </w:r>
  </w:p>
  <w:p w:rsidR="00294A5D" w:rsidRDefault="00294A5D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</w:p>
  <w:p w:rsidR="00294A5D" w:rsidRDefault="00294A5D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Lui Freeze – Thaw Elution</w:t>
    </w:r>
  </w:p>
  <w:p w:rsidR="00294A5D" w:rsidRDefault="00294A5D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</w:p>
  <w:p w:rsidR="00294A5D" w:rsidRDefault="00294A5D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6C61EF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20954</wp:posOffset>
              </wp:positionV>
              <wp:extent cx="5600700" cy="0"/>
              <wp:effectExtent l="0" t="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21E0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2"/>
      <w:gridCol w:w="4318"/>
    </w:tblGrid>
    <w:tr w:rsidR="00294A5D">
      <w:tc>
        <w:tcPr>
          <w:tcW w:w="4428" w:type="dxa"/>
        </w:tcPr>
        <w:p w:rsidR="00294A5D" w:rsidRDefault="00294A5D" w:rsidP="0089232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Approved By:</w:t>
          </w:r>
          <w:r w:rsidR="00B67AAC">
            <w:rPr>
              <w:rFonts w:ascii="Arial" w:hAnsi="Arial" w:cs="Arial"/>
            </w:rPr>
            <w:t xml:space="preserve">  </w:t>
          </w:r>
        </w:p>
      </w:tc>
      <w:tc>
        <w:tcPr>
          <w:tcW w:w="4428" w:type="dxa"/>
        </w:tcPr>
        <w:p w:rsidR="00294A5D" w:rsidRDefault="00294A5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NRT.011</w:t>
          </w:r>
        </w:p>
      </w:tc>
    </w:tr>
    <w:tr w:rsidR="00294A5D">
      <w:tc>
        <w:tcPr>
          <w:tcW w:w="4428" w:type="dxa"/>
        </w:tcPr>
        <w:p w:rsidR="00294A5D" w:rsidRDefault="00294A5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294A5D" w:rsidRDefault="00294A5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Non-Routine Testing</w:t>
          </w:r>
        </w:p>
      </w:tc>
    </w:tr>
    <w:tr w:rsidR="00294A5D">
      <w:tc>
        <w:tcPr>
          <w:tcW w:w="4428" w:type="dxa"/>
        </w:tcPr>
        <w:p w:rsidR="00294A5D" w:rsidRDefault="00E11938" w:rsidP="00416CC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Revised:  </w:t>
          </w:r>
          <w:r w:rsidR="00416CC1">
            <w:rPr>
              <w:rFonts w:ascii="Arial" w:hAnsi="Arial" w:cs="Arial"/>
            </w:rPr>
            <w:t>2009/09/01; 2014/03/01</w:t>
          </w:r>
        </w:p>
      </w:tc>
      <w:tc>
        <w:tcPr>
          <w:tcW w:w="4428" w:type="dxa"/>
        </w:tcPr>
        <w:p w:rsidR="00294A5D" w:rsidRDefault="00294A5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52340F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52340F">
            <w:rPr>
              <w:rFonts w:ascii="Arial" w:hAnsi="Arial" w:cs="Arial"/>
            </w:rPr>
            <w:fldChar w:fldCharType="separate"/>
          </w:r>
          <w:r w:rsidR="006C61EF">
            <w:rPr>
              <w:rFonts w:ascii="Arial" w:hAnsi="Arial" w:cs="Arial"/>
              <w:noProof/>
            </w:rPr>
            <w:t>1</w:t>
          </w:r>
          <w:r w:rsidR="0052340F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52340F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 w:rsidR="0052340F">
            <w:rPr>
              <w:rFonts w:ascii="Arial" w:hAnsi="Arial" w:cs="Arial"/>
            </w:rPr>
            <w:fldChar w:fldCharType="separate"/>
          </w:r>
          <w:r w:rsidR="006C61EF">
            <w:rPr>
              <w:rFonts w:ascii="Arial" w:hAnsi="Arial" w:cs="Arial"/>
              <w:noProof/>
            </w:rPr>
            <w:t>1</w:t>
          </w:r>
          <w:r w:rsidR="0052340F">
            <w:rPr>
              <w:rFonts w:ascii="Arial" w:hAnsi="Arial" w:cs="Arial"/>
            </w:rPr>
            <w:fldChar w:fldCharType="end"/>
          </w:r>
        </w:p>
      </w:tc>
    </w:tr>
  </w:tbl>
  <w:p w:rsidR="00294A5D" w:rsidRDefault="006C61EF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122554</wp:posOffset>
              </wp:positionV>
              <wp:extent cx="56007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32252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94A5D">
      <w:rPr>
        <w:rFonts w:ascii="Arial" w:hAnsi="Arial" w:cs="Arial"/>
      </w:rPr>
      <w:tab/>
    </w:r>
  </w:p>
  <w:p w:rsidR="00294A5D" w:rsidRDefault="00294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FC3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4CF0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8F53EB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DA1D16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6201F2"/>
    <w:multiLevelType w:val="hybridMultilevel"/>
    <w:tmpl w:val="A1D87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1B88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CF943C7"/>
    <w:multiLevelType w:val="hybridMultilevel"/>
    <w:tmpl w:val="E91096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4008E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0CB3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02B4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D5F4EF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8C3AF4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8C33D7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B42B6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3A23B4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5BF3FF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9584C5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1" w15:restartNumberingAfterBreak="0">
    <w:nsid w:val="682C2A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8B515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5452093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C038C4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BB947F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D8D520B"/>
    <w:multiLevelType w:val="multilevel"/>
    <w:tmpl w:val="97A28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2"/>
  </w:num>
  <w:num w:numId="5">
    <w:abstractNumId w:val="24"/>
  </w:num>
  <w:num w:numId="6">
    <w:abstractNumId w:val="21"/>
  </w:num>
  <w:num w:numId="7">
    <w:abstractNumId w:val="8"/>
  </w:num>
  <w:num w:numId="8">
    <w:abstractNumId w:val="27"/>
  </w:num>
  <w:num w:numId="9">
    <w:abstractNumId w:val="0"/>
  </w:num>
  <w:num w:numId="10">
    <w:abstractNumId w:val="26"/>
  </w:num>
  <w:num w:numId="11">
    <w:abstractNumId w:val="3"/>
  </w:num>
  <w:num w:numId="12">
    <w:abstractNumId w:val="2"/>
  </w:num>
  <w:num w:numId="13">
    <w:abstractNumId w:val="22"/>
  </w:num>
  <w:num w:numId="14">
    <w:abstractNumId w:val="19"/>
  </w:num>
  <w:num w:numId="15">
    <w:abstractNumId w:val="11"/>
  </w:num>
  <w:num w:numId="16">
    <w:abstractNumId w:val="18"/>
  </w:num>
  <w:num w:numId="17">
    <w:abstractNumId w:val="1"/>
  </w:num>
  <w:num w:numId="18">
    <w:abstractNumId w:val="23"/>
  </w:num>
  <w:num w:numId="19">
    <w:abstractNumId w:val="16"/>
  </w:num>
  <w:num w:numId="20">
    <w:abstractNumId w:val="5"/>
  </w:num>
  <w:num w:numId="21">
    <w:abstractNumId w:val="15"/>
  </w:num>
  <w:num w:numId="22">
    <w:abstractNumId w:val="7"/>
  </w:num>
  <w:num w:numId="23">
    <w:abstractNumId w:val="9"/>
  </w:num>
  <w:num w:numId="24">
    <w:abstractNumId w:val="25"/>
  </w:num>
  <w:num w:numId="25">
    <w:abstractNumId w:val="17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3"/>
    <w:rsid w:val="001C5363"/>
    <w:rsid w:val="00294A5D"/>
    <w:rsid w:val="002F1EE0"/>
    <w:rsid w:val="003C4419"/>
    <w:rsid w:val="00416CC1"/>
    <w:rsid w:val="00482710"/>
    <w:rsid w:val="004C13F9"/>
    <w:rsid w:val="0052340F"/>
    <w:rsid w:val="00646636"/>
    <w:rsid w:val="0067474D"/>
    <w:rsid w:val="006C61EF"/>
    <w:rsid w:val="007E5378"/>
    <w:rsid w:val="008019EF"/>
    <w:rsid w:val="00892328"/>
    <w:rsid w:val="008F1ED3"/>
    <w:rsid w:val="009C3AC4"/>
    <w:rsid w:val="00AB17CC"/>
    <w:rsid w:val="00B67AAC"/>
    <w:rsid w:val="00CC4B7C"/>
    <w:rsid w:val="00CD2A35"/>
    <w:rsid w:val="00DA7DF2"/>
    <w:rsid w:val="00DC2D36"/>
    <w:rsid w:val="00DC603E"/>
    <w:rsid w:val="00E11938"/>
    <w:rsid w:val="00E418D3"/>
    <w:rsid w:val="00E83BAD"/>
    <w:rsid w:val="00EB4ECB"/>
    <w:rsid w:val="00F52ABA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FD5981-96C0-4420-8F69-4F7ABB87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11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19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A7D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C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NRT.011 Lui Freeze-Thaw Elution</vt:lpstr>
    </vt:vector>
  </TitlesOfParts>
  <Company>The Ottawa Hospital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NRT.011 Lui Freeze-Thaw Elution</dc:title>
  <dc:creator>Transfusion Ontario Program Office</dc:creator>
  <cp:lastModifiedBy>Nesrallah, Heather</cp:lastModifiedBy>
  <cp:revision>2</cp:revision>
  <cp:lastPrinted>2002-07-03T19:06:00Z</cp:lastPrinted>
  <dcterms:created xsi:type="dcterms:W3CDTF">2020-08-11T12:32:00Z</dcterms:created>
  <dcterms:modified xsi:type="dcterms:W3CDTF">2020-08-11T12:32:00Z</dcterms:modified>
</cp:coreProperties>
</file>