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7A" w:rsidRDefault="001B697A">
      <w:pPr>
        <w:numPr>
          <w:ilvl w:val="0"/>
          <w:numId w:val="1"/>
        </w:numPr>
        <w:rPr>
          <w:rFonts w:ascii="Arial" w:hAnsi="Arial"/>
          <w:b/>
          <w:sz w:val="28"/>
        </w:rPr>
      </w:pPr>
      <w:bookmarkStart w:id="0" w:name="_GoBack"/>
      <w:bookmarkEnd w:id="0"/>
      <w:r>
        <w:rPr>
          <w:rFonts w:ascii="Arial" w:hAnsi="Arial"/>
          <w:b/>
          <w:sz w:val="28"/>
        </w:rPr>
        <w:t>Principle</w:t>
      </w:r>
    </w:p>
    <w:p w:rsidR="001B697A" w:rsidRDefault="001B697A">
      <w:pPr>
        <w:rPr>
          <w:rFonts w:ascii="Arial" w:hAnsi="Arial"/>
          <w:sz w:val="24"/>
        </w:rPr>
      </w:pPr>
    </w:p>
    <w:p w:rsidR="001B697A" w:rsidRDefault="001B697A">
      <w:pPr>
        <w:ind w:left="720"/>
        <w:rPr>
          <w:rFonts w:ascii="Arial" w:hAnsi="Arial"/>
          <w:sz w:val="24"/>
        </w:rPr>
      </w:pPr>
      <w:r>
        <w:rPr>
          <w:rFonts w:ascii="Arial" w:hAnsi="Arial"/>
          <w:sz w:val="24"/>
        </w:rPr>
        <w:t>To remove antibody from coated red cells to allow for testing and identification.</w:t>
      </w:r>
    </w:p>
    <w:p w:rsidR="001B697A" w:rsidRDefault="001B697A">
      <w:pPr>
        <w:ind w:left="720"/>
        <w:rPr>
          <w:rFonts w:ascii="Arial" w:hAnsi="Arial"/>
          <w:sz w:val="24"/>
        </w:rPr>
      </w:pPr>
    </w:p>
    <w:p w:rsidR="001B697A" w:rsidRDefault="001B697A">
      <w:pPr>
        <w:ind w:left="720"/>
        <w:rPr>
          <w:rFonts w:ascii="Arial" w:hAnsi="Arial"/>
          <w:sz w:val="24"/>
        </w:rPr>
      </w:pPr>
      <w:r>
        <w:rPr>
          <w:rFonts w:ascii="Arial" w:hAnsi="Arial"/>
          <w:sz w:val="24"/>
        </w:rPr>
        <w:t>Red cells coated with antibody are thoroughly washed to remove unbound protein, using a special wash solution to maintain the association of bound antibody. The washed cells are then suspended in a low pH solution (Acid Eluting Solution) to dissociate the bound antibody. After centrifugation, the supernatant containing any dissociated antibody is separated from the red cells and buffered by the addition of a buffering solution (Base Buffering Solution). The eluate is then ready to be used in antibody detection or identification.</w:t>
      </w:r>
    </w:p>
    <w:p w:rsidR="001B697A" w:rsidRDefault="001B697A">
      <w:pPr>
        <w:ind w:left="720"/>
        <w:rPr>
          <w:rFonts w:ascii="Arial" w:hAnsi="Arial"/>
          <w:sz w:val="24"/>
        </w:rPr>
      </w:pPr>
    </w:p>
    <w:p w:rsidR="001B697A" w:rsidRDefault="001B697A">
      <w:pPr>
        <w:numPr>
          <w:ilvl w:val="0"/>
          <w:numId w:val="1"/>
        </w:numPr>
        <w:rPr>
          <w:rFonts w:ascii="Arial" w:hAnsi="Arial"/>
          <w:b/>
          <w:sz w:val="28"/>
        </w:rPr>
      </w:pPr>
      <w:r>
        <w:rPr>
          <w:rFonts w:ascii="Arial" w:hAnsi="Arial"/>
          <w:b/>
          <w:sz w:val="28"/>
        </w:rPr>
        <w:t>Scope and Related Policies</w:t>
      </w:r>
    </w:p>
    <w:p w:rsidR="001B697A" w:rsidRDefault="001B697A">
      <w:pPr>
        <w:rPr>
          <w:rFonts w:ascii="Arial" w:hAnsi="Arial"/>
          <w:sz w:val="24"/>
        </w:rPr>
      </w:pPr>
    </w:p>
    <w:p w:rsidR="001B697A" w:rsidRDefault="001B697A">
      <w:pPr>
        <w:numPr>
          <w:ilvl w:val="1"/>
          <w:numId w:val="1"/>
        </w:numPr>
        <w:rPr>
          <w:rFonts w:ascii="Arial" w:hAnsi="Arial"/>
          <w:sz w:val="24"/>
        </w:rPr>
      </w:pPr>
      <w:r>
        <w:rPr>
          <w:rFonts w:ascii="Arial" w:hAnsi="Arial"/>
          <w:sz w:val="24"/>
        </w:rPr>
        <w:t>In patients with previously identified clinically significant antibodies, the antibody identification shall be performed to exclude any new antibodies.</w:t>
      </w:r>
    </w:p>
    <w:p w:rsidR="001B697A" w:rsidRDefault="001B697A">
      <w:pPr>
        <w:ind w:left="720"/>
        <w:rPr>
          <w:rFonts w:ascii="Arial" w:hAnsi="Arial"/>
          <w:sz w:val="24"/>
        </w:rPr>
      </w:pPr>
    </w:p>
    <w:p w:rsidR="001B697A" w:rsidRDefault="001B697A">
      <w:pPr>
        <w:numPr>
          <w:ilvl w:val="1"/>
          <w:numId w:val="1"/>
        </w:numPr>
        <w:rPr>
          <w:rFonts w:ascii="Arial" w:hAnsi="Arial"/>
          <w:sz w:val="24"/>
        </w:rPr>
      </w:pPr>
      <w:r>
        <w:rPr>
          <w:rFonts w:ascii="Arial" w:hAnsi="Arial"/>
          <w:sz w:val="24"/>
        </w:rPr>
        <w:t>All reagents shall be used and controlled according to the manufacturers written instructions.</w:t>
      </w:r>
      <w:r>
        <w:rPr>
          <w:rFonts w:ascii="Arial" w:hAnsi="Arial"/>
          <w:sz w:val="24"/>
          <w:vertAlign w:val="superscript"/>
        </w:rPr>
        <w:t>9.1</w:t>
      </w:r>
    </w:p>
    <w:p w:rsidR="001B697A" w:rsidRDefault="001B697A">
      <w:pPr>
        <w:ind w:left="720"/>
        <w:rPr>
          <w:rFonts w:ascii="Arial" w:hAnsi="Arial"/>
          <w:sz w:val="24"/>
        </w:rPr>
      </w:pPr>
    </w:p>
    <w:p w:rsidR="001B697A" w:rsidRDefault="001B697A">
      <w:pPr>
        <w:numPr>
          <w:ilvl w:val="1"/>
          <w:numId w:val="1"/>
        </w:numPr>
        <w:rPr>
          <w:rFonts w:ascii="Arial" w:hAnsi="Arial"/>
          <w:sz w:val="24"/>
        </w:rPr>
      </w:pPr>
      <w:r>
        <w:rPr>
          <w:rFonts w:ascii="Arial" w:hAnsi="Arial"/>
          <w:sz w:val="24"/>
        </w:rPr>
        <w:t>Elution should be performed as described in NRT.005 – Investigation of a Positive Direct Antiglobulin Test.</w:t>
      </w:r>
    </w:p>
    <w:p w:rsidR="001B697A" w:rsidRDefault="001B697A">
      <w:pPr>
        <w:ind w:left="720"/>
        <w:rPr>
          <w:rFonts w:ascii="Arial" w:hAnsi="Arial"/>
          <w:sz w:val="24"/>
        </w:rPr>
      </w:pPr>
    </w:p>
    <w:p w:rsidR="001B697A" w:rsidRDefault="001B697A">
      <w:pPr>
        <w:numPr>
          <w:ilvl w:val="1"/>
          <w:numId w:val="1"/>
        </w:numPr>
        <w:rPr>
          <w:rFonts w:ascii="Arial" w:hAnsi="Arial"/>
          <w:sz w:val="24"/>
        </w:rPr>
      </w:pPr>
      <w:r>
        <w:rPr>
          <w:rFonts w:ascii="Arial" w:hAnsi="Arial"/>
          <w:sz w:val="24"/>
        </w:rPr>
        <w:t>Elution may be performed at the following times:</w:t>
      </w:r>
    </w:p>
    <w:p w:rsidR="001B697A" w:rsidRDefault="001B697A">
      <w:pPr>
        <w:ind w:left="720"/>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To investigate a suspected delayed transfusion reaction.</w:t>
      </w:r>
    </w:p>
    <w:p w:rsidR="001B697A" w:rsidRDefault="001B697A" w:rsidP="004C3ED3">
      <w:pPr>
        <w:ind w:left="201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To investigate fetal-maternal incompatibility including ABO.</w:t>
      </w:r>
    </w:p>
    <w:p w:rsidR="001B697A" w:rsidRDefault="001B697A" w:rsidP="004C3ED3">
      <w:pPr>
        <w:ind w:left="201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To investigate drug-induced phenomena.</w:t>
      </w:r>
    </w:p>
    <w:p w:rsidR="001B697A" w:rsidRDefault="001B697A" w:rsidP="004C3ED3">
      <w:pPr>
        <w:ind w:left="201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lastRenderedPageBreak/>
        <w:t xml:space="preserve">To resolve multiple antibody </w:t>
      </w:r>
      <w:proofErr w:type="gramStart"/>
      <w:r w:rsidRPr="00100557">
        <w:rPr>
          <w:rFonts w:ascii="Arial" w:hAnsi="Arial"/>
          <w:sz w:val="24"/>
        </w:rPr>
        <w:t>specificities</w:t>
      </w:r>
      <w:proofErr w:type="gramEnd"/>
      <w:r w:rsidRPr="00100557">
        <w:rPr>
          <w:rFonts w:ascii="Arial" w:hAnsi="Arial"/>
          <w:sz w:val="24"/>
        </w:rPr>
        <w:t xml:space="preserve"> present in a single plasma.</w:t>
      </w:r>
    </w:p>
    <w:p w:rsidR="001B697A" w:rsidRDefault="001B697A" w:rsidP="004C3ED3">
      <w:pPr>
        <w:ind w:left="57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As a part of a reference laboratory investigation to detect weakly expressed antigens such as in weak subgroups of A.</w:t>
      </w:r>
    </w:p>
    <w:p w:rsidR="001B697A" w:rsidRDefault="001B697A" w:rsidP="004C3ED3">
      <w:pPr>
        <w:pStyle w:val="ListParagraph"/>
        <w:ind w:left="129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 xml:space="preserve">As part of an investigation for warm autoantibodies </w:t>
      </w:r>
    </w:p>
    <w:p w:rsidR="001B697A" w:rsidRDefault="001B697A" w:rsidP="004C3ED3">
      <w:pPr>
        <w:ind w:left="2018"/>
        <w:rPr>
          <w:rFonts w:ascii="Arial" w:hAnsi="Arial"/>
          <w:sz w:val="24"/>
        </w:rPr>
      </w:pPr>
    </w:p>
    <w:p w:rsidR="001B697A" w:rsidRPr="00100557" w:rsidRDefault="001B697A" w:rsidP="00100557">
      <w:pPr>
        <w:pStyle w:val="ListParagraph"/>
        <w:numPr>
          <w:ilvl w:val="2"/>
          <w:numId w:val="31"/>
        </w:numPr>
        <w:rPr>
          <w:rFonts w:ascii="Arial" w:hAnsi="Arial"/>
          <w:sz w:val="24"/>
        </w:rPr>
      </w:pPr>
      <w:r w:rsidRPr="00100557">
        <w:rPr>
          <w:rFonts w:ascii="Arial" w:hAnsi="Arial"/>
          <w:sz w:val="24"/>
        </w:rPr>
        <w:t>As requested by a laboratory physician.</w:t>
      </w:r>
    </w:p>
    <w:p w:rsidR="001B697A" w:rsidRDefault="001B697A">
      <w:pPr>
        <w:rPr>
          <w:rFonts w:ascii="Arial" w:hAnsi="Arial"/>
          <w:b/>
          <w:sz w:val="28"/>
        </w:rPr>
      </w:pPr>
    </w:p>
    <w:p w:rsidR="001B697A" w:rsidRDefault="001B697A">
      <w:pPr>
        <w:numPr>
          <w:ilvl w:val="0"/>
          <w:numId w:val="1"/>
        </w:numPr>
        <w:rPr>
          <w:rFonts w:ascii="Arial" w:hAnsi="Arial"/>
          <w:b/>
          <w:sz w:val="28"/>
        </w:rPr>
      </w:pPr>
      <w:r>
        <w:rPr>
          <w:rFonts w:ascii="Arial" w:hAnsi="Arial"/>
          <w:b/>
          <w:sz w:val="28"/>
        </w:rPr>
        <w:t>Specimen</w:t>
      </w:r>
    </w:p>
    <w:p w:rsidR="001B697A" w:rsidRDefault="001B697A">
      <w:pPr>
        <w:rPr>
          <w:rFonts w:ascii="Arial" w:hAnsi="Arial"/>
          <w:sz w:val="24"/>
        </w:rPr>
      </w:pPr>
    </w:p>
    <w:p w:rsidR="001B697A" w:rsidRDefault="001B697A">
      <w:pPr>
        <w:ind w:left="720"/>
        <w:rPr>
          <w:rFonts w:ascii="Arial" w:hAnsi="Arial"/>
          <w:sz w:val="24"/>
        </w:rPr>
      </w:pPr>
      <w:r>
        <w:rPr>
          <w:rFonts w:ascii="Arial" w:hAnsi="Arial"/>
          <w:sz w:val="24"/>
        </w:rPr>
        <w:t>EDTA anticoagulated whole blood (preferably less than 72 hours old)</w:t>
      </w:r>
    </w:p>
    <w:p w:rsidR="001B697A" w:rsidRDefault="001B697A">
      <w:pPr>
        <w:ind w:left="720"/>
        <w:rPr>
          <w:rFonts w:ascii="Arial" w:hAnsi="Arial"/>
          <w:sz w:val="24"/>
        </w:rPr>
      </w:pPr>
    </w:p>
    <w:p w:rsidR="001B697A" w:rsidRDefault="001B697A">
      <w:pPr>
        <w:ind w:left="720"/>
        <w:rPr>
          <w:rFonts w:ascii="Arial" w:hAnsi="Arial"/>
          <w:sz w:val="24"/>
        </w:rPr>
      </w:pPr>
      <w:r>
        <w:rPr>
          <w:rFonts w:ascii="Arial" w:hAnsi="Arial"/>
          <w:sz w:val="24"/>
        </w:rPr>
        <w:t>Note: free red cells from a clotted specimen may be used</w:t>
      </w:r>
    </w:p>
    <w:p w:rsidR="001B697A" w:rsidRDefault="001B697A">
      <w:pPr>
        <w:ind w:left="720"/>
        <w:rPr>
          <w:rFonts w:ascii="Arial" w:hAnsi="Arial"/>
          <w:sz w:val="24"/>
        </w:rPr>
      </w:pPr>
    </w:p>
    <w:p w:rsidR="001B697A" w:rsidRDefault="001B697A">
      <w:pPr>
        <w:numPr>
          <w:ilvl w:val="0"/>
          <w:numId w:val="1"/>
        </w:numPr>
        <w:rPr>
          <w:rFonts w:ascii="Arial" w:hAnsi="Arial"/>
          <w:b/>
          <w:sz w:val="28"/>
        </w:rPr>
      </w:pPr>
      <w:r>
        <w:rPr>
          <w:rFonts w:ascii="Arial" w:hAnsi="Arial"/>
          <w:b/>
          <w:sz w:val="28"/>
        </w:rPr>
        <w:t>Material</w:t>
      </w:r>
    </w:p>
    <w:p w:rsidR="001B697A" w:rsidRDefault="001B697A">
      <w:pPr>
        <w:rPr>
          <w:rFonts w:ascii="Arial" w:hAnsi="Arial"/>
          <w:sz w:val="24"/>
        </w:rPr>
      </w:pPr>
    </w:p>
    <w:p w:rsidR="001B697A" w:rsidRDefault="001B697A">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1B697A" w:rsidRDefault="001B697A">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 mm</w:t>
      </w:r>
      <w:r w:rsidR="00354E1C">
        <w:rPr>
          <w:rFonts w:ascii="Arial" w:hAnsi="Arial"/>
          <w:sz w:val="24"/>
        </w:rPr>
        <w:t xml:space="preserve"> and 12 x 75 mm</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Stopper</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Container for working wash solution</w:t>
      </w:r>
    </w:p>
    <w:p w:rsidR="001B697A" w:rsidRDefault="001B697A">
      <w:pPr>
        <w:ind w:left="720"/>
        <w:rPr>
          <w:rFonts w:ascii="Arial" w:hAnsi="Arial"/>
          <w:sz w:val="24"/>
        </w:rPr>
      </w:pPr>
    </w:p>
    <w:p w:rsidR="001B697A" w:rsidRDefault="001B697A">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Acid elution kit containing:</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Wash solution concentrate</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Acid Eluting solution</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Base Buffering Solution</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Manufacturer’s instructions</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Normal saline</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Distilled water</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Anti-IgG</w:t>
      </w:r>
    </w:p>
    <w:p w:rsidR="001B697A" w:rsidRDefault="001B697A">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1B697A" w:rsidRDefault="001B697A">
      <w:pPr>
        <w:ind w:left="720"/>
        <w:rPr>
          <w:rFonts w:ascii="Arial" w:hAnsi="Arial"/>
          <w:sz w:val="24"/>
        </w:rPr>
      </w:pPr>
      <w:r>
        <w:rPr>
          <w:rFonts w:ascii="Arial" w:hAnsi="Arial"/>
          <w:sz w:val="24"/>
        </w:rPr>
        <w:t xml:space="preserve">                                3-5% screening cells and/or panel cells</w:t>
      </w:r>
    </w:p>
    <w:p w:rsidR="001B697A" w:rsidRDefault="001B697A">
      <w:pPr>
        <w:ind w:left="720"/>
        <w:rPr>
          <w:rFonts w:ascii="Arial" w:hAnsi="Arial"/>
          <w:sz w:val="24"/>
        </w:rPr>
      </w:pPr>
    </w:p>
    <w:p w:rsidR="001B697A" w:rsidRDefault="001B697A">
      <w:pPr>
        <w:numPr>
          <w:ilvl w:val="0"/>
          <w:numId w:val="1"/>
        </w:numPr>
        <w:rPr>
          <w:rFonts w:ascii="Arial" w:hAnsi="Arial"/>
          <w:b/>
          <w:sz w:val="28"/>
        </w:rPr>
      </w:pPr>
      <w:r>
        <w:rPr>
          <w:rFonts w:ascii="Arial" w:hAnsi="Arial"/>
          <w:b/>
          <w:sz w:val="28"/>
        </w:rPr>
        <w:t>Quality Control</w:t>
      </w:r>
    </w:p>
    <w:p w:rsidR="001B697A" w:rsidRDefault="001B697A">
      <w:pPr>
        <w:rPr>
          <w:rFonts w:ascii="Arial" w:hAnsi="Arial"/>
          <w:sz w:val="24"/>
        </w:rPr>
      </w:pPr>
    </w:p>
    <w:p w:rsidR="001B697A" w:rsidRDefault="001B697A">
      <w:pPr>
        <w:numPr>
          <w:ilvl w:val="1"/>
          <w:numId w:val="1"/>
        </w:numPr>
        <w:rPr>
          <w:rFonts w:ascii="Arial" w:hAnsi="Arial"/>
          <w:sz w:val="24"/>
        </w:rPr>
      </w:pPr>
      <w:r>
        <w:rPr>
          <w:rFonts w:ascii="Arial" w:hAnsi="Arial"/>
          <w:sz w:val="24"/>
        </w:rPr>
        <w:t>A DAT that is positive with complement (anti-C3) and negative with IgG will usually result in a negative eluate and therefore usually is not required.</w:t>
      </w:r>
    </w:p>
    <w:p w:rsidR="001B697A" w:rsidRDefault="001B697A">
      <w:pPr>
        <w:ind w:left="720"/>
        <w:rPr>
          <w:rFonts w:ascii="Arial" w:hAnsi="Arial"/>
          <w:sz w:val="24"/>
        </w:rPr>
      </w:pPr>
    </w:p>
    <w:p w:rsidR="001B697A" w:rsidRDefault="001B697A">
      <w:pPr>
        <w:numPr>
          <w:ilvl w:val="1"/>
          <w:numId w:val="1"/>
        </w:numPr>
        <w:rPr>
          <w:rFonts w:ascii="Arial" w:hAnsi="Arial"/>
          <w:sz w:val="24"/>
        </w:rPr>
      </w:pPr>
      <w:r>
        <w:rPr>
          <w:rFonts w:ascii="Arial" w:hAnsi="Arial"/>
          <w:sz w:val="24"/>
        </w:rPr>
        <w:t>The last wash is tested with the eluate to ensure that the recovered antibody present in the eluate has been released from a bound state on the original cells and not residual unbound antibody remaining as a result of inadequate wash procedure.</w:t>
      </w:r>
    </w:p>
    <w:p w:rsidR="001B697A" w:rsidRDefault="001B697A">
      <w:pPr>
        <w:ind w:left="720"/>
        <w:rPr>
          <w:rFonts w:ascii="Arial" w:hAnsi="Arial"/>
          <w:sz w:val="24"/>
        </w:rPr>
      </w:pPr>
    </w:p>
    <w:p w:rsidR="001B697A" w:rsidRPr="004C3ED3" w:rsidRDefault="001B697A" w:rsidP="004C3ED3">
      <w:pPr>
        <w:numPr>
          <w:ilvl w:val="1"/>
          <w:numId w:val="1"/>
        </w:numPr>
        <w:rPr>
          <w:rFonts w:ascii="Arial" w:hAnsi="Arial"/>
          <w:sz w:val="24"/>
        </w:rPr>
      </w:pPr>
      <w:r w:rsidRPr="004C3ED3">
        <w:rPr>
          <w:rFonts w:ascii="Arial" w:hAnsi="Arial"/>
          <w:sz w:val="24"/>
        </w:rPr>
        <w:t>The use of cells from a specimen older than 72 hours may be associated with a hemoglobin-stained eluate, and with accompanying difficulty in adjusting the final pH of the eluate for testing.</w:t>
      </w:r>
    </w:p>
    <w:p w:rsidR="001B697A" w:rsidRDefault="001B697A">
      <w:pPr>
        <w:ind w:left="1440"/>
        <w:rPr>
          <w:rFonts w:ascii="Arial" w:hAnsi="Arial"/>
          <w:sz w:val="24"/>
        </w:rPr>
      </w:pPr>
    </w:p>
    <w:p w:rsidR="001B697A" w:rsidRDefault="001B697A">
      <w:pPr>
        <w:numPr>
          <w:ilvl w:val="1"/>
          <w:numId w:val="1"/>
        </w:numPr>
        <w:rPr>
          <w:rFonts w:ascii="Arial" w:hAnsi="Arial"/>
          <w:sz w:val="24"/>
        </w:rPr>
      </w:pPr>
      <w:r>
        <w:rPr>
          <w:rFonts w:ascii="Arial" w:hAnsi="Arial"/>
          <w:sz w:val="24"/>
        </w:rPr>
        <w:t xml:space="preserve">Prolonged immersion of cells in the acid eluting solution causes hemolysis.  The consequent release of hemoglobin into the eluate </w:t>
      </w:r>
    </w:p>
    <w:p w:rsidR="001B697A" w:rsidRDefault="001B697A" w:rsidP="004C3ED3">
      <w:pPr>
        <w:pStyle w:val="BodyTextIndent"/>
        <w:ind w:left="1134"/>
      </w:pPr>
      <w:r>
        <w:t xml:space="preserve"> alters the pH and may affect the volume of base buffering solution   required to adjust the pH of the eluate.</w:t>
      </w:r>
    </w:p>
    <w:p w:rsidR="001B697A" w:rsidRDefault="001B697A">
      <w:pPr>
        <w:ind w:left="720"/>
        <w:rPr>
          <w:rFonts w:ascii="Arial" w:hAnsi="Arial"/>
          <w:sz w:val="24"/>
        </w:rPr>
      </w:pPr>
    </w:p>
    <w:p w:rsidR="001B697A" w:rsidRDefault="001B697A">
      <w:pPr>
        <w:numPr>
          <w:ilvl w:val="1"/>
          <w:numId w:val="1"/>
        </w:numPr>
        <w:rPr>
          <w:rFonts w:ascii="Arial" w:hAnsi="Arial"/>
          <w:sz w:val="24"/>
        </w:rPr>
      </w:pPr>
      <w:r>
        <w:rPr>
          <w:rFonts w:ascii="Arial" w:hAnsi="Arial"/>
          <w:sz w:val="24"/>
        </w:rPr>
        <w:t>A current manufacturer’s insert should be available for referral.</w:t>
      </w:r>
    </w:p>
    <w:p w:rsidR="001B697A" w:rsidRDefault="001B697A">
      <w:pPr>
        <w:rPr>
          <w:rFonts w:ascii="Arial" w:hAnsi="Arial"/>
          <w:b/>
          <w:sz w:val="28"/>
        </w:rPr>
      </w:pPr>
    </w:p>
    <w:p w:rsidR="001B697A" w:rsidRDefault="001B697A">
      <w:pPr>
        <w:numPr>
          <w:ilvl w:val="0"/>
          <w:numId w:val="1"/>
        </w:numPr>
        <w:rPr>
          <w:rFonts w:ascii="Arial" w:hAnsi="Arial"/>
          <w:b/>
          <w:sz w:val="28"/>
        </w:rPr>
      </w:pPr>
      <w:r>
        <w:rPr>
          <w:rFonts w:ascii="Arial" w:hAnsi="Arial"/>
          <w:b/>
          <w:sz w:val="28"/>
        </w:rPr>
        <w:t>Procedure</w:t>
      </w:r>
    </w:p>
    <w:p w:rsidR="001B697A" w:rsidRDefault="001B697A">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771"/>
      </w:tblGrid>
      <w:tr w:rsidR="001B697A" w:rsidTr="00F85C64">
        <w:tc>
          <w:tcPr>
            <w:tcW w:w="8856" w:type="dxa"/>
            <w:gridSpan w:val="2"/>
          </w:tcPr>
          <w:p w:rsidR="001B697A" w:rsidRPr="00F85C64" w:rsidRDefault="001B697A" w:rsidP="00F85C64">
            <w:pPr>
              <w:numPr>
                <w:ilvl w:val="1"/>
                <w:numId w:val="1"/>
              </w:numPr>
              <w:tabs>
                <w:tab w:val="clear" w:pos="426"/>
                <w:tab w:val="num" w:pos="709"/>
              </w:tabs>
              <w:ind w:left="709" w:hanging="709"/>
              <w:rPr>
                <w:rFonts w:ascii="Arial" w:hAnsi="Arial"/>
                <w:sz w:val="24"/>
              </w:rPr>
            </w:pPr>
            <w:r w:rsidRPr="00F85C64">
              <w:rPr>
                <w:rFonts w:ascii="Arial" w:hAnsi="Arial"/>
                <w:sz w:val="24"/>
              </w:rPr>
              <w:t>If a DAT has not been performed on the current specimen(s), perform a DAT and determine if cells are coated with IgG before preparing the eluate. See RT.007 – Direct Antiglobulin Test.</w:t>
            </w:r>
          </w:p>
        </w:tc>
      </w:tr>
      <w:tr w:rsidR="001B697A" w:rsidTr="00F85C64">
        <w:trPr>
          <w:trHeight w:val="1875"/>
        </w:trPr>
        <w:tc>
          <w:tcPr>
            <w:tcW w:w="8856" w:type="dxa"/>
            <w:gridSpan w:val="2"/>
          </w:tcPr>
          <w:p w:rsidR="001B697A" w:rsidRPr="00F85C64" w:rsidRDefault="001B697A" w:rsidP="00F85C64">
            <w:pPr>
              <w:numPr>
                <w:ilvl w:val="1"/>
                <w:numId w:val="1"/>
              </w:numPr>
              <w:tabs>
                <w:tab w:val="clear" w:pos="426"/>
                <w:tab w:val="num" w:pos="709"/>
              </w:tabs>
              <w:ind w:left="709" w:hanging="709"/>
              <w:rPr>
                <w:rFonts w:ascii="Arial" w:hAnsi="Arial"/>
                <w:sz w:val="24"/>
              </w:rPr>
            </w:pPr>
            <w:r w:rsidRPr="00F85C64">
              <w:rPr>
                <w:rFonts w:ascii="Arial" w:hAnsi="Arial"/>
                <w:sz w:val="24"/>
              </w:rPr>
              <w:t>Obtain the working wash solution and check that the solution is clear (no turbidity) and is in-date.</w:t>
            </w:r>
          </w:p>
          <w:p w:rsidR="001B697A" w:rsidRPr="00F85C64" w:rsidRDefault="001B697A" w:rsidP="00F85C64">
            <w:pPr>
              <w:ind w:left="720"/>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5653"/>
            </w:tblGrid>
            <w:tr w:rsidR="001B697A" w:rsidTr="00F85C64">
              <w:tc>
                <w:tcPr>
                  <w:tcW w:w="2972" w:type="dxa"/>
                  <w:tcBorders>
                    <w:top w:val="single" w:sz="4" w:space="0" w:color="auto"/>
                    <w:left w:val="single" w:sz="4" w:space="0" w:color="auto"/>
                    <w:bottom w:val="single" w:sz="4" w:space="0" w:color="auto"/>
                    <w:right w:val="single" w:sz="4" w:space="0" w:color="auto"/>
                  </w:tcBorders>
                  <w:shd w:val="clear" w:color="auto" w:fill="DDD9C3"/>
                </w:tcPr>
                <w:p w:rsidR="001B697A" w:rsidRPr="00F85C64" w:rsidRDefault="001B697A" w:rsidP="00F85C64">
                  <w:pPr>
                    <w:jc w:val="center"/>
                    <w:rPr>
                      <w:rFonts w:ascii="Arial" w:hAnsi="Arial"/>
                      <w:i/>
                      <w:sz w:val="24"/>
                    </w:rPr>
                  </w:pPr>
                  <w:r w:rsidRPr="00F85C64">
                    <w:rPr>
                      <w:rFonts w:ascii="Arial" w:hAnsi="Arial"/>
                      <w:i/>
                      <w:sz w:val="24"/>
                    </w:rPr>
                    <w:t>If</w:t>
                  </w:r>
                </w:p>
              </w:tc>
              <w:tc>
                <w:tcPr>
                  <w:tcW w:w="5653" w:type="dxa"/>
                  <w:tcBorders>
                    <w:top w:val="single" w:sz="4" w:space="0" w:color="auto"/>
                    <w:left w:val="single" w:sz="4" w:space="0" w:color="auto"/>
                    <w:bottom w:val="single" w:sz="4" w:space="0" w:color="auto"/>
                    <w:right w:val="single" w:sz="4" w:space="0" w:color="auto"/>
                  </w:tcBorders>
                  <w:shd w:val="clear" w:color="auto" w:fill="DDD9C3"/>
                </w:tcPr>
                <w:p w:rsidR="001B697A" w:rsidRPr="00F85C64" w:rsidRDefault="001B697A" w:rsidP="00F85C64">
                  <w:pPr>
                    <w:jc w:val="center"/>
                    <w:rPr>
                      <w:rFonts w:ascii="Arial" w:hAnsi="Arial"/>
                      <w:i/>
                      <w:sz w:val="24"/>
                    </w:rPr>
                  </w:pPr>
                  <w:r w:rsidRPr="00F85C64">
                    <w:rPr>
                      <w:rFonts w:ascii="Arial" w:hAnsi="Arial"/>
                      <w:i/>
                      <w:sz w:val="24"/>
                    </w:rPr>
                    <w:t>Then</w:t>
                  </w: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6E7DD4">
                  <w:pPr>
                    <w:rPr>
                      <w:rFonts w:ascii="Arial" w:hAnsi="Arial"/>
                      <w:sz w:val="24"/>
                    </w:rPr>
                  </w:pPr>
                  <w:r w:rsidRPr="00F85C64">
                    <w:rPr>
                      <w:rFonts w:ascii="Arial" w:hAnsi="Arial"/>
                      <w:sz w:val="24"/>
                    </w:rPr>
                    <w:t>the solution is turbid or expired</w:t>
                  </w: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rsidP="006E7DD4">
                  <w:pPr>
                    <w:rPr>
                      <w:rFonts w:ascii="Arial" w:hAnsi="Arial"/>
                      <w:sz w:val="24"/>
                    </w:rPr>
                  </w:pPr>
                  <w:r w:rsidRPr="00F85C64">
                    <w:rPr>
                      <w:rFonts w:ascii="Arial" w:hAnsi="Arial"/>
                      <w:sz w:val="24"/>
                    </w:rPr>
                    <w:t>prepare a fresh working wash solution following the directions in the manufacturers insert.</w:t>
                  </w:r>
                </w:p>
              </w:tc>
            </w:tr>
          </w:tbl>
          <w:p w:rsidR="001B697A" w:rsidRPr="00F85C64" w:rsidRDefault="001B697A" w:rsidP="006E7DD4">
            <w:pPr>
              <w:rPr>
                <w:rFonts w:ascii="Arial" w:hAnsi="Arial"/>
                <w:sz w:val="24"/>
              </w:rPr>
            </w:pPr>
          </w:p>
        </w:tc>
      </w:tr>
      <w:tr w:rsidR="001B697A" w:rsidTr="00F85C64">
        <w:tc>
          <w:tcPr>
            <w:tcW w:w="8856" w:type="dxa"/>
            <w:gridSpan w:val="2"/>
          </w:tcPr>
          <w:p w:rsidR="001B697A" w:rsidRPr="00F85C64" w:rsidRDefault="001B697A" w:rsidP="00F85C64">
            <w:pPr>
              <w:numPr>
                <w:ilvl w:val="1"/>
                <w:numId w:val="1"/>
              </w:numPr>
              <w:tabs>
                <w:tab w:val="clear" w:pos="426"/>
                <w:tab w:val="num" w:pos="709"/>
              </w:tabs>
              <w:ind w:left="709"/>
              <w:rPr>
                <w:rFonts w:ascii="Arial" w:hAnsi="Arial"/>
                <w:sz w:val="24"/>
              </w:rPr>
            </w:pPr>
            <w:r w:rsidRPr="00F85C64">
              <w:rPr>
                <w:rFonts w:ascii="Arial" w:hAnsi="Arial"/>
                <w:sz w:val="24"/>
              </w:rPr>
              <w:t>Centrifuge the specimen for 5 minutes at 3500 rpm or equivalent.</w:t>
            </w:r>
          </w:p>
        </w:tc>
      </w:tr>
      <w:tr w:rsidR="001B697A" w:rsidTr="00F85C64">
        <w:tc>
          <w:tcPr>
            <w:tcW w:w="8856" w:type="dxa"/>
            <w:gridSpan w:val="2"/>
          </w:tcPr>
          <w:p w:rsidR="001B697A" w:rsidRPr="00F85C64" w:rsidRDefault="00354E1C" w:rsidP="00F85C64">
            <w:pPr>
              <w:numPr>
                <w:ilvl w:val="1"/>
                <w:numId w:val="1"/>
              </w:numPr>
              <w:tabs>
                <w:tab w:val="clear" w:pos="426"/>
                <w:tab w:val="num" w:pos="709"/>
              </w:tabs>
              <w:ind w:left="709"/>
              <w:rPr>
                <w:rFonts w:ascii="Arial" w:hAnsi="Arial"/>
                <w:sz w:val="24"/>
              </w:rPr>
            </w:pPr>
            <w:r>
              <w:rPr>
                <w:rFonts w:ascii="Arial" w:hAnsi="Arial"/>
                <w:sz w:val="24"/>
              </w:rPr>
              <w:t>Label 7 – 12</w:t>
            </w:r>
            <w:r w:rsidR="001B697A" w:rsidRPr="00F85C64">
              <w:rPr>
                <w:rFonts w:ascii="Arial" w:hAnsi="Arial"/>
                <w:sz w:val="24"/>
              </w:rPr>
              <w:t xml:space="preserve"> x 75 mm tubes with the patient’s family name and identification number. Transcribe the information from the patient specimen label</w:t>
            </w:r>
            <w:r w:rsidR="001B697A" w:rsidRPr="00F85C64">
              <w:rPr>
                <w:rFonts w:ascii="Arial" w:hAnsi="Arial"/>
                <w:b/>
                <w:sz w:val="24"/>
              </w:rPr>
              <w:t xml:space="preserve"> </w:t>
            </w:r>
            <w:r w:rsidR="001B697A" w:rsidRPr="00F85C64">
              <w:rPr>
                <w:rFonts w:ascii="Arial" w:hAnsi="Arial"/>
                <w:sz w:val="24"/>
              </w:rPr>
              <w:t>(not from the request form). These tubes will be used throughout the procedure and referred to as “clean, labeled” tubes.</w:t>
            </w:r>
          </w:p>
        </w:tc>
      </w:tr>
      <w:tr w:rsidR="001B697A" w:rsidTr="00F85C64">
        <w:tc>
          <w:tcPr>
            <w:tcW w:w="8856" w:type="dxa"/>
            <w:gridSpan w:val="2"/>
          </w:tcPr>
          <w:p w:rsidR="001B697A" w:rsidRDefault="001B697A" w:rsidP="00F85C64">
            <w:pPr>
              <w:numPr>
                <w:ilvl w:val="1"/>
                <w:numId w:val="1"/>
              </w:numPr>
              <w:tabs>
                <w:tab w:val="clear" w:pos="426"/>
                <w:tab w:val="num" w:pos="709"/>
              </w:tabs>
              <w:ind w:left="709"/>
              <w:rPr>
                <w:rFonts w:ascii="Arial" w:hAnsi="Arial"/>
                <w:sz w:val="24"/>
              </w:rPr>
            </w:pPr>
            <w:r w:rsidRPr="00F85C64">
              <w:rPr>
                <w:rFonts w:ascii="Arial" w:hAnsi="Arial"/>
                <w:sz w:val="24"/>
              </w:rPr>
              <w:t>After centrifugation, transfer all plasma into a clean, labeled tube in case it is required for further testing.</w:t>
            </w:r>
          </w:p>
          <w:p w:rsidR="00354E1C" w:rsidRPr="00F85C64" w:rsidRDefault="00354E1C" w:rsidP="00354E1C">
            <w:pPr>
              <w:ind w:left="709"/>
              <w:rPr>
                <w:rFonts w:ascii="Arial" w:hAnsi="Arial"/>
                <w:sz w:val="24"/>
              </w:rPr>
            </w:pPr>
            <w:r>
              <w:rPr>
                <w:rFonts w:ascii="Arial" w:hAnsi="Arial"/>
                <w:sz w:val="24"/>
              </w:rPr>
              <w:t>Transfer 20 to 25 drops of packed patient red cells from the specimen tube to a clean labeled tube</w:t>
            </w:r>
          </w:p>
        </w:tc>
      </w:tr>
      <w:tr w:rsidR="001B697A" w:rsidTr="00F85C64">
        <w:tc>
          <w:tcPr>
            <w:tcW w:w="8856" w:type="dxa"/>
            <w:gridSpan w:val="2"/>
          </w:tcPr>
          <w:p w:rsidR="001B697A" w:rsidRPr="00F85C64" w:rsidRDefault="001B697A" w:rsidP="00F85C64">
            <w:pPr>
              <w:numPr>
                <w:ilvl w:val="1"/>
                <w:numId w:val="1"/>
              </w:numPr>
              <w:tabs>
                <w:tab w:val="clear" w:pos="426"/>
                <w:tab w:val="num" w:pos="709"/>
              </w:tabs>
              <w:ind w:left="709"/>
              <w:rPr>
                <w:rFonts w:ascii="Arial" w:hAnsi="Arial"/>
                <w:sz w:val="24"/>
              </w:rPr>
            </w:pPr>
            <w:r w:rsidRPr="00F85C64">
              <w:rPr>
                <w:rFonts w:ascii="Arial" w:hAnsi="Arial"/>
                <w:sz w:val="24"/>
              </w:rPr>
              <w:t xml:space="preserve">Wash the packed cells once with saline. The volume of packed red cells should be at least 1.0 </w:t>
            </w:r>
            <w:proofErr w:type="spellStart"/>
            <w:r w:rsidRPr="00F85C64">
              <w:rPr>
                <w:rFonts w:ascii="Arial" w:hAnsi="Arial"/>
                <w:sz w:val="24"/>
              </w:rPr>
              <w:t>mL.</w:t>
            </w:r>
            <w:proofErr w:type="spellEnd"/>
          </w:p>
        </w:tc>
      </w:tr>
      <w:tr w:rsidR="001B697A" w:rsidTr="00F85C64">
        <w:tc>
          <w:tcPr>
            <w:tcW w:w="8856" w:type="dxa"/>
            <w:gridSpan w:val="2"/>
          </w:tcPr>
          <w:p w:rsidR="001B697A" w:rsidRPr="00F85C64" w:rsidRDefault="001B697A" w:rsidP="00F85C64">
            <w:pPr>
              <w:numPr>
                <w:ilvl w:val="1"/>
                <w:numId w:val="1"/>
              </w:numPr>
              <w:tabs>
                <w:tab w:val="clear" w:pos="426"/>
                <w:tab w:val="num" w:pos="709"/>
              </w:tabs>
              <w:ind w:left="709"/>
              <w:rPr>
                <w:rFonts w:ascii="Arial" w:hAnsi="Arial"/>
                <w:sz w:val="24"/>
              </w:rPr>
            </w:pPr>
            <w:r w:rsidRPr="00F85C64">
              <w:rPr>
                <w:rFonts w:ascii="Arial" w:hAnsi="Arial"/>
                <w:sz w:val="24"/>
              </w:rPr>
              <w:t xml:space="preserve">Wash the packed cells with the working wash solution an additional four times to remove all unbound antibody. </w:t>
            </w:r>
          </w:p>
        </w:tc>
      </w:tr>
      <w:tr w:rsidR="001B697A" w:rsidTr="00F85C64">
        <w:trPr>
          <w:trHeight w:val="72"/>
        </w:trPr>
        <w:tc>
          <w:tcPr>
            <w:tcW w:w="3085" w:type="dxa"/>
            <w:vMerge w:val="restart"/>
          </w:tcPr>
          <w:p w:rsidR="001B697A" w:rsidRPr="00F85C64" w:rsidRDefault="001B697A" w:rsidP="00F85C64">
            <w:pPr>
              <w:numPr>
                <w:ilvl w:val="1"/>
                <w:numId w:val="1"/>
              </w:numPr>
              <w:tabs>
                <w:tab w:val="clear" w:pos="426"/>
                <w:tab w:val="num" w:pos="709"/>
              </w:tabs>
              <w:ind w:left="709" w:hanging="709"/>
              <w:rPr>
                <w:rFonts w:ascii="Arial" w:hAnsi="Arial"/>
                <w:sz w:val="24"/>
              </w:rPr>
            </w:pPr>
            <w:r w:rsidRPr="00F85C64">
              <w:rPr>
                <w:rFonts w:ascii="Arial" w:hAnsi="Arial"/>
                <w:sz w:val="24"/>
              </w:rPr>
              <w:t>Reserve the “last wash”.</w:t>
            </w: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Label one clean, labeled tube with “last wash” and transfer the last wash into the tube.</w:t>
            </w:r>
            <w:r w:rsidR="00354E1C">
              <w:rPr>
                <w:rFonts w:ascii="Arial" w:hAnsi="Arial"/>
                <w:sz w:val="24"/>
              </w:rPr>
              <w:t xml:space="preserve"> Centrifuge last wash for 5 minutes at 3400 rpm then transfer to another clean labeled tube. Set aside for parallel testing with eluate.</w:t>
            </w:r>
          </w:p>
        </w:tc>
      </w:tr>
      <w:tr w:rsidR="001B697A" w:rsidTr="00F85C64">
        <w:trPr>
          <w:trHeight w:val="72"/>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3D1507">
            <w:pPr>
              <w:numPr>
                <w:ilvl w:val="2"/>
                <w:numId w:val="1"/>
              </w:numPr>
              <w:rPr>
                <w:rFonts w:ascii="Arial" w:hAnsi="Arial"/>
                <w:sz w:val="24"/>
              </w:rPr>
            </w:pPr>
            <w:r w:rsidRPr="00F85C64">
              <w:rPr>
                <w:rFonts w:ascii="Arial" w:hAnsi="Arial"/>
                <w:sz w:val="24"/>
              </w:rPr>
              <w:t xml:space="preserve">If plasma antibody is present, or if the DAT was strongly positive (i.e., grade 2 or stronger), the last wash </w:t>
            </w:r>
            <w:r w:rsidR="003D1507">
              <w:rPr>
                <w:rFonts w:ascii="Arial" w:hAnsi="Arial"/>
                <w:sz w:val="24"/>
              </w:rPr>
              <w:t>may</w:t>
            </w:r>
            <w:r w:rsidRPr="00F85C64">
              <w:rPr>
                <w:rFonts w:ascii="Arial" w:hAnsi="Arial"/>
                <w:sz w:val="24"/>
              </w:rPr>
              <w:t xml:space="preserve"> be tested prior to proceeding with preparation of the eluate (see step 6.10 if time allows). The results should be negative before continuing with preparation of the eluate or the last wash must be set up parallel with the eluate.</w:t>
            </w:r>
          </w:p>
        </w:tc>
      </w:tr>
      <w:tr w:rsidR="001B697A" w:rsidTr="00F85C64">
        <w:trPr>
          <w:trHeight w:val="72"/>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Save the tube containing washed cells to prepare the eluate.</w:t>
            </w:r>
          </w:p>
        </w:tc>
      </w:tr>
      <w:tr w:rsidR="001B697A" w:rsidTr="00F85C64">
        <w:trPr>
          <w:trHeight w:val="27"/>
        </w:trPr>
        <w:tc>
          <w:tcPr>
            <w:tcW w:w="3085" w:type="dxa"/>
            <w:vMerge w:val="restart"/>
          </w:tcPr>
          <w:p w:rsidR="001B697A" w:rsidRPr="00F85C64" w:rsidRDefault="001B697A" w:rsidP="00F85C64">
            <w:pPr>
              <w:numPr>
                <w:ilvl w:val="1"/>
                <w:numId w:val="1"/>
              </w:numPr>
              <w:tabs>
                <w:tab w:val="clear" w:pos="426"/>
                <w:tab w:val="num" w:pos="709"/>
              </w:tabs>
              <w:ind w:left="709"/>
              <w:rPr>
                <w:rFonts w:ascii="Arial" w:hAnsi="Arial"/>
                <w:sz w:val="24"/>
              </w:rPr>
            </w:pPr>
            <w:r w:rsidRPr="00F85C64">
              <w:rPr>
                <w:rFonts w:ascii="Arial" w:hAnsi="Arial"/>
                <w:sz w:val="24"/>
              </w:rPr>
              <w:t>Prepare the eluate.</w:t>
            </w:r>
          </w:p>
        </w:tc>
        <w:tc>
          <w:tcPr>
            <w:tcW w:w="5771" w:type="dxa"/>
          </w:tcPr>
          <w:p w:rsidR="001B697A" w:rsidRPr="00F85C64" w:rsidRDefault="001B697A" w:rsidP="00F85C64">
            <w:pPr>
              <w:pStyle w:val="ListParagraph"/>
              <w:numPr>
                <w:ilvl w:val="2"/>
                <w:numId w:val="1"/>
              </w:numPr>
              <w:rPr>
                <w:rFonts w:ascii="Arial" w:hAnsi="Arial"/>
                <w:sz w:val="24"/>
              </w:rPr>
            </w:pPr>
            <w:r w:rsidRPr="00F85C64">
              <w:rPr>
                <w:rFonts w:ascii="Arial" w:hAnsi="Arial"/>
                <w:sz w:val="24"/>
              </w:rPr>
              <w:t>Label one clean, labeled tube with “eluate”.</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3D1507">
            <w:pPr>
              <w:numPr>
                <w:ilvl w:val="2"/>
                <w:numId w:val="1"/>
              </w:numPr>
              <w:rPr>
                <w:rFonts w:ascii="Arial" w:hAnsi="Arial"/>
                <w:sz w:val="24"/>
              </w:rPr>
            </w:pPr>
            <w:r w:rsidRPr="00F85C64">
              <w:rPr>
                <w:rFonts w:ascii="Arial" w:hAnsi="Arial"/>
                <w:sz w:val="24"/>
              </w:rPr>
              <w:t>Pipette 1 mL of patient’s packed washed cells in to this clean, labeled tube (this is usually 20 drops).</w:t>
            </w:r>
            <w:r w:rsidRPr="00F85C64">
              <w:rPr>
                <w:rFonts w:ascii="Arial" w:hAnsi="Arial"/>
                <w:sz w:val="24"/>
              </w:rPr>
              <w:br/>
              <w:t>Note: If there is less specimen available than recommended by the manufacturer, use the maximum amount of packed cells available and adjust the acid eluting solution and base buffering solution accordingly. See procedural Notes 8.7.4, 8.7.5</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Add 1 mL (20 drops) or an equivalent amount of Acid Elution Solution as described in the manufacturer’s instructions.</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Mix gently by inverting the tube 4-5 times.</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Centrifuge immediately for 45 – 60 seconds at 3400 rpm or as recommended by the manufacturer. See Procedural Notes 8.1.</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Transfer the supernatant eluate into a clean, labeled tube. Discard the remaining cells.</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Add approximately 5 drops of base buffering solution and mix well.</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Continue adding the base buffering solution 1 drop at a time, mixing after each drop until a blue color appears and persists upon mixing. See Procedural Notes 8.2 and 8.7.5.</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 xml:space="preserve">Mix well and centrifuge </w:t>
            </w:r>
            <w:proofErr w:type="gramStart"/>
            <w:r w:rsidR="003D1507">
              <w:rPr>
                <w:rFonts w:ascii="Arial" w:hAnsi="Arial"/>
                <w:sz w:val="24"/>
              </w:rPr>
              <w:t>for  5</w:t>
            </w:r>
            <w:proofErr w:type="gramEnd"/>
            <w:r w:rsidR="003D1507">
              <w:rPr>
                <w:rFonts w:ascii="Arial" w:hAnsi="Arial"/>
                <w:sz w:val="24"/>
              </w:rPr>
              <w:t xml:space="preserve"> minutes at 3400 rpm </w:t>
            </w:r>
            <w:r w:rsidRPr="00F85C64">
              <w:rPr>
                <w:rFonts w:ascii="Arial" w:hAnsi="Arial"/>
                <w:sz w:val="24"/>
              </w:rPr>
              <w:t>to remove any precipitate or cellular debris. Transfer the eluate to a clean, labeled tube labeled “eluate”.</w:t>
            </w:r>
          </w:p>
        </w:tc>
      </w:tr>
      <w:tr w:rsidR="001B697A" w:rsidTr="00F85C64">
        <w:trPr>
          <w:trHeight w:val="21"/>
        </w:trPr>
        <w:tc>
          <w:tcPr>
            <w:tcW w:w="3085" w:type="dxa"/>
            <w:vMerge/>
          </w:tcPr>
          <w:p w:rsidR="001B697A" w:rsidRPr="00F85C64" w:rsidRDefault="001B697A" w:rsidP="00F85C64">
            <w:pPr>
              <w:numPr>
                <w:ilvl w:val="1"/>
                <w:numId w:val="1"/>
              </w:numPr>
              <w:rPr>
                <w:rFonts w:ascii="Arial" w:hAnsi="Arial"/>
                <w:sz w:val="24"/>
              </w:rPr>
            </w:pPr>
          </w:p>
        </w:tc>
        <w:tc>
          <w:tcPr>
            <w:tcW w:w="5771" w:type="dxa"/>
          </w:tcPr>
          <w:p w:rsidR="001B697A" w:rsidRPr="00F85C64" w:rsidRDefault="001B697A" w:rsidP="00F85C64">
            <w:pPr>
              <w:numPr>
                <w:ilvl w:val="2"/>
                <w:numId w:val="1"/>
              </w:numPr>
              <w:rPr>
                <w:rFonts w:ascii="Arial" w:hAnsi="Arial"/>
                <w:sz w:val="24"/>
              </w:rPr>
            </w:pPr>
            <w:r w:rsidRPr="00F85C64">
              <w:rPr>
                <w:rFonts w:ascii="Arial" w:hAnsi="Arial"/>
                <w:sz w:val="24"/>
              </w:rPr>
              <w:t>Check that the eluate is clear. If cloudiness is noticed, repeat centrifugation. See Procedural Notes 8.3.</w:t>
            </w:r>
          </w:p>
        </w:tc>
      </w:tr>
      <w:tr w:rsidR="002D411F" w:rsidRPr="00F7305D" w:rsidTr="002D411F">
        <w:trPr>
          <w:trHeight w:val="525"/>
        </w:trPr>
        <w:tc>
          <w:tcPr>
            <w:tcW w:w="3085" w:type="dxa"/>
            <w:vMerge w:val="restart"/>
          </w:tcPr>
          <w:p w:rsidR="002D411F" w:rsidRPr="00F7305D" w:rsidRDefault="002D411F" w:rsidP="00F85C64">
            <w:pPr>
              <w:pStyle w:val="ListParagraph"/>
              <w:numPr>
                <w:ilvl w:val="1"/>
                <w:numId w:val="1"/>
              </w:numPr>
              <w:tabs>
                <w:tab w:val="num" w:pos="709"/>
              </w:tabs>
              <w:ind w:left="709"/>
              <w:rPr>
                <w:rFonts w:ascii="Arial" w:hAnsi="Arial"/>
                <w:sz w:val="24"/>
              </w:rPr>
            </w:pPr>
            <w:r w:rsidRPr="00F7305D">
              <w:rPr>
                <w:rFonts w:ascii="Arial" w:hAnsi="Arial"/>
                <w:sz w:val="24"/>
              </w:rPr>
              <w:t>Test the eluate and last wash (if the last wash was not previously tested) initially with commercial screening cells. If anti-A or anti-B is suspected due to passive infusion of IVIg or plasma products include 3</w:t>
            </w:r>
            <w:r>
              <w:rPr>
                <w:rFonts w:ascii="Arial" w:hAnsi="Arial"/>
                <w:sz w:val="24"/>
              </w:rPr>
              <w:t xml:space="preserve"> group</w:t>
            </w:r>
            <w:r w:rsidRPr="00F7305D">
              <w:rPr>
                <w:rFonts w:ascii="Arial" w:hAnsi="Arial"/>
                <w:sz w:val="24"/>
              </w:rPr>
              <w:t xml:space="preserve"> A</w:t>
            </w:r>
            <w:r w:rsidRPr="003C0D7F">
              <w:rPr>
                <w:rFonts w:ascii="Arial" w:hAnsi="Arial"/>
                <w:sz w:val="24"/>
                <w:vertAlign w:val="subscript"/>
              </w:rPr>
              <w:t>1</w:t>
            </w:r>
            <w:r w:rsidRPr="00F7305D">
              <w:rPr>
                <w:rFonts w:ascii="Arial" w:hAnsi="Arial"/>
                <w:sz w:val="24"/>
              </w:rPr>
              <w:t xml:space="preserve"> or 3 </w:t>
            </w:r>
            <w:r>
              <w:rPr>
                <w:rFonts w:ascii="Arial" w:hAnsi="Arial"/>
                <w:sz w:val="24"/>
              </w:rPr>
              <w:t xml:space="preserve">group </w:t>
            </w:r>
            <w:r w:rsidRPr="00F7305D">
              <w:rPr>
                <w:rFonts w:ascii="Arial" w:hAnsi="Arial"/>
                <w:sz w:val="24"/>
              </w:rPr>
              <w:t>B cells as applicable according to patient blood group.</w:t>
            </w:r>
          </w:p>
          <w:p w:rsidR="002D411F" w:rsidRPr="00F7305D" w:rsidRDefault="002D411F" w:rsidP="00F7305D">
            <w:pPr>
              <w:pStyle w:val="ListParagraph"/>
              <w:ind w:left="-28"/>
              <w:rPr>
                <w:rFonts w:ascii="Arial" w:hAnsi="Arial"/>
                <w:sz w:val="24"/>
              </w:rPr>
            </w:pPr>
          </w:p>
          <w:p w:rsidR="002D411F" w:rsidRPr="00F7305D" w:rsidRDefault="002D411F" w:rsidP="003D1507">
            <w:pPr>
              <w:pStyle w:val="ListParagraph"/>
              <w:ind w:left="-28"/>
              <w:rPr>
                <w:rFonts w:ascii="Arial" w:hAnsi="Arial"/>
                <w:sz w:val="24"/>
              </w:rPr>
            </w:pPr>
          </w:p>
        </w:tc>
        <w:tc>
          <w:tcPr>
            <w:tcW w:w="5771" w:type="dxa"/>
          </w:tcPr>
          <w:p w:rsidR="002D411F" w:rsidRPr="00F7305D" w:rsidRDefault="002D411F" w:rsidP="00701428">
            <w:pPr>
              <w:tabs>
                <w:tab w:val="left" w:pos="687"/>
              </w:tabs>
              <w:ind w:left="675" w:hanging="708"/>
              <w:rPr>
                <w:rFonts w:ascii="Arial" w:hAnsi="Arial"/>
                <w:sz w:val="24"/>
              </w:rPr>
            </w:pPr>
            <w:r w:rsidRPr="00F7305D">
              <w:rPr>
                <w:rFonts w:ascii="Arial" w:hAnsi="Arial"/>
                <w:sz w:val="24"/>
              </w:rPr>
              <w:t xml:space="preserve">6.10.1 Prepare a “dry” red cell button by adding one drop of 3-5% cell suspension to a clean labeled tube. Add 5 - 10 drops of saline. Centrifuge for 60 seconds at 3400 rpm. Completely decant and blot the saline out of the tube to ensure removal of all </w:t>
            </w:r>
          </w:p>
          <w:p w:rsidR="002D411F" w:rsidRDefault="002D411F" w:rsidP="00701428">
            <w:pPr>
              <w:ind w:left="675"/>
              <w:rPr>
                <w:rFonts w:ascii="Arial" w:hAnsi="Arial"/>
                <w:sz w:val="24"/>
              </w:rPr>
            </w:pPr>
            <w:r>
              <w:rPr>
                <w:rFonts w:ascii="Arial" w:hAnsi="Arial"/>
                <w:sz w:val="24"/>
              </w:rPr>
              <w:t>s</w:t>
            </w:r>
            <w:r w:rsidRPr="00F7305D">
              <w:rPr>
                <w:rFonts w:ascii="Arial" w:hAnsi="Arial"/>
                <w:sz w:val="24"/>
              </w:rPr>
              <w:t>aline</w:t>
            </w:r>
            <w:r>
              <w:rPr>
                <w:rFonts w:ascii="Arial" w:hAnsi="Arial"/>
                <w:sz w:val="24"/>
              </w:rPr>
              <w:t xml:space="preserve">. </w:t>
            </w:r>
          </w:p>
          <w:p w:rsidR="002D411F" w:rsidRPr="00F7305D" w:rsidRDefault="002D411F" w:rsidP="00701428">
            <w:pPr>
              <w:ind w:left="675"/>
              <w:rPr>
                <w:rFonts w:ascii="Arial" w:hAnsi="Arial"/>
                <w:sz w:val="24"/>
              </w:rPr>
            </w:pPr>
            <w:r>
              <w:rPr>
                <w:rFonts w:ascii="Arial" w:hAnsi="Arial"/>
                <w:sz w:val="24"/>
              </w:rPr>
              <w:t>This is done for all cells that are being tested with the eluate and last wash.</w:t>
            </w:r>
          </w:p>
        </w:tc>
      </w:tr>
      <w:tr w:rsidR="002D411F" w:rsidRPr="00F7305D" w:rsidTr="002D411F">
        <w:trPr>
          <w:trHeight w:val="570"/>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Pr="00F7305D" w:rsidRDefault="002D411F" w:rsidP="00701428">
            <w:pPr>
              <w:ind w:left="675" w:hanging="675"/>
              <w:rPr>
                <w:rFonts w:ascii="Arial" w:hAnsi="Arial"/>
                <w:sz w:val="24"/>
              </w:rPr>
            </w:pPr>
            <w:r>
              <w:rPr>
                <w:rFonts w:ascii="Arial" w:hAnsi="Arial"/>
                <w:sz w:val="24"/>
              </w:rPr>
              <w:t>6.10.2 Add two drops of the eluate to the dry cell button.</w:t>
            </w:r>
          </w:p>
        </w:tc>
      </w:tr>
      <w:tr w:rsidR="002D411F" w:rsidRPr="00F7305D" w:rsidTr="002D411F">
        <w:trPr>
          <w:trHeight w:val="555"/>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701428">
            <w:pPr>
              <w:ind w:left="675" w:hanging="675"/>
              <w:rPr>
                <w:rFonts w:ascii="Arial" w:hAnsi="Arial"/>
                <w:sz w:val="24"/>
              </w:rPr>
            </w:pPr>
            <w:r>
              <w:rPr>
                <w:rFonts w:ascii="Arial" w:hAnsi="Arial"/>
                <w:sz w:val="24"/>
              </w:rPr>
              <w:t>6.10.3 Add two drops of the last wash to the dry cell button</w:t>
            </w:r>
          </w:p>
        </w:tc>
      </w:tr>
      <w:tr w:rsidR="002D411F" w:rsidRPr="00F7305D" w:rsidTr="002D411F">
        <w:trPr>
          <w:trHeight w:val="603"/>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701428">
            <w:pPr>
              <w:ind w:left="675" w:hanging="675"/>
              <w:rPr>
                <w:rFonts w:ascii="Arial" w:hAnsi="Arial"/>
                <w:sz w:val="24"/>
              </w:rPr>
            </w:pPr>
            <w:r>
              <w:rPr>
                <w:rFonts w:ascii="Arial" w:hAnsi="Arial"/>
                <w:sz w:val="24"/>
              </w:rPr>
              <w:t xml:space="preserve">6.10.4 Mix well and incubate at 37 </w:t>
            </w:r>
            <w:r>
              <w:rPr>
                <w:rFonts w:ascii="Arial" w:hAnsi="Arial" w:cs="Arial"/>
                <w:sz w:val="24"/>
              </w:rPr>
              <w:t>°</w:t>
            </w:r>
            <w:r>
              <w:rPr>
                <w:rFonts w:ascii="Arial" w:hAnsi="Arial"/>
                <w:sz w:val="24"/>
              </w:rPr>
              <w:t>C (</w:t>
            </w:r>
            <w:r>
              <w:rPr>
                <w:rFonts w:ascii="Arial" w:hAnsi="Arial" w:cs="Arial"/>
                <w:sz w:val="24"/>
              </w:rPr>
              <w:t>±</w:t>
            </w:r>
            <w:r>
              <w:rPr>
                <w:rFonts w:ascii="Arial" w:hAnsi="Arial"/>
                <w:sz w:val="24"/>
              </w:rPr>
              <w:t xml:space="preserve"> 1</w:t>
            </w:r>
            <w:r>
              <w:rPr>
                <w:rFonts w:ascii="Arial" w:hAnsi="Arial" w:cs="Arial"/>
                <w:sz w:val="24"/>
              </w:rPr>
              <w:t>°</w:t>
            </w:r>
            <w:r>
              <w:rPr>
                <w:rFonts w:ascii="Arial" w:hAnsi="Arial"/>
                <w:sz w:val="24"/>
              </w:rPr>
              <w:t xml:space="preserve"> C) for 15 minutes</w:t>
            </w:r>
          </w:p>
        </w:tc>
      </w:tr>
      <w:tr w:rsidR="002D411F" w:rsidRPr="00F7305D" w:rsidTr="002D411F">
        <w:trPr>
          <w:trHeight w:val="1851"/>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701428">
            <w:pPr>
              <w:ind w:left="675" w:hanging="675"/>
              <w:rPr>
                <w:rFonts w:ascii="Arial" w:hAnsi="Arial"/>
                <w:sz w:val="24"/>
              </w:rPr>
            </w:pPr>
            <w:r>
              <w:rPr>
                <w:rFonts w:ascii="Arial" w:hAnsi="Arial"/>
                <w:sz w:val="24"/>
              </w:rPr>
              <w:t>6.10.5 After incubation add 5-10 drops of the working wash solution to each tube. Centrifuge for 60 seconds at 3400 rpm. Completely decant and blot the supernatant wash solution to ensure removal of all residual wash, resulting in a dry red cell button.</w:t>
            </w:r>
          </w:p>
        </w:tc>
      </w:tr>
      <w:tr w:rsidR="002D411F" w:rsidRPr="00F7305D" w:rsidTr="002D411F">
        <w:trPr>
          <w:trHeight w:val="525"/>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701428">
            <w:pPr>
              <w:ind w:left="675" w:hanging="675"/>
              <w:rPr>
                <w:rFonts w:ascii="Arial" w:hAnsi="Arial"/>
                <w:sz w:val="24"/>
              </w:rPr>
            </w:pPr>
            <w:r>
              <w:rPr>
                <w:rFonts w:ascii="Arial" w:hAnsi="Arial"/>
                <w:sz w:val="24"/>
              </w:rPr>
              <w:t>6.10.6 Add two drops of anti-IgG, mix gently and centrifuge for 15-20 seconds at 3400 rpm.</w:t>
            </w:r>
          </w:p>
        </w:tc>
      </w:tr>
      <w:tr w:rsidR="002D411F" w:rsidRPr="00F7305D" w:rsidTr="002D411F">
        <w:trPr>
          <w:trHeight w:val="765"/>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701428">
            <w:pPr>
              <w:ind w:left="675" w:hanging="675"/>
              <w:rPr>
                <w:rFonts w:ascii="Arial" w:hAnsi="Arial"/>
                <w:sz w:val="24"/>
              </w:rPr>
            </w:pPr>
            <w:r>
              <w:rPr>
                <w:rFonts w:ascii="Arial" w:hAnsi="Arial"/>
                <w:sz w:val="24"/>
              </w:rPr>
              <w:t>6.10.7 Gently resuspend the red cell button and examine for agglutination. Grade and record results.</w:t>
            </w:r>
          </w:p>
        </w:tc>
      </w:tr>
      <w:tr w:rsidR="002D411F" w:rsidRPr="00F7305D" w:rsidTr="003C0D7F">
        <w:trPr>
          <w:trHeight w:val="1230"/>
        </w:trPr>
        <w:tc>
          <w:tcPr>
            <w:tcW w:w="3085" w:type="dxa"/>
            <w:vMerge/>
          </w:tcPr>
          <w:p w:rsidR="002D411F" w:rsidRPr="00F7305D" w:rsidRDefault="002D411F" w:rsidP="00F85C64">
            <w:pPr>
              <w:pStyle w:val="ListParagraph"/>
              <w:numPr>
                <w:ilvl w:val="1"/>
                <w:numId w:val="1"/>
              </w:numPr>
              <w:tabs>
                <w:tab w:val="num" w:pos="709"/>
              </w:tabs>
              <w:ind w:left="709"/>
              <w:rPr>
                <w:rFonts w:ascii="Arial" w:hAnsi="Arial"/>
                <w:sz w:val="24"/>
              </w:rPr>
            </w:pPr>
          </w:p>
        </w:tc>
        <w:tc>
          <w:tcPr>
            <w:tcW w:w="5771" w:type="dxa"/>
          </w:tcPr>
          <w:p w:rsidR="002D411F" w:rsidRDefault="002D411F" w:rsidP="002D411F">
            <w:pPr>
              <w:ind w:left="675" w:hanging="675"/>
              <w:rPr>
                <w:rFonts w:ascii="Arial" w:hAnsi="Arial"/>
                <w:sz w:val="24"/>
              </w:rPr>
            </w:pPr>
            <w:r>
              <w:rPr>
                <w:rFonts w:ascii="Arial" w:hAnsi="Arial"/>
                <w:sz w:val="24"/>
              </w:rPr>
              <w:t>6.10.8 Negative antiglobulin test results should be appropriately controlled by the addition of IgG sensitized reagent control cells.</w:t>
            </w:r>
          </w:p>
        </w:tc>
      </w:tr>
      <w:tr w:rsidR="001B697A" w:rsidTr="00F85C64">
        <w:trPr>
          <w:trHeight w:val="1134"/>
        </w:trPr>
        <w:tc>
          <w:tcPr>
            <w:tcW w:w="885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5653"/>
            </w:tblGrid>
            <w:tr w:rsidR="001B697A" w:rsidTr="00F85C64">
              <w:tc>
                <w:tcPr>
                  <w:tcW w:w="2972" w:type="dxa"/>
                  <w:tcBorders>
                    <w:top w:val="single" w:sz="4" w:space="0" w:color="auto"/>
                    <w:left w:val="single" w:sz="4" w:space="0" w:color="auto"/>
                    <w:bottom w:val="single" w:sz="4" w:space="0" w:color="auto"/>
                    <w:right w:val="single" w:sz="4" w:space="0" w:color="auto"/>
                  </w:tcBorders>
                  <w:shd w:val="clear" w:color="auto" w:fill="EEECE1"/>
                </w:tcPr>
                <w:p w:rsidR="001B697A" w:rsidRPr="00F85C64" w:rsidRDefault="001B697A" w:rsidP="00F85C64">
                  <w:pPr>
                    <w:jc w:val="center"/>
                    <w:rPr>
                      <w:rFonts w:ascii="Arial" w:hAnsi="Arial"/>
                      <w:i/>
                      <w:sz w:val="24"/>
                    </w:rPr>
                  </w:pPr>
                  <w:r w:rsidRPr="00F85C64">
                    <w:rPr>
                      <w:rFonts w:ascii="Arial" w:hAnsi="Arial"/>
                      <w:i/>
                      <w:sz w:val="24"/>
                    </w:rPr>
                    <w:t>If</w:t>
                  </w:r>
                </w:p>
              </w:tc>
              <w:tc>
                <w:tcPr>
                  <w:tcW w:w="5653" w:type="dxa"/>
                  <w:tcBorders>
                    <w:top w:val="single" w:sz="4" w:space="0" w:color="auto"/>
                    <w:left w:val="single" w:sz="4" w:space="0" w:color="auto"/>
                    <w:bottom w:val="single" w:sz="4" w:space="0" w:color="auto"/>
                    <w:right w:val="single" w:sz="4" w:space="0" w:color="auto"/>
                  </w:tcBorders>
                  <w:shd w:val="clear" w:color="auto" w:fill="EEECE1"/>
                </w:tcPr>
                <w:p w:rsidR="001B697A" w:rsidRPr="00F85C64" w:rsidRDefault="001B697A" w:rsidP="00F85C64">
                  <w:pPr>
                    <w:jc w:val="center"/>
                    <w:rPr>
                      <w:rFonts w:ascii="Arial" w:hAnsi="Arial"/>
                      <w:i/>
                      <w:sz w:val="24"/>
                    </w:rPr>
                  </w:pPr>
                  <w:r w:rsidRPr="00F85C64">
                    <w:rPr>
                      <w:rFonts w:ascii="Arial" w:hAnsi="Arial"/>
                      <w:i/>
                      <w:sz w:val="24"/>
                    </w:rPr>
                    <w:t>Then</w:t>
                  </w: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1"/>
                      <w:numId w:val="1"/>
                    </w:numPr>
                    <w:ind w:left="738" w:hanging="738"/>
                    <w:rPr>
                      <w:rFonts w:ascii="Arial" w:hAnsi="Arial"/>
                      <w:sz w:val="24"/>
                    </w:rPr>
                  </w:pPr>
                  <w:r w:rsidRPr="00F85C64">
                    <w:rPr>
                      <w:rFonts w:ascii="Arial" w:hAnsi="Arial"/>
                      <w:sz w:val="24"/>
                    </w:rPr>
                    <w:t>The last wash is positive with any of the screening cells</w:t>
                  </w:r>
                </w:p>
                <w:p w:rsidR="001B697A" w:rsidRPr="00F85C64" w:rsidRDefault="001B697A" w:rsidP="00F85C64">
                  <w:pPr>
                    <w:ind w:left="426"/>
                    <w:rPr>
                      <w:rFonts w:ascii="Arial" w:hAnsi="Arial"/>
                      <w:sz w:val="24"/>
                    </w:rPr>
                  </w:pP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pPr>
                    <w:rPr>
                      <w:rFonts w:ascii="Arial" w:hAnsi="Arial"/>
                      <w:sz w:val="24"/>
                    </w:rPr>
                  </w:pPr>
                  <w:r w:rsidRPr="00F85C64">
                    <w:rPr>
                      <w:rFonts w:ascii="Arial" w:hAnsi="Arial"/>
                      <w:sz w:val="24"/>
                    </w:rPr>
                    <w:t>The eluate must be repeated, washing the cells 2 additional times or more before preparing the eluate. In this case, it may be desirable to test the last wash before continuing with preparation of the eluate.</w:t>
                  </w: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1"/>
                      <w:numId w:val="1"/>
                    </w:numPr>
                    <w:ind w:left="738" w:hanging="709"/>
                    <w:rPr>
                      <w:rFonts w:ascii="Arial" w:hAnsi="Arial"/>
                      <w:sz w:val="24"/>
                    </w:rPr>
                  </w:pPr>
                  <w:r w:rsidRPr="00F85C64">
                    <w:rPr>
                      <w:rFonts w:ascii="Arial" w:hAnsi="Arial"/>
                      <w:sz w:val="24"/>
                    </w:rPr>
                    <w:t>The last wash is negative and the eluate is positive with some or all of the screening cells</w:t>
                  </w: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rsidP="00D10A17">
                  <w:pPr>
                    <w:rPr>
                      <w:rFonts w:ascii="Arial" w:hAnsi="Arial"/>
                      <w:sz w:val="24"/>
                    </w:rPr>
                  </w:pPr>
                  <w:r w:rsidRPr="00F85C64">
                    <w:rPr>
                      <w:rFonts w:ascii="Arial" w:hAnsi="Arial"/>
                      <w:sz w:val="24"/>
                    </w:rPr>
                    <w:t>Test the eluate with a panel of cells. See NRT.007 – Antibody Identification for Warm Reactive Antibodies using the eluate instead of plasma.</w:t>
                  </w: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1"/>
                      <w:numId w:val="1"/>
                    </w:numPr>
                    <w:ind w:left="738"/>
                    <w:rPr>
                      <w:rFonts w:ascii="Arial" w:hAnsi="Arial"/>
                      <w:sz w:val="24"/>
                    </w:rPr>
                  </w:pPr>
                  <w:r w:rsidRPr="00F85C64">
                    <w:rPr>
                      <w:rFonts w:ascii="Arial" w:hAnsi="Arial"/>
                      <w:sz w:val="24"/>
                    </w:rPr>
                    <w:t>Both the last wash and the eluate are negative with the screening cells and the last wash is negative with A</w:t>
                  </w:r>
                  <w:r w:rsidRPr="00F85C64">
                    <w:rPr>
                      <w:rFonts w:ascii="Arial" w:hAnsi="Arial"/>
                      <w:sz w:val="24"/>
                      <w:vertAlign w:val="subscript"/>
                    </w:rPr>
                    <w:t>1</w:t>
                  </w:r>
                  <w:r w:rsidRPr="00F85C64">
                    <w:rPr>
                      <w:rFonts w:ascii="Arial" w:hAnsi="Arial"/>
                      <w:sz w:val="24"/>
                    </w:rPr>
                    <w:t xml:space="preserve"> and/or B cells and the eluate is positive with the A</w:t>
                  </w:r>
                  <w:r w:rsidRPr="00F85C64">
                    <w:rPr>
                      <w:rFonts w:ascii="Arial" w:hAnsi="Arial"/>
                      <w:sz w:val="24"/>
                      <w:vertAlign w:val="subscript"/>
                    </w:rPr>
                    <w:t>1</w:t>
                  </w:r>
                  <w:r w:rsidRPr="00F85C64">
                    <w:rPr>
                      <w:rFonts w:ascii="Arial" w:hAnsi="Arial"/>
                      <w:sz w:val="24"/>
                    </w:rPr>
                    <w:t xml:space="preserve"> and/or B cells</w:t>
                  </w: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pPr>
                    <w:rPr>
                      <w:rFonts w:ascii="Arial" w:hAnsi="Arial"/>
                      <w:sz w:val="24"/>
                    </w:rPr>
                  </w:pPr>
                  <w:r w:rsidRPr="00F85C64">
                    <w:rPr>
                      <w:rFonts w:ascii="Arial" w:hAnsi="Arial"/>
                      <w:sz w:val="24"/>
                    </w:rPr>
                    <w:t>The cells are coated with ABO antibody(</w:t>
                  </w:r>
                  <w:proofErr w:type="spellStart"/>
                  <w:r w:rsidRPr="00F85C64">
                    <w:rPr>
                      <w:rFonts w:ascii="Arial" w:hAnsi="Arial"/>
                      <w:sz w:val="24"/>
                    </w:rPr>
                    <w:t>ies</w:t>
                  </w:r>
                  <w:proofErr w:type="spellEnd"/>
                  <w:r w:rsidRPr="00F85C64">
                    <w:rPr>
                      <w:rFonts w:ascii="Arial" w:hAnsi="Arial"/>
                      <w:sz w:val="24"/>
                    </w:rPr>
                    <w:t>) probably due to transfusion of plasma components or derivatives containing anti-</w:t>
                  </w:r>
                  <w:proofErr w:type="gramStart"/>
                  <w:r w:rsidRPr="00F85C64">
                    <w:rPr>
                      <w:rFonts w:ascii="Arial" w:hAnsi="Arial"/>
                      <w:sz w:val="24"/>
                    </w:rPr>
                    <w:t>A,B</w:t>
                  </w:r>
                  <w:proofErr w:type="gramEnd"/>
                  <w:r w:rsidRPr="00F85C64">
                    <w:rPr>
                      <w:rFonts w:ascii="Arial" w:hAnsi="Arial"/>
                      <w:sz w:val="24"/>
                    </w:rPr>
                    <w:t>, anti-A and/or anti B or with maternal ABO antibody. See 7.0 – Reporting.</w:t>
                  </w: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1"/>
                      <w:numId w:val="1"/>
                    </w:numPr>
                    <w:ind w:left="738"/>
                    <w:rPr>
                      <w:rFonts w:ascii="Arial" w:hAnsi="Arial"/>
                      <w:sz w:val="24"/>
                    </w:rPr>
                  </w:pPr>
                  <w:r w:rsidRPr="00F85C64">
                    <w:rPr>
                      <w:rFonts w:ascii="Arial" w:hAnsi="Arial"/>
                      <w:sz w:val="24"/>
                    </w:rPr>
                    <w:t>The last wash is negative and the eluate is positive with some or all panel cells</w:t>
                  </w: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2"/>
                      <w:numId w:val="1"/>
                    </w:numPr>
                    <w:tabs>
                      <w:tab w:val="clear" w:pos="720"/>
                      <w:tab w:val="num" w:pos="743"/>
                    </w:tabs>
                    <w:ind w:left="820" w:hanging="928"/>
                    <w:rPr>
                      <w:rFonts w:ascii="Arial" w:hAnsi="Arial"/>
                      <w:sz w:val="24"/>
                    </w:rPr>
                  </w:pPr>
                  <w:r w:rsidRPr="00F85C64">
                    <w:rPr>
                      <w:rFonts w:ascii="Arial" w:hAnsi="Arial"/>
                      <w:sz w:val="24"/>
                    </w:rPr>
                    <w:t>Perform the antibody exclusion.  See NRT.008 – Antibody Exclusion. If all cells tested are positive, consider an antibody to a high incidence antigen or a pan-reactive autoantibody or drug induced antibody (refer to Table NRT.010 -1).</w:t>
                  </w:r>
                </w:p>
                <w:p w:rsidR="001B697A" w:rsidRPr="00F85C64" w:rsidRDefault="001B697A" w:rsidP="00F85C64">
                  <w:pPr>
                    <w:pStyle w:val="ListParagraph"/>
                    <w:numPr>
                      <w:ilvl w:val="2"/>
                      <w:numId w:val="1"/>
                    </w:numPr>
                    <w:tabs>
                      <w:tab w:val="num" w:pos="884"/>
                    </w:tabs>
                    <w:ind w:left="820" w:hanging="928"/>
                    <w:rPr>
                      <w:rFonts w:ascii="Arial" w:hAnsi="Arial"/>
                      <w:sz w:val="24"/>
                    </w:rPr>
                  </w:pPr>
                  <w:r w:rsidRPr="00F85C64">
                    <w:rPr>
                      <w:rFonts w:ascii="Arial" w:hAnsi="Arial"/>
                      <w:sz w:val="24"/>
                    </w:rPr>
                    <w:t>If the elution indicates the presence of a clinically significant antibody(</w:t>
                  </w:r>
                  <w:proofErr w:type="spellStart"/>
                  <w:r w:rsidRPr="00F85C64">
                    <w:rPr>
                      <w:rFonts w:ascii="Arial" w:hAnsi="Arial"/>
                      <w:sz w:val="24"/>
                    </w:rPr>
                    <w:t>ies</w:t>
                  </w:r>
                  <w:proofErr w:type="spellEnd"/>
                  <w:r w:rsidRPr="00F85C64">
                    <w:rPr>
                      <w:rFonts w:ascii="Arial" w:hAnsi="Arial"/>
                      <w:sz w:val="24"/>
                    </w:rPr>
                    <w:t xml:space="preserve">), select antigen(s) negative donor units for crossmatch. </w:t>
                  </w:r>
                </w:p>
                <w:p w:rsidR="001B697A" w:rsidRPr="00F85C64" w:rsidRDefault="001B697A" w:rsidP="00F85C64">
                  <w:pPr>
                    <w:pStyle w:val="ListParagraph"/>
                    <w:numPr>
                      <w:ilvl w:val="2"/>
                      <w:numId w:val="1"/>
                    </w:numPr>
                    <w:tabs>
                      <w:tab w:val="num" w:pos="884"/>
                    </w:tabs>
                    <w:ind w:left="820" w:hanging="928"/>
                    <w:rPr>
                      <w:rFonts w:ascii="Arial" w:hAnsi="Arial"/>
                      <w:sz w:val="24"/>
                    </w:rPr>
                  </w:pPr>
                  <w:r w:rsidRPr="00F85C64">
                    <w:rPr>
                      <w:rFonts w:ascii="Arial" w:hAnsi="Arial"/>
                      <w:sz w:val="24"/>
                    </w:rPr>
                    <w:t>Report the antibody. See 7.0- Reporting.</w:t>
                  </w:r>
                </w:p>
                <w:p w:rsidR="001B697A" w:rsidRPr="00F85C64" w:rsidRDefault="001B697A">
                  <w:pPr>
                    <w:rPr>
                      <w:rFonts w:ascii="Arial" w:hAnsi="Arial"/>
                      <w:sz w:val="24"/>
                    </w:rPr>
                  </w:pPr>
                </w:p>
              </w:tc>
            </w:tr>
            <w:tr w:rsidR="001B697A" w:rsidTr="00F85C64">
              <w:tc>
                <w:tcPr>
                  <w:tcW w:w="2972" w:type="dxa"/>
                  <w:tcBorders>
                    <w:top w:val="single" w:sz="4" w:space="0" w:color="auto"/>
                    <w:left w:val="single" w:sz="4" w:space="0" w:color="auto"/>
                    <w:bottom w:val="single" w:sz="4" w:space="0" w:color="auto"/>
                    <w:right w:val="single" w:sz="4" w:space="0" w:color="auto"/>
                  </w:tcBorders>
                </w:tcPr>
                <w:p w:rsidR="001B697A" w:rsidRPr="00F85C64" w:rsidRDefault="001B697A" w:rsidP="00F85C64">
                  <w:pPr>
                    <w:pStyle w:val="ListParagraph"/>
                    <w:numPr>
                      <w:ilvl w:val="1"/>
                      <w:numId w:val="1"/>
                    </w:numPr>
                    <w:ind w:left="738" w:hanging="709"/>
                    <w:rPr>
                      <w:rFonts w:ascii="Arial" w:hAnsi="Arial"/>
                      <w:sz w:val="24"/>
                    </w:rPr>
                  </w:pPr>
                  <w:r w:rsidRPr="00F85C64">
                    <w:rPr>
                      <w:rFonts w:ascii="Arial" w:hAnsi="Arial"/>
                      <w:sz w:val="24"/>
                    </w:rPr>
                    <w:t>Both the last wash and eluate are negative with the screening cells and A</w:t>
                  </w:r>
                  <w:r w:rsidRPr="00F85C64">
                    <w:rPr>
                      <w:rFonts w:ascii="Arial" w:hAnsi="Arial"/>
                      <w:sz w:val="24"/>
                      <w:vertAlign w:val="subscript"/>
                    </w:rPr>
                    <w:t>1</w:t>
                  </w:r>
                  <w:r w:rsidRPr="00F85C64">
                    <w:rPr>
                      <w:rFonts w:ascii="Arial" w:hAnsi="Arial"/>
                      <w:sz w:val="24"/>
                    </w:rPr>
                    <w:t xml:space="preserve"> and B cells</w:t>
                  </w:r>
                </w:p>
              </w:tc>
              <w:tc>
                <w:tcPr>
                  <w:tcW w:w="5653" w:type="dxa"/>
                  <w:tcBorders>
                    <w:top w:val="single" w:sz="4" w:space="0" w:color="auto"/>
                    <w:left w:val="single" w:sz="4" w:space="0" w:color="auto"/>
                    <w:bottom w:val="single" w:sz="4" w:space="0" w:color="auto"/>
                    <w:right w:val="single" w:sz="4" w:space="0" w:color="auto"/>
                  </w:tcBorders>
                </w:tcPr>
                <w:p w:rsidR="001B697A" w:rsidRPr="00F85C64" w:rsidRDefault="001B697A">
                  <w:pPr>
                    <w:rPr>
                      <w:rFonts w:ascii="Arial" w:hAnsi="Arial"/>
                      <w:sz w:val="24"/>
                    </w:rPr>
                  </w:pPr>
                  <w:r w:rsidRPr="00F85C64">
                    <w:rPr>
                      <w:rFonts w:ascii="Arial" w:hAnsi="Arial"/>
                      <w:sz w:val="24"/>
                    </w:rPr>
                    <w:t>If applicable, report the results. See Procedural Notes 8.5, 8.7, 8.8 and 7.0 – Reporting.</w:t>
                  </w:r>
                </w:p>
              </w:tc>
            </w:tr>
          </w:tbl>
          <w:p w:rsidR="001B697A" w:rsidRPr="00F85C64" w:rsidRDefault="001B697A">
            <w:pPr>
              <w:rPr>
                <w:rFonts w:ascii="Arial" w:hAnsi="Arial"/>
                <w:sz w:val="24"/>
              </w:rPr>
            </w:pPr>
          </w:p>
        </w:tc>
      </w:tr>
    </w:tbl>
    <w:p w:rsidR="001B697A" w:rsidRDefault="001B697A">
      <w:pPr>
        <w:rPr>
          <w:rFonts w:ascii="Arial" w:hAnsi="Arial"/>
          <w:sz w:val="24"/>
        </w:rPr>
      </w:pPr>
    </w:p>
    <w:p w:rsidR="001B697A" w:rsidRDefault="001B697A" w:rsidP="00936AA1">
      <w:pPr>
        <w:numPr>
          <w:ilvl w:val="0"/>
          <w:numId w:val="1"/>
        </w:numPr>
        <w:rPr>
          <w:rFonts w:ascii="Arial" w:hAnsi="Arial"/>
          <w:b/>
          <w:sz w:val="28"/>
        </w:rPr>
      </w:pPr>
      <w:r>
        <w:rPr>
          <w:rFonts w:ascii="Arial" w:hAnsi="Arial"/>
          <w:b/>
          <w:sz w:val="28"/>
        </w:rPr>
        <w:t>Reporting</w:t>
      </w:r>
    </w:p>
    <w:p w:rsidR="001B697A" w:rsidRDefault="001B697A">
      <w:pPr>
        <w:rPr>
          <w:rFonts w:ascii="Arial" w:hAnsi="Arial"/>
          <w:sz w:val="24"/>
        </w:rPr>
      </w:pPr>
    </w:p>
    <w:p w:rsidR="001B697A" w:rsidRDefault="001B697A">
      <w:pPr>
        <w:ind w:left="720"/>
        <w:rPr>
          <w:rFonts w:ascii="Arial" w:hAnsi="Arial"/>
          <w:sz w:val="24"/>
        </w:rPr>
      </w:pPr>
      <w:r>
        <w:rPr>
          <w:rFonts w:ascii="Arial" w:hAnsi="Arial"/>
          <w:sz w:val="24"/>
        </w:rPr>
        <w:t>The result of the “last wash” must be negative to report a valid elution result.  See procedural note 8.6.</w:t>
      </w:r>
    </w:p>
    <w:p w:rsidR="001B697A" w:rsidRDefault="001B697A">
      <w:pPr>
        <w:ind w:left="72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If an antibody is identified in the eluate, report: “Eluted Antibody Anti - …. (name of the antibody).”</w:t>
      </w:r>
    </w:p>
    <w:p w:rsidR="001B697A" w:rsidRDefault="001B697A" w:rsidP="002D411F">
      <w:pPr>
        <w:ind w:left="1440" w:hanging="737"/>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If the eluate reacted with all test cells, report “Reactivity with all cells tested no specificity”.</w:t>
      </w:r>
    </w:p>
    <w:p w:rsidR="001B697A" w:rsidRDefault="001B697A" w:rsidP="002D411F">
      <w:pPr>
        <w:ind w:left="1440" w:hanging="737"/>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 xml:space="preserve">If the eluate is negative against the screening, A and B cells and/or panel cells, report: “Negative: No antibodies demonstrable in the eluate.”  </w:t>
      </w:r>
      <w:r w:rsidRPr="002F7E9E">
        <w:rPr>
          <w:rFonts w:ascii="Arial" w:hAnsi="Arial"/>
          <w:sz w:val="24"/>
        </w:rPr>
        <w:t>See Procedural Notes 8.5, 8.7.</w:t>
      </w:r>
    </w:p>
    <w:p w:rsidR="001B697A" w:rsidRDefault="001B697A">
      <w:pPr>
        <w:rPr>
          <w:rFonts w:ascii="Arial" w:hAnsi="Arial"/>
          <w:b/>
          <w:sz w:val="28"/>
        </w:rPr>
      </w:pPr>
    </w:p>
    <w:p w:rsidR="001B697A" w:rsidRDefault="001B697A" w:rsidP="00936AA1">
      <w:pPr>
        <w:numPr>
          <w:ilvl w:val="0"/>
          <w:numId w:val="1"/>
        </w:numPr>
        <w:rPr>
          <w:rFonts w:ascii="Arial" w:hAnsi="Arial"/>
          <w:b/>
          <w:sz w:val="28"/>
        </w:rPr>
      </w:pPr>
      <w:r>
        <w:rPr>
          <w:rFonts w:ascii="Arial" w:hAnsi="Arial"/>
          <w:b/>
          <w:sz w:val="28"/>
        </w:rPr>
        <w:t>Procedural Notes</w:t>
      </w:r>
    </w:p>
    <w:p w:rsidR="001B697A" w:rsidRDefault="001B697A">
      <w:pPr>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After centrifugation, the cells should be packed at the bottom of the tube. There should not be a line of red cells for</w:t>
      </w:r>
      <w:r w:rsidR="002D411F">
        <w:rPr>
          <w:rFonts w:ascii="Arial" w:hAnsi="Arial"/>
          <w:sz w:val="24"/>
        </w:rPr>
        <w:t>med along the side of the tube.</w:t>
      </w:r>
      <w:r>
        <w:rPr>
          <w:rFonts w:ascii="Arial" w:hAnsi="Arial"/>
          <w:sz w:val="24"/>
        </w:rPr>
        <w:t xml:space="preserve"> If a cell line is seen along the side of the tube, the centrifugation time should be extended until all the cells are packed at the bottom of the tube.</w:t>
      </w:r>
    </w:p>
    <w:p w:rsidR="001B697A" w:rsidRDefault="001B697A" w:rsidP="002D411F">
      <w:pPr>
        <w:ind w:left="1440"/>
        <w:rPr>
          <w:rFonts w:ascii="Arial" w:hAnsi="Arial"/>
          <w:sz w:val="24"/>
        </w:rPr>
      </w:pPr>
    </w:p>
    <w:p w:rsidR="001B697A" w:rsidRPr="00BA40EE" w:rsidRDefault="001B697A" w:rsidP="002D411F">
      <w:pPr>
        <w:numPr>
          <w:ilvl w:val="1"/>
          <w:numId w:val="1"/>
        </w:numPr>
        <w:ind w:left="1440"/>
        <w:rPr>
          <w:rFonts w:ascii="Arial" w:hAnsi="Arial"/>
          <w:sz w:val="24"/>
        </w:rPr>
      </w:pPr>
      <w:r w:rsidRPr="00BA40EE">
        <w:rPr>
          <w:rFonts w:ascii="Arial" w:hAnsi="Arial"/>
          <w:sz w:val="24"/>
        </w:rPr>
        <w:t>The volume of base buffering solution required for this purpose varies with different eluates, depending on a number of factors, the most prominent being the extent to which hemolysis has occurred during the eluting step. The blue color indicates a pH range of 6.5 to 7.5.</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Particles may cause false positive results when the eluate is tested.</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The eluate may be tested immediately or refrigerated up to seven days and tested if no turbidity is observed during storage.</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When the DAT result is weakly positive, sensitivity of the antibody detection in the eluate may be enhanced by increasing the number of drops of eluate per test (e.g., 3-4 drops). In this case, record the number of drops of eluate used and use the same number of drops when testing the last wash.</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Most of the time a positive last wash is due to insufficient washing.  The possibility should be considered that a positive “last wash” could be due to the dissociation of bound antibody during the washing.  Washing using the working wash solution at 4</w:t>
      </w:r>
      <w:r>
        <w:rPr>
          <w:rFonts w:ascii="Arial" w:hAnsi="Arial" w:cs="Arial"/>
          <w:sz w:val="24"/>
        </w:rPr>
        <w:t>º</w:t>
      </w:r>
      <w:r>
        <w:rPr>
          <w:rFonts w:ascii="Arial" w:hAnsi="Arial"/>
          <w:sz w:val="24"/>
        </w:rPr>
        <w:t>C may minimize this.</w:t>
      </w:r>
      <w:r w:rsidRPr="00B665E8">
        <w:rPr>
          <w:rFonts w:ascii="Arial" w:hAnsi="Arial"/>
          <w:sz w:val="24"/>
          <w:szCs w:val="24"/>
          <w:vertAlign w:val="superscript"/>
        </w:rPr>
        <w:t>9.2</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The yield of antibody obtained upon elution from coated cells is dependent on the following variable factors:</w:t>
      </w:r>
    </w:p>
    <w:p w:rsidR="001B697A" w:rsidRDefault="001B697A">
      <w:pPr>
        <w:rPr>
          <w:rFonts w:ascii="Arial" w:hAnsi="Arial"/>
          <w:sz w:val="24"/>
        </w:rPr>
      </w:pPr>
    </w:p>
    <w:p w:rsidR="001B697A" w:rsidRDefault="001B697A" w:rsidP="002D411F">
      <w:pPr>
        <w:numPr>
          <w:ilvl w:val="2"/>
          <w:numId w:val="1"/>
        </w:numPr>
        <w:ind w:left="2160" w:hanging="756"/>
        <w:rPr>
          <w:rFonts w:ascii="Arial" w:hAnsi="Arial"/>
          <w:sz w:val="24"/>
        </w:rPr>
      </w:pPr>
      <w:r>
        <w:rPr>
          <w:rFonts w:ascii="Arial" w:hAnsi="Arial"/>
          <w:sz w:val="24"/>
        </w:rPr>
        <w:t>The amount of antibody bound to the cells.</w:t>
      </w:r>
    </w:p>
    <w:p w:rsidR="001B697A" w:rsidRDefault="001B697A" w:rsidP="002D411F">
      <w:pPr>
        <w:ind w:left="2160" w:hanging="756"/>
        <w:rPr>
          <w:rFonts w:ascii="Arial" w:hAnsi="Arial"/>
          <w:sz w:val="24"/>
        </w:rPr>
      </w:pPr>
    </w:p>
    <w:p w:rsidR="001B697A" w:rsidRDefault="001B697A" w:rsidP="002D411F">
      <w:pPr>
        <w:numPr>
          <w:ilvl w:val="2"/>
          <w:numId w:val="1"/>
        </w:numPr>
        <w:tabs>
          <w:tab w:val="clear" w:pos="720"/>
        </w:tabs>
        <w:ind w:left="2160" w:hanging="756"/>
        <w:rPr>
          <w:rFonts w:ascii="Arial" w:hAnsi="Arial"/>
          <w:sz w:val="24"/>
        </w:rPr>
      </w:pPr>
      <w:r>
        <w:rPr>
          <w:rFonts w:ascii="Arial" w:hAnsi="Arial"/>
          <w:sz w:val="24"/>
        </w:rPr>
        <w:t>The degree of dissociation of antibody that occurs during the washing procedure.</w:t>
      </w:r>
    </w:p>
    <w:p w:rsidR="001B697A" w:rsidRDefault="001B697A" w:rsidP="002D411F">
      <w:pPr>
        <w:ind w:left="2160" w:hanging="756"/>
        <w:rPr>
          <w:rFonts w:ascii="Arial" w:hAnsi="Arial"/>
          <w:sz w:val="24"/>
        </w:rPr>
      </w:pPr>
    </w:p>
    <w:p w:rsidR="001B697A" w:rsidRDefault="001B697A" w:rsidP="002D411F">
      <w:pPr>
        <w:numPr>
          <w:ilvl w:val="2"/>
          <w:numId w:val="1"/>
        </w:numPr>
        <w:ind w:left="2160" w:hanging="756"/>
        <w:rPr>
          <w:rFonts w:ascii="Arial" w:hAnsi="Arial"/>
          <w:sz w:val="24"/>
        </w:rPr>
      </w:pPr>
      <w:r>
        <w:rPr>
          <w:rFonts w:ascii="Arial" w:hAnsi="Arial"/>
          <w:sz w:val="24"/>
        </w:rPr>
        <w:t>Red cells that have a positive DAT due to bound complement alone will usually yield an eluate showing no antibody activity.</w:t>
      </w:r>
    </w:p>
    <w:p w:rsidR="001B697A" w:rsidRDefault="001B697A" w:rsidP="002D411F">
      <w:pPr>
        <w:ind w:left="2160" w:hanging="756"/>
        <w:rPr>
          <w:rFonts w:ascii="Arial" w:hAnsi="Arial"/>
          <w:sz w:val="24"/>
        </w:rPr>
      </w:pPr>
    </w:p>
    <w:p w:rsidR="001B697A" w:rsidRDefault="001B697A" w:rsidP="002D411F">
      <w:pPr>
        <w:numPr>
          <w:ilvl w:val="2"/>
          <w:numId w:val="1"/>
        </w:numPr>
        <w:tabs>
          <w:tab w:val="clear" w:pos="720"/>
        </w:tabs>
        <w:ind w:left="2160" w:hanging="756"/>
        <w:rPr>
          <w:rFonts w:ascii="Arial" w:hAnsi="Arial"/>
          <w:sz w:val="24"/>
        </w:rPr>
      </w:pPr>
      <w:r>
        <w:rPr>
          <w:rFonts w:ascii="Arial" w:hAnsi="Arial"/>
          <w:sz w:val="24"/>
        </w:rPr>
        <w:t xml:space="preserve">Excess dilution of the eluate can occur from using less than 1.0mL of sensitized cells or from the addition of excessive amounts of reagent in adjusting the </w:t>
      </w:r>
      <w:proofErr w:type="spellStart"/>
      <w:r>
        <w:rPr>
          <w:rFonts w:ascii="Arial" w:hAnsi="Arial"/>
          <w:sz w:val="24"/>
        </w:rPr>
        <w:t>pH.</w:t>
      </w:r>
      <w:proofErr w:type="spellEnd"/>
      <w:r>
        <w:rPr>
          <w:rFonts w:ascii="Arial" w:hAnsi="Arial"/>
          <w:sz w:val="24"/>
        </w:rPr>
        <w:t xml:space="preserve">  This may limit the activity of the eluate.</w:t>
      </w:r>
    </w:p>
    <w:p w:rsidR="001B697A" w:rsidRDefault="001B697A" w:rsidP="002D411F">
      <w:pPr>
        <w:ind w:left="2160" w:hanging="756"/>
        <w:rPr>
          <w:rFonts w:ascii="Arial" w:hAnsi="Arial"/>
          <w:sz w:val="24"/>
        </w:rPr>
      </w:pPr>
    </w:p>
    <w:p w:rsidR="001B697A" w:rsidRDefault="001B697A" w:rsidP="002D411F">
      <w:pPr>
        <w:numPr>
          <w:ilvl w:val="2"/>
          <w:numId w:val="1"/>
        </w:numPr>
        <w:tabs>
          <w:tab w:val="num" w:pos="1985"/>
        </w:tabs>
        <w:ind w:left="2160" w:hanging="756"/>
        <w:rPr>
          <w:rFonts w:ascii="Arial" w:hAnsi="Arial"/>
          <w:sz w:val="24"/>
        </w:rPr>
      </w:pPr>
      <w:r>
        <w:rPr>
          <w:rFonts w:ascii="Arial" w:hAnsi="Arial"/>
          <w:sz w:val="24"/>
        </w:rPr>
        <w:t>Incorrect adjustment of the pH in the eluate may cause hemolysis of the red cells in subsequent testing.</w:t>
      </w:r>
    </w:p>
    <w:p w:rsidR="001B697A" w:rsidRDefault="001B697A" w:rsidP="00B665E8">
      <w:pPr>
        <w:rPr>
          <w:rFonts w:ascii="Arial" w:hAnsi="Arial"/>
          <w:sz w:val="24"/>
        </w:rPr>
      </w:pPr>
    </w:p>
    <w:p w:rsidR="001B697A" w:rsidRDefault="001B697A" w:rsidP="002D411F">
      <w:pPr>
        <w:numPr>
          <w:ilvl w:val="1"/>
          <w:numId w:val="1"/>
        </w:numPr>
        <w:tabs>
          <w:tab w:val="clear" w:pos="426"/>
        </w:tabs>
        <w:ind w:left="1440"/>
        <w:rPr>
          <w:rFonts w:ascii="Arial" w:hAnsi="Arial"/>
          <w:sz w:val="24"/>
        </w:rPr>
      </w:pPr>
      <w:r>
        <w:rPr>
          <w:rFonts w:ascii="Arial" w:hAnsi="Arial"/>
          <w:sz w:val="24"/>
        </w:rPr>
        <w:t>If the antibody was passively acquired from a blood component or plasma derivative, report: “Positive DAT probably due to a recent transfusion of blood components.  This patient may be experiencing a delayed hemolytic transfusion reaction due to passive transfer of anti-_____ [</w:t>
      </w:r>
      <w:r>
        <w:rPr>
          <w:rFonts w:ascii="Arial" w:hAnsi="Arial"/>
          <w:i/>
          <w:sz w:val="24"/>
        </w:rPr>
        <w:t>name(s) of the antibody(</w:t>
      </w:r>
      <w:proofErr w:type="spellStart"/>
      <w:r>
        <w:rPr>
          <w:rFonts w:ascii="Arial" w:hAnsi="Arial"/>
          <w:i/>
          <w:sz w:val="24"/>
        </w:rPr>
        <w:t>ies</w:t>
      </w:r>
      <w:proofErr w:type="spellEnd"/>
      <w:r>
        <w:rPr>
          <w:rFonts w:ascii="Arial" w:hAnsi="Arial"/>
          <w:i/>
          <w:sz w:val="24"/>
        </w:rPr>
        <w:t>)</w:t>
      </w:r>
      <w:r>
        <w:rPr>
          <w:rFonts w:ascii="Arial" w:hAnsi="Arial"/>
          <w:sz w:val="24"/>
        </w:rPr>
        <w:t>].”</w:t>
      </w:r>
    </w:p>
    <w:p w:rsidR="001B697A" w:rsidRDefault="001B697A">
      <w:pPr>
        <w:ind w:left="720"/>
        <w:rPr>
          <w:rFonts w:ascii="Arial" w:hAnsi="Arial"/>
          <w:sz w:val="24"/>
        </w:rPr>
      </w:pPr>
    </w:p>
    <w:p w:rsidR="001B697A" w:rsidRDefault="001B697A" w:rsidP="00936AA1">
      <w:pPr>
        <w:numPr>
          <w:ilvl w:val="0"/>
          <w:numId w:val="1"/>
        </w:numPr>
        <w:rPr>
          <w:rFonts w:ascii="Arial" w:hAnsi="Arial"/>
          <w:b/>
          <w:sz w:val="28"/>
        </w:rPr>
      </w:pPr>
      <w:r>
        <w:rPr>
          <w:rFonts w:ascii="Arial" w:hAnsi="Arial"/>
          <w:b/>
          <w:sz w:val="28"/>
        </w:rPr>
        <w:t>References</w:t>
      </w:r>
    </w:p>
    <w:p w:rsidR="001B697A" w:rsidRDefault="001B697A">
      <w:pPr>
        <w:rPr>
          <w:rFonts w:ascii="Arial" w:hAnsi="Arial"/>
          <w:sz w:val="24"/>
        </w:rPr>
      </w:pPr>
    </w:p>
    <w:p w:rsidR="001B697A" w:rsidRDefault="001B697A" w:rsidP="002D411F">
      <w:pPr>
        <w:numPr>
          <w:ilvl w:val="1"/>
          <w:numId w:val="1"/>
        </w:numPr>
        <w:tabs>
          <w:tab w:val="clear" w:pos="426"/>
        </w:tabs>
        <w:ind w:left="1440"/>
        <w:rPr>
          <w:rFonts w:ascii="Arial" w:hAnsi="Arial"/>
          <w:sz w:val="24"/>
        </w:rPr>
      </w:pPr>
      <w:r>
        <w:rPr>
          <w:rFonts w:ascii="Arial" w:hAnsi="Arial"/>
          <w:sz w:val="24"/>
        </w:rPr>
        <w:t>Standards for Hospital Transfusion Services Version 3 – February 2011, Canadian Society for Transfusion Medicine, 5.3.1.1.</w:t>
      </w:r>
    </w:p>
    <w:p w:rsidR="001B697A" w:rsidRDefault="001B697A">
      <w:pPr>
        <w:ind w:left="72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Roback JD, ed. AABB Technical Manual, 17</w:t>
      </w:r>
      <w:r>
        <w:rPr>
          <w:rFonts w:ascii="Arial" w:hAnsi="Arial"/>
          <w:sz w:val="24"/>
          <w:vertAlign w:val="superscript"/>
        </w:rPr>
        <w:t>th</w:t>
      </w:r>
      <w:r>
        <w:rPr>
          <w:rFonts w:ascii="Arial" w:hAnsi="Arial"/>
          <w:sz w:val="24"/>
        </w:rPr>
        <w:t xml:space="preserve"> ed. Bethesda, MD:  American Association of Blood Banks, 2011: 470-480.</w:t>
      </w:r>
    </w:p>
    <w:p w:rsidR="001B697A" w:rsidRDefault="001B697A" w:rsidP="002D411F">
      <w:pPr>
        <w:ind w:left="1440"/>
        <w:rPr>
          <w:rFonts w:ascii="Arial" w:hAnsi="Arial"/>
          <w:sz w:val="24"/>
        </w:rPr>
      </w:pPr>
    </w:p>
    <w:p w:rsidR="001B697A" w:rsidRDefault="001B697A" w:rsidP="002D411F">
      <w:pPr>
        <w:numPr>
          <w:ilvl w:val="1"/>
          <w:numId w:val="1"/>
        </w:numPr>
        <w:ind w:left="1440"/>
        <w:rPr>
          <w:rFonts w:ascii="Arial" w:hAnsi="Arial"/>
          <w:sz w:val="24"/>
        </w:rPr>
      </w:pPr>
      <w:r>
        <w:rPr>
          <w:rFonts w:ascii="Arial" w:hAnsi="Arial"/>
          <w:sz w:val="24"/>
        </w:rPr>
        <w:t>Manufacturer Insert. ELU-KIT</w:t>
      </w:r>
      <w:r>
        <w:rPr>
          <w:rFonts w:ascii="Arial" w:hAnsi="Arial"/>
          <w:sz w:val="24"/>
          <w:szCs w:val="24"/>
        </w:rPr>
        <w:sym w:font="Symbol" w:char="F0D4"/>
      </w:r>
      <w:r>
        <w:rPr>
          <w:rFonts w:ascii="Arial" w:hAnsi="Arial"/>
          <w:sz w:val="24"/>
        </w:rPr>
        <w:t>.PLUS. Red Cell Elution System. Dominion Biologicals Limited, DBL-26 revised 03/2011.</w:t>
      </w:r>
    </w:p>
    <w:p w:rsidR="001B697A" w:rsidRDefault="001B697A" w:rsidP="002D411F">
      <w:pPr>
        <w:ind w:left="1440"/>
        <w:rPr>
          <w:rFonts w:ascii="Arial" w:hAnsi="Arial"/>
          <w:sz w:val="24"/>
        </w:rPr>
      </w:pPr>
    </w:p>
    <w:p w:rsidR="001B697A" w:rsidRPr="00415B10" w:rsidRDefault="001B697A" w:rsidP="002D411F">
      <w:pPr>
        <w:numPr>
          <w:ilvl w:val="1"/>
          <w:numId w:val="1"/>
        </w:numPr>
        <w:ind w:left="1440"/>
        <w:rPr>
          <w:rFonts w:ascii="Arial" w:hAnsi="Arial"/>
          <w:sz w:val="24"/>
        </w:rPr>
      </w:pPr>
      <w:r w:rsidRPr="00415B10">
        <w:rPr>
          <w:rFonts w:ascii="Arial" w:hAnsi="Arial" w:cs="Arial"/>
          <w:sz w:val="24"/>
        </w:rPr>
        <w:t>Judd WJ. Methods in immunohematology. 3</w:t>
      </w:r>
      <w:r w:rsidRPr="00415B10">
        <w:rPr>
          <w:rFonts w:ascii="Arial" w:hAnsi="Arial" w:cs="Arial"/>
          <w:sz w:val="24"/>
          <w:vertAlign w:val="superscript"/>
        </w:rPr>
        <w:t>rd</w:t>
      </w:r>
      <w:r w:rsidRPr="00415B10">
        <w:rPr>
          <w:rFonts w:ascii="Arial" w:hAnsi="Arial" w:cs="Arial"/>
          <w:sz w:val="24"/>
        </w:rPr>
        <w:t xml:space="preserve"> ed. Bethesda, MD: </w:t>
      </w:r>
      <w:r>
        <w:rPr>
          <w:rFonts w:ascii="Arial" w:hAnsi="Arial" w:cs="Arial"/>
          <w:sz w:val="24"/>
        </w:rPr>
        <w:t>2008: 128-131</w:t>
      </w:r>
    </w:p>
    <w:p w:rsidR="001B697A" w:rsidRDefault="001B697A"/>
    <w:p w:rsidR="001B697A" w:rsidRPr="00D83415" w:rsidRDefault="001B697A" w:rsidP="00D83415">
      <w:pPr>
        <w:pStyle w:val="ListParagraph"/>
        <w:numPr>
          <w:ilvl w:val="0"/>
          <w:numId w:val="1"/>
        </w:numPr>
      </w:pPr>
      <w:r w:rsidRPr="00D83415">
        <w:rPr>
          <w:rFonts w:ascii="Arial" w:hAnsi="Arial" w:cs="Arial"/>
          <w:b/>
          <w:sz w:val="28"/>
          <w:szCs w:val="28"/>
        </w:rPr>
        <w:t>Revision History</w:t>
      </w:r>
    </w:p>
    <w:p w:rsidR="001B697A" w:rsidRDefault="001B697A" w:rsidP="00D83415">
      <w:pPr>
        <w:pStyle w:val="ListParagrap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5778"/>
      </w:tblGrid>
      <w:tr w:rsidR="001B697A" w:rsidTr="002D411F">
        <w:tc>
          <w:tcPr>
            <w:tcW w:w="3078" w:type="dxa"/>
            <w:shd w:val="clear" w:color="auto" w:fill="F2F2F2" w:themeFill="background1" w:themeFillShade="F2"/>
          </w:tcPr>
          <w:p w:rsidR="001B697A" w:rsidRPr="00F85C64" w:rsidRDefault="001B697A" w:rsidP="00F85C64">
            <w:pPr>
              <w:pStyle w:val="Header"/>
              <w:tabs>
                <w:tab w:val="left" w:pos="720"/>
              </w:tabs>
              <w:jc w:val="center"/>
              <w:rPr>
                <w:rFonts w:ascii="Arial" w:hAnsi="Arial" w:cs="Arial"/>
                <w:b/>
                <w:sz w:val="22"/>
              </w:rPr>
            </w:pPr>
            <w:r w:rsidRPr="00F85C64">
              <w:rPr>
                <w:rFonts w:ascii="Arial" w:hAnsi="Arial" w:cs="Arial"/>
                <w:b/>
                <w:sz w:val="22"/>
              </w:rPr>
              <w:t>Revision Date</w:t>
            </w:r>
          </w:p>
        </w:tc>
        <w:tc>
          <w:tcPr>
            <w:tcW w:w="5778" w:type="dxa"/>
            <w:shd w:val="clear" w:color="auto" w:fill="F2F2F2" w:themeFill="background1" w:themeFillShade="F2"/>
          </w:tcPr>
          <w:p w:rsidR="001B697A" w:rsidRPr="00F85C64" w:rsidRDefault="001B697A" w:rsidP="00F85C64">
            <w:pPr>
              <w:pStyle w:val="Header"/>
              <w:tabs>
                <w:tab w:val="left" w:pos="720"/>
              </w:tabs>
              <w:jc w:val="center"/>
              <w:rPr>
                <w:rFonts w:ascii="Arial" w:hAnsi="Arial" w:cs="Arial"/>
                <w:b/>
                <w:sz w:val="22"/>
              </w:rPr>
            </w:pPr>
            <w:r w:rsidRPr="00F85C64">
              <w:rPr>
                <w:rFonts w:ascii="Arial" w:hAnsi="Arial" w:cs="Arial"/>
                <w:b/>
                <w:sz w:val="22"/>
              </w:rPr>
              <w:t>Summary of Revision</w:t>
            </w:r>
          </w:p>
        </w:tc>
      </w:tr>
      <w:tr w:rsidR="001B697A" w:rsidTr="002D411F">
        <w:tc>
          <w:tcPr>
            <w:tcW w:w="3078" w:type="dxa"/>
          </w:tcPr>
          <w:p w:rsidR="001B697A" w:rsidRPr="00F85C64" w:rsidRDefault="001B697A" w:rsidP="00F85C64">
            <w:pPr>
              <w:pStyle w:val="Header"/>
              <w:tabs>
                <w:tab w:val="left" w:pos="720"/>
              </w:tabs>
              <w:rPr>
                <w:rFonts w:ascii="Arial" w:hAnsi="Arial" w:cs="Arial"/>
                <w:sz w:val="22"/>
              </w:rPr>
            </w:pPr>
            <w:r w:rsidRPr="00F85C64">
              <w:rPr>
                <w:rFonts w:ascii="Arial" w:hAnsi="Arial" w:cs="Arial"/>
                <w:sz w:val="22"/>
              </w:rPr>
              <w:t>March 1, 2014</w:t>
            </w:r>
          </w:p>
        </w:tc>
        <w:tc>
          <w:tcPr>
            <w:tcW w:w="5778" w:type="dxa"/>
          </w:tcPr>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Revised manual name</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Renumbered and/or revised wording in sections 2.0, 5.0 and 6.0</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Revised wording to include “3-5% screening cells and/or panel cells” in section 4.0</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Section 5.1- revised wording to include “A DAT that is positive with complement (anti-C3) and negative with IgG will usually result in a negative eluate and therefore is not required.”</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Section 6.1- changed RT. 004 to RT. 007</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Changed “label 6” to “label 7” in section 6.4</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In section 6.9.2, revised wording to include “and adjust the acid eluting solution and base buffering solution accordingly.”</w:t>
            </w:r>
          </w:p>
          <w:p w:rsidR="001B697A" w:rsidRPr="00F85C64" w:rsidRDefault="001B697A" w:rsidP="00F85C64">
            <w:pPr>
              <w:pStyle w:val="Header"/>
              <w:numPr>
                <w:ilvl w:val="0"/>
                <w:numId w:val="32"/>
              </w:numPr>
              <w:tabs>
                <w:tab w:val="left" w:pos="720"/>
              </w:tabs>
              <w:rPr>
                <w:rFonts w:ascii="Arial" w:hAnsi="Arial" w:cs="Arial"/>
                <w:sz w:val="22"/>
              </w:rPr>
            </w:pPr>
            <w:r w:rsidRPr="00F85C64">
              <w:rPr>
                <w:rFonts w:ascii="Arial" w:hAnsi="Arial" w:cs="Arial"/>
                <w:sz w:val="22"/>
              </w:rPr>
              <w:t xml:space="preserve">Revised list of references to include latest versions/editions. </w:t>
            </w:r>
          </w:p>
        </w:tc>
      </w:tr>
      <w:tr w:rsidR="00CC3F03" w:rsidTr="000F17E3">
        <w:trPr>
          <w:trHeight w:val="3398"/>
        </w:trPr>
        <w:tc>
          <w:tcPr>
            <w:tcW w:w="3078" w:type="dxa"/>
          </w:tcPr>
          <w:p w:rsidR="00CC3F03" w:rsidRPr="00F85C64" w:rsidRDefault="00CC3F03" w:rsidP="00F85C64">
            <w:pPr>
              <w:pStyle w:val="Header"/>
              <w:tabs>
                <w:tab w:val="left" w:pos="720"/>
              </w:tabs>
              <w:rPr>
                <w:rFonts w:ascii="Arial" w:hAnsi="Arial" w:cs="Arial"/>
                <w:sz w:val="22"/>
              </w:rPr>
            </w:pPr>
            <w:r>
              <w:rPr>
                <w:rFonts w:ascii="Arial" w:hAnsi="Arial" w:cs="Arial"/>
                <w:sz w:val="22"/>
              </w:rPr>
              <w:t>April 7, 2016</w:t>
            </w:r>
          </w:p>
        </w:tc>
        <w:tc>
          <w:tcPr>
            <w:tcW w:w="5778" w:type="dxa"/>
          </w:tcPr>
          <w:p w:rsidR="00CC3F03" w:rsidRPr="00CC3F03" w:rsidRDefault="00CC3F03" w:rsidP="00CC3F03">
            <w:pPr>
              <w:pStyle w:val="ListParagraph"/>
              <w:numPr>
                <w:ilvl w:val="0"/>
                <w:numId w:val="33"/>
              </w:numPr>
              <w:rPr>
                <w:rFonts w:ascii="Arial" w:hAnsi="Arial" w:cs="Arial"/>
                <w:bCs/>
                <w:sz w:val="22"/>
                <w:szCs w:val="24"/>
                <w:lang w:val="en-CA"/>
              </w:rPr>
            </w:pPr>
            <w:r w:rsidRPr="00CC3F03">
              <w:rPr>
                <w:rFonts w:ascii="Arial" w:hAnsi="Arial" w:cs="Arial"/>
                <w:bCs/>
                <w:sz w:val="22"/>
                <w:szCs w:val="24"/>
                <w:lang w:val="en-CA"/>
              </w:rPr>
              <w:t xml:space="preserve">Added 12 x 75 mm test tubes to section 4.0 </w:t>
            </w:r>
            <w:r w:rsidRPr="00CC3F03">
              <w:rPr>
                <w:rFonts w:ascii="Arial" w:hAnsi="Arial" w:cs="Arial"/>
                <w:bCs/>
                <w:i/>
                <w:sz w:val="22"/>
                <w:szCs w:val="24"/>
                <w:lang w:val="en-CA"/>
              </w:rPr>
              <w:t>Supplies</w:t>
            </w:r>
          </w:p>
          <w:p w:rsidR="00CC3F03" w:rsidRPr="00CC3F03" w:rsidRDefault="00CC3F03" w:rsidP="00CC3F03">
            <w:pPr>
              <w:pStyle w:val="ListParagraph"/>
              <w:numPr>
                <w:ilvl w:val="0"/>
                <w:numId w:val="33"/>
              </w:numPr>
              <w:rPr>
                <w:rFonts w:ascii="Arial" w:hAnsi="Arial"/>
                <w:sz w:val="22"/>
              </w:rPr>
            </w:pPr>
            <w:r w:rsidRPr="00CC3F03">
              <w:rPr>
                <w:rFonts w:ascii="Arial" w:hAnsi="Arial" w:cs="Arial"/>
                <w:bCs/>
                <w:sz w:val="22"/>
                <w:szCs w:val="24"/>
                <w:lang w:val="en-CA"/>
              </w:rPr>
              <w:t>Changed 10 x 75 mm test tubes to 12 x 75 mm in section 6.4</w:t>
            </w:r>
          </w:p>
          <w:p w:rsidR="00CC3F03" w:rsidRPr="00CC3F03" w:rsidRDefault="00CC3F03" w:rsidP="00CC3F03">
            <w:pPr>
              <w:pStyle w:val="ListParagraph"/>
              <w:numPr>
                <w:ilvl w:val="0"/>
                <w:numId w:val="33"/>
              </w:numPr>
              <w:rPr>
                <w:rFonts w:ascii="Arial" w:hAnsi="Arial" w:cs="Arial"/>
                <w:bCs/>
                <w:sz w:val="22"/>
                <w:szCs w:val="24"/>
                <w:lang w:val="en-CA"/>
              </w:rPr>
            </w:pPr>
            <w:r w:rsidRPr="00CC3F03">
              <w:rPr>
                <w:rFonts w:ascii="Arial" w:hAnsi="Arial"/>
                <w:sz w:val="22"/>
              </w:rPr>
              <w:t>Revised wording to include “Transfer 20 to 25 drops of packed patient red cells from the specimen tube to a clean labeled tube” in section 6.5</w:t>
            </w:r>
          </w:p>
          <w:p w:rsidR="00CC3F03" w:rsidRPr="00CC3F03" w:rsidRDefault="00CC3F03" w:rsidP="00CC3F03">
            <w:pPr>
              <w:pStyle w:val="ListParagraph"/>
              <w:numPr>
                <w:ilvl w:val="0"/>
                <w:numId w:val="33"/>
              </w:numPr>
              <w:rPr>
                <w:rFonts w:ascii="Arial" w:hAnsi="Arial"/>
                <w:sz w:val="22"/>
              </w:rPr>
            </w:pPr>
            <w:r>
              <w:rPr>
                <w:rFonts w:ascii="Arial" w:hAnsi="Arial"/>
                <w:sz w:val="22"/>
              </w:rPr>
              <w:t>Revised wording to include “</w:t>
            </w:r>
            <w:r w:rsidRPr="00CC3F03">
              <w:rPr>
                <w:rFonts w:ascii="Arial" w:hAnsi="Arial"/>
                <w:sz w:val="22"/>
              </w:rPr>
              <w:t>Centrifuge last wash for 5 minutes at 3400 rpm then transfer to another clean labeled tube. Set aside for parallel testing with eluate</w:t>
            </w:r>
            <w:r>
              <w:rPr>
                <w:rFonts w:ascii="Arial" w:hAnsi="Arial"/>
                <w:sz w:val="22"/>
              </w:rPr>
              <w:t>” in section 6.8.1</w:t>
            </w:r>
          </w:p>
          <w:p w:rsidR="00CC3F03" w:rsidRPr="00CC3F03" w:rsidRDefault="00CC3F03" w:rsidP="00CC3F03">
            <w:pPr>
              <w:pStyle w:val="ListParagraph"/>
              <w:numPr>
                <w:ilvl w:val="0"/>
                <w:numId w:val="33"/>
              </w:numPr>
              <w:rPr>
                <w:rFonts w:ascii="Arial" w:hAnsi="Arial"/>
                <w:sz w:val="22"/>
              </w:rPr>
            </w:pPr>
            <w:r>
              <w:rPr>
                <w:rFonts w:ascii="Arial" w:hAnsi="Arial"/>
                <w:sz w:val="22"/>
              </w:rPr>
              <w:t>Revised wording to include “</w:t>
            </w:r>
            <w:r w:rsidRPr="00CC3F03">
              <w:rPr>
                <w:rFonts w:ascii="Arial" w:hAnsi="Arial"/>
                <w:sz w:val="22"/>
              </w:rPr>
              <w:t>for 5 minutes at 3500 rpm</w:t>
            </w:r>
            <w:r>
              <w:rPr>
                <w:rFonts w:ascii="Arial" w:hAnsi="Arial"/>
                <w:sz w:val="22"/>
              </w:rPr>
              <w:t>” in section 6.9.9</w:t>
            </w:r>
          </w:p>
          <w:p w:rsidR="00CC3F03" w:rsidRPr="00CC3F03" w:rsidRDefault="00CC3F03" w:rsidP="00CC3F03">
            <w:pPr>
              <w:pStyle w:val="ListParagraph"/>
              <w:numPr>
                <w:ilvl w:val="0"/>
                <w:numId w:val="33"/>
              </w:numPr>
              <w:rPr>
                <w:rFonts w:ascii="Arial" w:hAnsi="Arial" w:cs="Arial"/>
                <w:bCs/>
                <w:sz w:val="24"/>
                <w:szCs w:val="24"/>
                <w:lang w:val="en-CA"/>
              </w:rPr>
            </w:pPr>
            <w:r>
              <w:rPr>
                <w:rFonts w:ascii="Arial" w:hAnsi="Arial"/>
                <w:sz w:val="22"/>
              </w:rPr>
              <w:t>Revised wording in section 6.10</w:t>
            </w:r>
          </w:p>
        </w:tc>
      </w:tr>
    </w:tbl>
    <w:p w:rsidR="001B697A" w:rsidRDefault="001B697A" w:rsidP="00D83415">
      <w:pPr>
        <w:pStyle w:val="ListParagraph"/>
      </w:pPr>
    </w:p>
    <w:p w:rsidR="002D411F" w:rsidRDefault="002D411F">
      <w:pPr>
        <w:pStyle w:val="Heading8"/>
      </w:pPr>
    </w:p>
    <w:p w:rsidR="002D411F" w:rsidRDefault="002D411F">
      <w:pPr>
        <w:pStyle w:val="Heading8"/>
      </w:pPr>
    </w:p>
    <w:p w:rsidR="002D411F" w:rsidRDefault="002D411F">
      <w:pPr>
        <w:pStyle w:val="Heading8"/>
      </w:pPr>
    </w:p>
    <w:p w:rsidR="00CC3F03" w:rsidRDefault="00CC3F03">
      <w:pPr>
        <w:pStyle w:val="Heading8"/>
      </w:pPr>
    </w:p>
    <w:p w:rsidR="00CC3F03" w:rsidRDefault="00CC3F03">
      <w:pPr>
        <w:rPr>
          <w:rFonts w:ascii="Arial" w:hAnsi="Arial"/>
          <w:b/>
          <w:sz w:val="28"/>
          <w:u w:val="single"/>
        </w:rPr>
      </w:pPr>
      <w:r>
        <w:br w:type="page"/>
      </w:r>
    </w:p>
    <w:p w:rsidR="00CC3F03" w:rsidRDefault="00CC3F03">
      <w:pPr>
        <w:pStyle w:val="Heading8"/>
      </w:pPr>
    </w:p>
    <w:p w:rsidR="001B697A" w:rsidRDefault="00CC3F03">
      <w:pPr>
        <w:pStyle w:val="Heading8"/>
      </w:pPr>
      <w:r>
        <w:t>T</w:t>
      </w:r>
      <w:r w:rsidR="001B697A">
        <w:t>able NRT.010 -1</w:t>
      </w:r>
    </w:p>
    <w:p w:rsidR="001B697A" w:rsidRDefault="001B697A">
      <w:pPr>
        <w:jc w:val="center"/>
        <w:rPr>
          <w:rFonts w:ascii="Arial" w:hAnsi="Arial"/>
          <w:sz w:val="24"/>
        </w:rPr>
      </w:pPr>
    </w:p>
    <w:p w:rsidR="001B697A" w:rsidRDefault="001B697A">
      <w:pPr>
        <w:rPr>
          <w:rFonts w:ascii="Arial" w:hAnsi="Arial"/>
          <w:sz w:val="24"/>
        </w:rPr>
      </w:pPr>
      <w:r>
        <w:rPr>
          <w:rFonts w:ascii="Arial" w:hAnsi="Arial"/>
          <w:sz w:val="24"/>
        </w:rPr>
        <w:t>Various drugs are known to be associated with a positive DAT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944"/>
        <w:gridCol w:w="2970"/>
        <w:gridCol w:w="2430"/>
      </w:tblGrid>
      <w:tr w:rsidR="001B697A" w:rsidTr="00AB7F2F">
        <w:trPr>
          <w:jc w:val="center"/>
        </w:trPr>
        <w:tc>
          <w:tcPr>
            <w:tcW w:w="2214" w:type="dxa"/>
          </w:tcPr>
          <w:p w:rsidR="001B697A" w:rsidRDefault="001B697A">
            <w:pPr>
              <w:rPr>
                <w:rFonts w:ascii="Arial" w:hAnsi="Arial"/>
                <w:sz w:val="24"/>
              </w:rPr>
            </w:pPr>
            <w:r>
              <w:rPr>
                <w:rFonts w:ascii="Arial" w:hAnsi="Arial"/>
                <w:sz w:val="24"/>
              </w:rPr>
              <w:t>MECHANISM</w:t>
            </w:r>
          </w:p>
        </w:tc>
        <w:tc>
          <w:tcPr>
            <w:tcW w:w="1944" w:type="dxa"/>
          </w:tcPr>
          <w:p w:rsidR="001B697A" w:rsidRDefault="001B697A">
            <w:pPr>
              <w:rPr>
                <w:rFonts w:ascii="Arial" w:hAnsi="Arial"/>
                <w:sz w:val="24"/>
              </w:rPr>
            </w:pPr>
            <w:r>
              <w:rPr>
                <w:rFonts w:ascii="Arial" w:hAnsi="Arial"/>
                <w:sz w:val="24"/>
              </w:rPr>
              <w:t>DRUG</w:t>
            </w:r>
          </w:p>
        </w:tc>
        <w:tc>
          <w:tcPr>
            <w:tcW w:w="2970" w:type="dxa"/>
          </w:tcPr>
          <w:p w:rsidR="001B697A" w:rsidRDefault="001B697A">
            <w:pPr>
              <w:rPr>
                <w:rFonts w:ascii="Arial" w:hAnsi="Arial"/>
                <w:sz w:val="24"/>
              </w:rPr>
            </w:pPr>
            <w:r>
              <w:rPr>
                <w:rFonts w:ascii="Arial" w:hAnsi="Arial"/>
                <w:sz w:val="24"/>
              </w:rPr>
              <w:t>IMMUNOGLOBULIN CLASS</w:t>
            </w:r>
          </w:p>
        </w:tc>
        <w:tc>
          <w:tcPr>
            <w:tcW w:w="2430" w:type="dxa"/>
          </w:tcPr>
          <w:p w:rsidR="001B697A" w:rsidRDefault="001B697A">
            <w:pPr>
              <w:rPr>
                <w:rFonts w:ascii="Arial" w:hAnsi="Arial"/>
                <w:sz w:val="24"/>
              </w:rPr>
            </w:pPr>
            <w:r>
              <w:rPr>
                <w:rFonts w:ascii="Arial" w:hAnsi="Arial"/>
                <w:sz w:val="24"/>
              </w:rPr>
              <w:t>ACTIVITY</w:t>
            </w:r>
          </w:p>
        </w:tc>
      </w:tr>
      <w:tr w:rsidR="001B697A" w:rsidTr="00AB7F2F">
        <w:trPr>
          <w:jc w:val="center"/>
        </w:trPr>
        <w:tc>
          <w:tcPr>
            <w:tcW w:w="2214" w:type="dxa"/>
          </w:tcPr>
          <w:p w:rsidR="001B697A" w:rsidRDefault="001B697A">
            <w:pPr>
              <w:rPr>
                <w:rFonts w:ascii="Arial" w:hAnsi="Arial"/>
                <w:sz w:val="24"/>
              </w:rPr>
            </w:pPr>
            <w:r>
              <w:rPr>
                <w:rFonts w:ascii="Arial" w:hAnsi="Arial"/>
                <w:sz w:val="24"/>
              </w:rPr>
              <w:t>Drug Adsorption</w:t>
            </w:r>
          </w:p>
        </w:tc>
        <w:tc>
          <w:tcPr>
            <w:tcW w:w="1944" w:type="dxa"/>
          </w:tcPr>
          <w:p w:rsidR="001B697A" w:rsidRDefault="001B697A">
            <w:pPr>
              <w:rPr>
                <w:rFonts w:ascii="Arial" w:hAnsi="Arial"/>
                <w:sz w:val="24"/>
              </w:rPr>
            </w:pPr>
            <w:proofErr w:type="spellStart"/>
            <w:r>
              <w:rPr>
                <w:rFonts w:ascii="Arial" w:hAnsi="Arial"/>
                <w:sz w:val="24"/>
              </w:rPr>
              <w:t>Penicillins</w:t>
            </w:r>
            <w:proofErr w:type="spellEnd"/>
            <w:r>
              <w:rPr>
                <w:rFonts w:ascii="Arial" w:hAnsi="Arial"/>
                <w:sz w:val="24"/>
              </w:rPr>
              <w:t>,</w:t>
            </w:r>
          </w:p>
          <w:p w:rsidR="001B697A" w:rsidRDefault="001B697A">
            <w:pPr>
              <w:rPr>
                <w:rFonts w:ascii="Arial" w:hAnsi="Arial"/>
                <w:sz w:val="24"/>
              </w:rPr>
            </w:pPr>
            <w:r>
              <w:rPr>
                <w:rFonts w:ascii="Arial" w:hAnsi="Arial"/>
                <w:sz w:val="24"/>
              </w:rPr>
              <w:t>Cephalosporins</w:t>
            </w:r>
          </w:p>
        </w:tc>
        <w:tc>
          <w:tcPr>
            <w:tcW w:w="2970" w:type="dxa"/>
          </w:tcPr>
          <w:p w:rsidR="001B697A" w:rsidRDefault="001B697A">
            <w:pPr>
              <w:rPr>
                <w:rFonts w:ascii="Arial" w:hAnsi="Arial"/>
                <w:sz w:val="24"/>
              </w:rPr>
            </w:pPr>
            <w:r>
              <w:rPr>
                <w:rFonts w:ascii="Arial" w:hAnsi="Arial"/>
                <w:sz w:val="24"/>
              </w:rPr>
              <w:t>IgG (sometimes C3 also)</w:t>
            </w:r>
          </w:p>
        </w:tc>
        <w:tc>
          <w:tcPr>
            <w:tcW w:w="2430" w:type="dxa"/>
          </w:tcPr>
          <w:p w:rsidR="001B697A" w:rsidRDefault="001B697A">
            <w:pPr>
              <w:rPr>
                <w:rFonts w:ascii="Arial" w:hAnsi="Arial"/>
                <w:sz w:val="24"/>
              </w:rPr>
            </w:pPr>
            <w:r>
              <w:rPr>
                <w:rFonts w:ascii="Arial" w:hAnsi="Arial"/>
                <w:sz w:val="24"/>
              </w:rPr>
              <w:t>React with drug-coated RBCs but not untreated RBCs</w:t>
            </w:r>
          </w:p>
        </w:tc>
      </w:tr>
      <w:tr w:rsidR="001B697A" w:rsidTr="00AB7F2F">
        <w:trPr>
          <w:jc w:val="center"/>
        </w:trPr>
        <w:tc>
          <w:tcPr>
            <w:tcW w:w="2214" w:type="dxa"/>
          </w:tcPr>
          <w:p w:rsidR="001B697A" w:rsidRDefault="001B697A">
            <w:pPr>
              <w:rPr>
                <w:rFonts w:ascii="Arial" w:hAnsi="Arial"/>
                <w:sz w:val="24"/>
              </w:rPr>
            </w:pPr>
            <w:r>
              <w:rPr>
                <w:rFonts w:ascii="Arial" w:hAnsi="Arial"/>
                <w:sz w:val="24"/>
              </w:rPr>
              <w:t>Immune Complex</w:t>
            </w:r>
          </w:p>
        </w:tc>
        <w:tc>
          <w:tcPr>
            <w:tcW w:w="1944" w:type="dxa"/>
          </w:tcPr>
          <w:p w:rsidR="001B697A" w:rsidRDefault="001B697A">
            <w:pPr>
              <w:rPr>
                <w:rFonts w:ascii="Arial" w:hAnsi="Arial"/>
                <w:sz w:val="24"/>
              </w:rPr>
            </w:pPr>
            <w:r>
              <w:rPr>
                <w:rFonts w:ascii="Arial" w:hAnsi="Arial"/>
                <w:sz w:val="24"/>
              </w:rPr>
              <w:t>Phenacetin, quinidine, third generation cephalosporins antihistamines</w:t>
            </w:r>
          </w:p>
        </w:tc>
        <w:tc>
          <w:tcPr>
            <w:tcW w:w="2970" w:type="dxa"/>
          </w:tcPr>
          <w:p w:rsidR="001B697A" w:rsidRDefault="001B697A">
            <w:pPr>
              <w:rPr>
                <w:rFonts w:ascii="Arial" w:hAnsi="Arial"/>
                <w:sz w:val="24"/>
              </w:rPr>
            </w:pPr>
            <w:r>
              <w:rPr>
                <w:rFonts w:ascii="Arial" w:hAnsi="Arial"/>
                <w:sz w:val="24"/>
              </w:rPr>
              <w:t>C3 (sometimes IgG also)</w:t>
            </w:r>
          </w:p>
        </w:tc>
        <w:tc>
          <w:tcPr>
            <w:tcW w:w="2430" w:type="dxa"/>
          </w:tcPr>
          <w:p w:rsidR="001B697A" w:rsidRDefault="001B697A">
            <w:pPr>
              <w:rPr>
                <w:rFonts w:ascii="Arial" w:hAnsi="Arial"/>
                <w:sz w:val="24"/>
              </w:rPr>
            </w:pPr>
            <w:r>
              <w:rPr>
                <w:rFonts w:ascii="Arial" w:hAnsi="Arial"/>
                <w:sz w:val="24"/>
              </w:rPr>
              <w:t>Serum reacts with RBCs only in the presence of the drug; eluate nonreactive</w:t>
            </w:r>
          </w:p>
        </w:tc>
      </w:tr>
      <w:tr w:rsidR="001B697A" w:rsidTr="00AB7F2F">
        <w:trPr>
          <w:jc w:val="center"/>
        </w:trPr>
        <w:tc>
          <w:tcPr>
            <w:tcW w:w="2214" w:type="dxa"/>
          </w:tcPr>
          <w:p w:rsidR="001B697A" w:rsidRDefault="001B697A">
            <w:pPr>
              <w:rPr>
                <w:rFonts w:ascii="Arial" w:hAnsi="Arial"/>
                <w:sz w:val="24"/>
              </w:rPr>
            </w:pPr>
            <w:r>
              <w:rPr>
                <w:rFonts w:ascii="Arial" w:hAnsi="Arial"/>
                <w:sz w:val="24"/>
              </w:rPr>
              <w:t>Nonimmunologic</w:t>
            </w:r>
          </w:p>
          <w:p w:rsidR="001B697A" w:rsidRDefault="001B697A">
            <w:pPr>
              <w:rPr>
                <w:rFonts w:ascii="Arial" w:hAnsi="Arial"/>
                <w:sz w:val="24"/>
              </w:rPr>
            </w:pPr>
            <w:r>
              <w:rPr>
                <w:rFonts w:ascii="Arial" w:hAnsi="Arial"/>
                <w:sz w:val="24"/>
              </w:rPr>
              <w:t>Protein</w:t>
            </w:r>
          </w:p>
          <w:p w:rsidR="001B697A" w:rsidRDefault="001B697A">
            <w:pPr>
              <w:rPr>
                <w:rFonts w:ascii="Arial" w:hAnsi="Arial"/>
                <w:sz w:val="24"/>
              </w:rPr>
            </w:pPr>
            <w:r>
              <w:rPr>
                <w:rFonts w:ascii="Arial" w:hAnsi="Arial"/>
                <w:sz w:val="24"/>
              </w:rPr>
              <w:t>Adsorption</w:t>
            </w:r>
          </w:p>
        </w:tc>
        <w:tc>
          <w:tcPr>
            <w:tcW w:w="1944" w:type="dxa"/>
          </w:tcPr>
          <w:p w:rsidR="001B697A" w:rsidRDefault="001B697A">
            <w:pPr>
              <w:rPr>
                <w:rFonts w:ascii="Arial" w:hAnsi="Arial"/>
                <w:sz w:val="24"/>
              </w:rPr>
            </w:pPr>
            <w:r>
              <w:rPr>
                <w:rFonts w:ascii="Arial" w:hAnsi="Arial"/>
                <w:sz w:val="24"/>
              </w:rPr>
              <w:t>Cephalothin</w:t>
            </w:r>
          </w:p>
        </w:tc>
        <w:tc>
          <w:tcPr>
            <w:tcW w:w="2970" w:type="dxa"/>
          </w:tcPr>
          <w:p w:rsidR="001B697A" w:rsidRDefault="001B697A">
            <w:pPr>
              <w:rPr>
                <w:rFonts w:ascii="Arial" w:hAnsi="Arial"/>
                <w:sz w:val="24"/>
              </w:rPr>
            </w:pPr>
            <w:r>
              <w:rPr>
                <w:rFonts w:ascii="Arial" w:hAnsi="Arial"/>
                <w:sz w:val="24"/>
              </w:rPr>
              <w:t>IgG + C3 + albumin, etc.</w:t>
            </w:r>
          </w:p>
        </w:tc>
        <w:tc>
          <w:tcPr>
            <w:tcW w:w="2430" w:type="dxa"/>
          </w:tcPr>
          <w:p w:rsidR="001B697A" w:rsidRDefault="001B697A">
            <w:pPr>
              <w:rPr>
                <w:rFonts w:ascii="Arial" w:hAnsi="Arial"/>
                <w:sz w:val="24"/>
              </w:rPr>
            </w:pPr>
            <w:r>
              <w:rPr>
                <w:rFonts w:ascii="Arial" w:hAnsi="Arial"/>
                <w:sz w:val="24"/>
              </w:rPr>
              <w:t xml:space="preserve">Serum may contain low </w:t>
            </w:r>
            <w:proofErr w:type="spellStart"/>
            <w:r>
              <w:rPr>
                <w:rFonts w:ascii="Arial" w:hAnsi="Arial"/>
                <w:sz w:val="24"/>
              </w:rPr>
              <w:t>titre</w:t>
            </w:r>
            <w:proofErr w:type="spellEnd"/>
            <w:r>
              <w:rPr>
                <w:rFonts w:ascii="Arial" w:hAnsi="Arial"/>
                <w:sz w:val="24"/>
              </w:rPr>
              <w:t xml:space="preserve"> anti-drug antibody; eluate nonreactive</w:t>
            </w:r>
          </w:p>
        </w:tc>
      </w:tr>
      <w:tr w:rsidR="001B697A" w:rsidTr="00AB7F2F">
        <w:trPr>
          <w:jc w:val="center"/>
        </w:trPr>
        <w:tc>
          <w:tcPr>
            <w:tcW w:w="2214" w:type="dxa"/>
          </w:tcPr>
          <w:p w:rsidR="001B697A" w:rsidRDefault="001B697A">
            <w:pPr>
              <w:rPr>
                <w:rFonts w:ascii="Arial" w:hAnsi="Arial"/>
                <w:sz w:val="24"/>
              </w:rPr>
            </w:pPr>
            <w:r>
              <w:rPr>
                <w:rFonts w:ascii="Arial" w:hAnsi="Arial"/>
                <w:sz w:val="24"/>
              </w:rPr>
              <w:t>Autoimmunity</w:t>
            </w:r>
          </w:p>
        </w:tc>
        <w:tc>
          <w:tcPr>
            <w:tcW w:w="1944" w:type="dxa"/>
          </w:tcPr>
          <w:p w:rsidR="001B697A" w:rsidRDefault="001B697A">
            <w:pPr>
              <w:rPr>
                <w:rFonts w:ascii="Arial" w:hAnsi="Arial"/>
                <w:sz w:val="24"/>
              </w:rPr>
            </w:pPr>
            <w:r>
              <w:rPr>
                <w:rFonts w:ascii="Arial" w:hAnsi="Arial"/>
                <w:sz w:val="24"/>
                <w:szCs w:val="24"/>
              </w:rPr>
              <w:sym w:font="Symbol" w:char="F061"/>
            </w:r>
            <w:r>
              <w:rPr>
                <w:rFonts w:ascii="Arial" w:hAnsi="Arial"/>
                <w:sz w:val="24"/>
              </w:rPr>
              <w:t>-methyldopa</w:t>
            </w:r>
          </w:p>
          <w:p w:rsidR="001B697A" w:rsidRDefault="001B697A">
            <w:pPr>
              <w:rPr>
                <w:rFonts w:ascii="Arial" w:hAnsi="Arial"/>
                <w:sz w:val="24"/>
              </w:rPr>
            </w:pPr>
            <w:r>
              <w:rPr>
                <w:rFonts w:ascii="Arial" w:hAnsi="Arial"/>
                <w:sz w:val="24"/>
              </w:rPr>
              <w:t>(</w:t>
            </w:r>
            <w:proofErr w:type="spellStart"/>
            <w:r>
              <w:rPr>
                <w:rFonts w:ascii="Arial" w:hAnsi="Arial"/>
                <w:sz w:val="24"/>
              </w:rPr>
              <w:t>Aldomet</w:t>
            </w:r>
            <w:proofErr w:type="spellEnd"/>
            <w:r>
              <w:rPr>
                <w:rFonts w:ascii="Arial" w:hAnsi="Arial"/>
                <w:sz w:val="24"/>
              </w:rPr>
              <w:t>), procainamide</w:t>
            </w:r>
          </w:p>
        </w:tc>
        <w:tc>
          <w:tcPr>
            <w:tcW w:w="2970" w:type="dxa"/>
          </w:tcPr>
          <w:p w:rsidR="001B697A" w:rsidRDefault="001B697A">
            <w:pPr>
              <w:rPr>
                <w:rFonts w:ascii="Arial" w:hAnsi="Arial"/>
                <w:sz w:val="24"/>
              </w:rPr>
            </w:pPr>
            <w:r>
              <w:rPr>
                <w:rFonts w:ascii="Arial" w:hAnsi="Arial"/>
                <w:sz w:val="24"/>
              </w:rPr>
              <w:t>IgG (rarely C3 also)</w:t>
            </w:r>
          </w:p>
        </w:tc>
        <w:tc>
          <w:tcPr>
            <w:tcW w:w="2430" w:type="dxa"/>
          </w:tcPr>
          <w:p w:rsidR="001B697A" w:rsidRDefault="001B697A">
            <w:pPr>
              <w:rPr>
                <w:rFonts w:ascii="Arial" w:hAnsi="Arial"/>
                <w:sz w:val="24"/>
              </w:rPr>
            </w:pPr>
            <w:r>
              <w:rPr>
                <w:rFonts w:ascii="Arial" w:hAnsi="Arial"/>
                <w:sz w:val="24"/>
              </w:rPr>
              <w:t>React with normal RBCs in absence of the drug</w:t>
            </w:r>
          </w:p>
        </w:tc>
      </w:tr>
    </w:tbl>
    <w:p w:rsidR="001B697A" w:rsidRDefault="001B697A">
      <w:pPr>
        <w:rPr>
          <w:rFonts w:ascii="Arial" w:hAnsi="Arial"/>
          <w:sz w:val="24"/>
        </w:rPr>
      </w:pPr>
    </w:p>
    <w:p w:rsidR="001B697A" w:rsidRDefault="001B697A">
      <w:pPr>
        <w:rPr>
          <w:rFonts w:ascii="Arial" w:hAnsi="Arial"/>
          <w:sz w:val="24"/>
        </w:rPr>
      </w:pPr>
    </w:p>
    <w:p w:rsidR="001B697A" w:rsidRDefault="001B697A" w:rsidP="00415B10">
      <w:pPr>
        <w:rPr>
          <w:rFonts w:ascii="Arial" w:hAnsi="Arial"/>
          <w:sz w:val="24"/>
        </w:rPr>
      </w:pPr>
      <w:r>
        <w:rPr>
          <w:rFonts w:ascii="Arial" w:hAnsi="Arial"/>
          <w:sz w:val="24"/>
        </w:rPr>
        <w:t>References specific for drug induced positive DAT.</w:t>
      </w:r>
    </w:p>
    <w:p w:rsidR="001B697A" w:rsidRDefault="001B697A" w:rsidP="00415B10">
      <w:pPr>
        <w:rPr>
          <w:rFonts w:ascii="Arial" w:hAnsi="Arial"/>
          <w:sz w:val="24"/>
        </w:rPr>
      </w:pPr>
    </w:p>
    <w:p w:rsidR="001B697A" w:rsidRDefault="001B697A" w:rsidP="00415B10">
      <w:pPr>
        <w:numPr>
          <w:ilvl w:val="0"/>
          <w:numId w:val="5"/>
        </w:numPr>
        <w:rPr>
          <w:rFonts w:ascii="Arial" w:hAnsi="Arial"/>
          <w:sz w:val="24"/>
        </w:rPr>
      </w:pPr>
      <w:r>
        <w:rPr>
          <w:rFonts w:ascii="Arial" w:hAnsi="Arial"/>
          <w:sz w:val="24"/>
        </w:rPr>
        <w:t>Reid M, Lomas-Francis C, The Blood Group Antigen Facts Book 2</w:t>
      </w:r>
      <w:r w:rsidRPr="00800308">
        <w:rPr>
          <w:rFonts w:ascii="Arial" w:hAnsi="Arial"/>
          <w:sz w:val="24"/>
          <w:vertAlign w:val="superscript"/>
        </w:rPr>
        <w:t>nd</w:t>
      </w:r>
      <w:r>
        <w:rPr>
          <w:rFonts w:ascii="Arial" w:hAnsi="Arial"/>
          <w:sz w:val="24"/>
        </w:rPr>
        <w:t xml:space="preserve"> Edition, Academic Press, 2004.</w:t>
      </w:r>
    </w:p>
    <w:p w:rsidR="001B697A" w:rsidRDefault="001B697A" w:rsidP="00415B10">
      <w:pPr>
        <w:numPr>
          <w:ilvl w:val="0"/>
          <w:numId w:val="5"/>
        </w:numPr>
        <w:rPr>
          <w:rFonts w:ascii="Arial" w:hAnsi="Arial"/>
          <w:sz w:val="24"/>
        </w:rPr>
      </w:pPr>
      <w:r>
        <w:rPr>
          <w:rFonts w:ascii="Arial" w:hAnsi="Arial"/>
          <w:sz w:val="24"/>
        </w:rPr>
        <w:t>CSTM Bulletin Vol.4, Sept 1992.</w:t>
      </w:r>
    </w:p>
    <w:p w:rsidR="001B697A" w:rsidRDefault="001B697A">
      <w:pPr>
        <w:numPr>
          <w:ilvl w:val="0"/>
          <w:numId w:val="5"/>
        </w:numPr>
      </w:pPr>
      <w:r>
        <w:rPr>
          <w:rFonts w:ascii="Arial" w:hAnsi="Arial"/>
          <w:sz w:val="24"/>
        </w:rPr>
        <w:t>Roback JD, ed. AABB, 17</w:t>
      </w:r>
      <w:r>
        <w:rPr>
          <w:rFonts w:ascii="Arial" w:hAnsi="Arial"/>
          <w:sz w:val="24"/>
          <w:vertAlign w:val="superscript"/>
        </w:rPr>
        <w:t>th</w:t>
      </w:r>
      <w:r>
        <w:rPr>
          <w:rFonts w:ascii="Arial" w:hAnsi="Arial"/>
          <w:sz w:val="24"/>
        </w:rPr>
        <w:t xml:space="preserve"> ed. Bethesda, MD:  American Association of Blood Banks, 2011: 519-522.</w:t>
      </w:r>
    </w:p>
    <w:p w:rsidR="001B697A" w:rsidRPr="00CC3F03" w:rsidRDefault="001B697A">
      <w:pPr>
        <w:rPr>
          <w:rFonts w:ascii="Arial" w:hAnsi="Arial" w:cs="Arial"/>
          <w:bCs/>
          <w:sz w:val="24"/>
          <w:lang w:val="en-GB"/>
        </w:rPr>
      </w:pPr>
    </w:p>
    <w:sectPr w:rsidR="001B697A" w:rsidRPr="00CC3F03" w:rsidSect="002D411F">
      <w:headerReference w:type="default" r:id="rId8"/>
      <w:footerReference w:type="default" r:id="rId9"/>
      <w:headerReference w:type="first" r:id="rId10"/>
      <w:footerReference w:type="first" r:id="rId11"/>
      <w:pgSz w:w="12240" w:h="15840" w:code="1"/>
      <w:pgMar w:top="1166" w:right="1800" w:bottom="245" w:left="180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B7" w:rsidRDefault="007C05B7">
      <w:r>
        <w:separator/>
      </w:r>
    </w:p>
  </w:endnote>
  <w:endnote w:type="continuationSeparator" w:id="0">
    <w:p w:rsidR="007C05B7" w:rsidRDefault="007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D411F" w:rsidTr="00F377A1">
      <w:trPr>
        <w:trHeight w:val="720"/>
      </w:trPr>
      <w:tc>
        <w:tcPr>
          <w:tcW w:w="1368" w:type="dxa"/>
        </w:tcPr>
        <w:p w:rsidR="002D411F" w:rsidRDefault="002D411F" w:rsidP="00F377A1">
          <w:pPr>
            <w:pStyle w:val="Footer"/>
            <w:jc w:val="center"/>
            <w:rPr>
              <w:rFonts w:ascii="Verdana" w:hAnsi="Verdana"/>
              <w:sz w:val="8"/>
            </w:rPr>
          </w:pPr>
        </w:p>
        <w:p w:rsidR="002D411F" w:rsidRDefault="002D411F" w:rsidP="00F377A1">
          <w:pPr>
            <w:pStyle w:val="Footer"/>
            <w:jc w:val="center"/>
            <w:rPr>
              <w:rFonts w:ascii="Verdana" w:hAnsi="Verdana"/>
              <w:sz w:val="8"/>
            </w:rPr>
          </w:pPr>
          <w:r>
            <w:rPr>
              <w:noProof/>
            </w:rPr>
            <w:drawing>
              <wp:inline distT="0" distB="0" distL="0" distR="0" wp14:anchorId="7ED1848B" wp14:editId="46D6B5F7">
                <wp:extent cx="640080" cy="449580"/>
                <wp:effectExtent l="0" t="0" r="7620" b="7620"/>
                <wp:docPr id="7" name="Picture 7"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449580"/>
                        </a:xfrm>
                        <a:prstGeom prst="rect">
                          <a:avLst/>
                        </a:prstGeom>
                        <a:noFill/>
                        <a:ln>
                          <a:noFill/>
                        </a:ln>
                      </pic:spPr>
                    </pic:pic>
                  </a:graphicData>
                </a:graphic>
              </wp:inline>
            </w:drawing>
          </w:r>
        </w:p>
      </w:tc>
      <w:tc>
        <w:tcPr>
          <w:tcW w:w="5976" w:type="dxa"/>
        </w:tcPr>
        <w:p w:rsidR="002D411F" w:rsidRDefault="002D411F" w:rsidP="00F377A1">
          <w:pPr>
            <w:pStyle w:val="Footer"/>
            <w:jc w:val="center"/>
            <w:rPr>
              <w:rFonts w:ascii="Arial" w:hAnsi="Arial"/>
              <w:sz w:val="18"/>
            </w:rPr>
          </w:pPr>
        </w:p>
        <w:p w:rsidR="002D411F" w:rsidRDefault="002D411F" w:rsidP="00F377A1">
          <w:pPr>
            <w:pStyle w:val="Footer"/>
            <w:jc w:val="center"/>
            <w:rPr>
              <w:rFonts w:ascii="Arial" w:hAnsi="Arial"/>
              <w:sz w:val="18"/>
            </w:rPr>
          </w:pPr>
          <w:r>
            <w:rPr>
              <w:rFonts w:ascii="Arial" w:hAnsi="Arial"/>
              <w:sz w:val="18"/>
            </w:rPr>
            <w:t>Ontario Regional Blood Coordinating Network</w:t>
          </w:r>
        </w:p>
        <w:p w:rsidR="002D411F" w:rsidRDefault="002D411F" w:rsidP="00F377A1">
          <w:pPr>
            <w:pStyle w:val="Footer"/>
            <w:jc w:val="center"/>
            <w:rPr>
              <w:rFonts w:ascii="Arial" w:hAnsi="Arial"/>
              <w:sz w:val="18"/>
            </w:rPr>
          </w:pPr>
          <w:r>
            <w:rPr>
              <w:rFonts w:ascii="Arial" w:hAnsi="Arial"/>
              <w:sz w:val="18"/>
            </w:rPr>
            <w:t>Transfusion Technical Resource Manual</w:t>
          </w:r>
        </w:p>
        <w:p w:rsidR="002D411F" w:rsidRDefault="002D411F" w:rsidP="00F377A1">
          <w:pPr>
            <w:pStyle w:val="Footer"/>
            <w:jc w:val="center"/>
            <w:rPr>
              <w:rFonts w:ascii="Arial" w:hAnsi="Arial"/>
              <w:sz w:val="18"/>
            </w:rPr>
          </w:pPr>
        </w:p>
      </w:tc>
      <w:tc>
        <w:tcPr>
          <w:tcW w:w="1494" w:type="dxa"/>
        </w:tcPr>
        <w:p w:rsidR="002D411F" w:rsidRDefault="002D411F" w:rsidP="00F377A1">
          <w:pPr>
            <w:pStyle w:val="Footer"/>
            <w:jc w:val="right"/>
            <w:rPr>
              <w:rFonts w:ascii="Arial" w:hAnsi="Arial"/>
              <w:sz w:val="18"/>
            </w:rPr>
          </w:pPr>
        </w:p>
        <w:p w:rsidR="002D411F" w:rsidRDefault="002D411F" w:rsidP="00F377A1">
          <w:pPr>
            <w:pStyle w:val="Footer"/>
            <w:jc w:val="right"/>
            <w:rPr>
              <w:rFonts w:ascii="Arial" w:hAnsi="Arial"/>
              <w:sz w:val="18"/>
            </w:rPr>
          </w:pPr>
          <w:r>
            <w:rPr>
              <w:rFonts w:ascii="Arial" w:hAnsi="Arial"/>
              <w:sz w:val="18"/>
            </w:rPr>
            <w:t>NRT.010</w:t>
          </w:r>
          <w:r>
            <w:rPr>
              <w:rFonts w:ascii="Arial" w:hAnsi="Arial"/>
              <w:sz w:val="18"/>
            </w:rPr>
            <w:br/>
          </w:r>
        </w:p>
        <w:p w:rsidR="002D411F" w:rsidRDefault="002D411F" w:rsidP="00F377A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242C8">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242C8">
            <w:rPr>
              <w:rFonts w:ascii="Arial" w:hAnsi="Arial"/>
              <w:noProof/>
              <w:snapToGrid w:val="0"/>
              <w:sz w:val="18"/>
            </w:rPr>
            <w:t>9</w:t>
          </w:r>
          <w:r>
            <w:rPr>
              <w:rFonts w:ascii="Arial" w:hAnsi="Arial"/>
              <w:snapToGrid w:val="0"/>
              <w:sz w:val="18"/>
            </w:rPr>
            <w:fldChar w:fldCharType="end"/>
          </w:r>
        </w:p>
      </w:tc>
    </w:tr>
  </w:tbl>
  <w:p w:rsidR="001B697A" w:rsidRPr="002D411F" w:rsidRDefault="001B697A" w:rsidP="002D4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2D411F" w:rsidTr="00F377A1">
      <w:trPr>
        <w:trHeight w:val="720"/>
      </w:trPr>
      <w:tc>
        <w:tcPr>
          <w:tcW w:w="1368" w:type="dxa"/>
        </w:tcPr>
        <w:p w:rsidR="002D411F" w:rsidRDefault="002D411F" w:rsidP="00F377A1">
          <w:pPr>
            <w:pStyle w:val="Footer"/>
            <w:jc w:val="center"/>
            <w:rPr>
              <w:rFonts w:ascii="Verdana" w:hAnsi="Verdana"/>
              <w:sz w:val="8"/>
            </w:rPr>
          </w:pPr>
        </w:p>
        <w:p w:rsidR="002D411F" w:rsidRDefault="002D411F" w:rsidP="00F377A1">
          <w:pPr>
            <w:pStyle w:val="Footer"/>
            <w:jc w:val="center"/>
            <w:rPr>
              <w:rFonts w:ascii="Verdana" w:hAnsi="Verdana"/>
              <w:sz w:val="8"/>
            </w:rPr>
          </w:pPr>
          <w:r>
            <w:rPr>
              <w:noProof/>
            </w:rPr>
            <w:drawing>
              <wp:inline distT="0" distB="0" distL="0" distR="0" wp14:anchorId="2DB2AE7A" wp14:editId="3ADC37DE">
                <wp:extent cx="640080" cy="449580"/>
                <wp:effectExtent l="0" t="0" r="7620" b="7620"/>
                <wp:docPr id="6" name="Picture 6"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449580"/>
                        </a:xfrm>
                        <a:prstGeom prst="rect">
                          <a:avLst/>
                        </a:prstGeom>
                        <a:noFill/>
                        <a:ln>
                          <a:noFill/>
                        </a:ln>
                      </pic:spPr>
                    </pic:pic>
                  </a:graphicData>
                </a:graphic>
              </wp:inline>
            </w:drawing>
          </w:r>
        </w:p>
      </w:tc>
      <w:tc>
        <w:tcPr>
          <w:tcW w:w="5976" w:type="dxa"/>
        </w:tcPr>
        <w:p w:rsidR="002D411F" w:rsidRDefault="002D411F" w:rsidP="00F377A1">
          <w:pPr>
            <w:pStyle w:val="Footer"/>
            <w:jc w:val="center"/>
            <w:rPr>
              <w:rFonts w:ascii="Arial" w:hAnsi="Arial"/>
              <w:sz w:val="18"/>
            </w:rPr>
          </w:pPr>
        </w:p>
        <w:p w:rsidR="002D411F" w:rsidRDefault="002D411F" w:rsidP="00F377A1">
          <w:pPr>
            <w:pStyle w:val="Footer"/>
            <w:jc w:val="center"/>
            <w:rPr>
              <w:rFonts w:ascii="Arial" w:hAnsi="Arial"/>
              <w:sz w:val="18"/>
            </w:rPr>
          </w:pPr>
          <w:r>
            <w:rPr>
              <w:rFonts w:ascii="Arial" w:hAnsi="Arial"/>
              <w:sz w:val="18"/>
            </w:rPr>
            <w:t>Ontario Regional Blood Coordinating Network</w:t>
          </w:r>
        </w:p>
        <w:p w:rsidR="002D411F" w:rsidRDefault="002D411F" w:rsidP="00F377A1">
          <w:pPr>
            <w:pStyle w:val="Footer"/>
            <w:jc w:val="center"/>
            <w:rPr>
              <w:rFonts w:ascii="Arial" w:hAnsi="Arial"/>
              <w:sz w:val="18"/>
            </w:rPr>
          </w:pPr>
          <w:r>
            <w:rPr>
              <w:rFonts w:ascii="Arial" w:hAnsi="Arial"/>
              <w:sz w:val="18"/>
            </w:rPr>
            <w:t>Transfusion Technical Resource Manual</w:t>
          </w:r>
        </w:p>
        <w:p w:rsidR="002D411F" w:rsidRDefault="002D411F" w:rsidP="00F377A1">
          <w:pPr>
            <w:pStyle w:val="Footer"/>
            <w:jc w:val="center"/>
            <w:rPr>
              <w:rFonts w:ascii="Arial" w:hAnsi="Arial"/>
              <w:sz w:val="18"/>
            </w:rPr>
          </w:pPr>
        </w:p>
      </w:tc>
      <w:tc>
        <w:tcPr>
          <w:tcW w:w="1494" w:type="dxa"/>
        </w:tcPr>
        <w:p w:rsidR="002D411F" w:rsidRDefault="002D411F" w:rsidP="00F377A1">
          <w:pPr>
            <w:pStyle w:val="Footer"/>
            <w:jc w:val="right"/>
            <w:rPr>
              <w:rFonts w:ascii="Arial" w:hAnsi="Arial"/>
              <w:sz w:val="18"/>
            </w:rPr>
          </w:pPr>
        </w:p>
        <w:p w:rsidR="002D411F" w:rsidRDefault="002D411F" w:rsidP="00F377A1">
          <w:pPr>
            <w:pStyle w:val="Footer"/>
            <w:jc w:val="right"/>
            <w:rPr>
              <w:rFonts w:ascii="Arial" w:hAnsi="Arial"/>
              <w:sz w:val="18"/>
            </w:rPr>
          </w:pPr>
          <w:r>
            <w:rPr>
              <w:rFonts w:ascii="Arial" w:hAnsi="Arial"/>
              <w:sz w:val="18"/>
            </w:rPr>
            <w:t>NRT.010</w:t>
          </w:r>
          <w:r>
            <w:rPr>
              <w:rFonts w:ascii="Arial" w:hAnsi="Arial"/>
              <w:sz w:val="18"/>
            </w:rPr>
            <w:br/>
          </w:r>
        </w:p>
        <w:p w:rsidR="002D411F" w:rsidRDefault="002D411F" w:rsidP="00F377A1">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3242C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3242C8">
            <w:rPr>
              <w:rFonts w:ascii="Arial" w:hAnsi="Arial"/>
              <w:noProof/>
              <w:snapToGrid w:val="0"/>
              <w:sz w:val="18"/>
            </w:rPr>
            <w:t>3</w:t>
          </w:r>
          <w:r>
            <w:rPr>
              <w:rFonts w:ascii="Arial" w:hAnsi="Arial"/>
              <w:snapToGrid w:val="0"/>
              <w:sz w:val="18"/>
            </w:rPr>
            <w:fldChar w:fldCharType="end"/>
          </w:r>
        </w:p>
      </w:tc>
    </w:tr>
  </w:tbl>
  <w:p w:rsidR="001B697A" w:rsidRPr="002D411F" w:rsidRDefault="001B697A" w:rsidP="002D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B7" w:rsidRDefault="007C05B7">
      <w:r>
        <w:separator/>
      </w:r>
    </w:p>
  </w:footnote>
  <w:footnote w:type="continuationSeparator" w:id="0">
    <w:p w:rsidR="007C05B7" w:rsidRDefault="007C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7A" w:rsidRDefault="001B697A">
    <w:pPr>
      <w:pStyle w:val="Header"/>
      <w:jc w:val="center"/>
      <w:rPr>
        <w:rFonts w:ascii="Arial" w:hAnsi="Arial"/>
        <w:b/>
        <w:sz w:val="28"/>
      </w:rPr>
    </w:pPr>
    <w:r>
      <w:rPr>
        <w:rFonts w:ascii="Arial" w:hAnsi="Arial"/>
        <w:b/>
        <w:sz w:val="28"/>
      </w:rPr>
      <w:t>Acid Elution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7A" w:rsidRDefault="002D411F" w:rsidP="00AB7F2F">
    <w:pPr>
      <w:pStyle w:val="Header"/>
      <w:tabs>
        <w:tab w:val="clear" w:pos="8640"/>
        <w:tab w:val="left" w:pos="4783"/>
      </w:tabs>
    </w:pPr>
    <w:r>
      <w:rPr>
        <w:noProof/>
      </w:rPr>
      <w:drawing>
        <wp:inline distT="0" distB="0" distL="0" distR="0" wp14:anchorId="38C51004" wp14:editId="7B04325B">
          <wp:extent cx="1161288" cy="467633"/>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_EN.JPG"/>
                  <pic:cNvPicPr/>
                </pic:nvPicPr>
                <pic:blipFill>
                  <a:blip r:embed="rId1">
                    <a:extLst>
                      <a:ext uri="{28A0092B-C50C-407E-A947-70E740481C1C}">
                        <a14:useLocalDpi xmlns:a14="http://schemas.microsoft.com/office/drawing/2010/main" val="0"/>
                      </a:ext>
                    </a:extLst>
                  </a:blip>
                  <a:stretch>
                    <a:fillRect/>
                  </a:stretch>
                </pic:blipFill>
                <pic:spPr>
                  <a:xfrm>
                    <a:off x="0" y="0"/>
                    <a:ext cx="1161288" cy="467633"/>
                  </a:xfrm>
                  <a:prstGeom prst="rect">
                    <a:avLst/>
                  </a:prstGeom>
                </pic:spPr>
              </pic:pic>
            </a:graphicData>
          </a:graphic>
        </wp:inline>
      </w:drawing>
    </w:r>
  </w:p>
  <w:p w:rsidR="001B697A" w:rsidRDefault="001B697A" w:rsidP="00AB7F2F">
    <w:pPr>
      <w:pStyle w:val="Header"/>
      <w:tabs>
        <w:tab w:val="clear" w:pos="8640"/>
        <w:tab w:val="left" w:pos="4783"/>
      </w:tabs>
      <w:rPr>
        <w:rFonts w:ascii="Arial" w:hAnsi="Arial" w:cs="Arial"/>
        <w:b/>
        <w:bCs/>
        <w:sz w:val="22"/>
      </w:rPr>
    </w:pPr>
  </w:p>
  <w:p w:rsidR="002D411F" w:rsidRPr="006E7DD4" w:rsidRDefault="002D411F" w:rsidP="002D411F">
    <w:pPr>
      <w:pStyle w:val="Header"/>
      <w:jc w:val="center"/>
      <w:rPr>
        <w:rFonts w:ascii="Arial" w:hAnsi="Arial" w:cs="Arial"/>
        <w:b/>
        <w:bCs/>
        <w:sz w:val="24"/>
      </w:rPr>
    </w:pPr>
    <w:r w:rsidRPr="006E7DD4">
      <w:rPr>
        <w:rFonts w:ascii="Arial" w:hAnsi="Arial" w:cs="Arial"/>
        <w:b/>
        <w:bCs/>
        <w:sz w:val="24"/>
      </w:rPr>
      <w:t xml:space="preserve">Ontario Regional Blood Coordinating Network </w:t>
    </w:r>
  </w:p>
  <w:p w:rsidR="002D411F" w:rsidRPr="006E7DD4" w:rsidRDefault="002D411F" w:rsidP="002D411F">
    <w:pPr>
      <w:pStyle w:val="Header"/>
      <w:jc w:val="center"/>
      <w:rPr>
        <w:rFonts w:ascii="Arial" w:hAnsi="Arial" w:cs="Arial"/>
        <w:b/>
        <w:bCs/>
        <w:sz w:val="24"/>
      </w:rPr>
    </w:pPr>
    <w:r w:rsidRPr="006E7DD4">
      <w:rPr>
        <w:rFonts w:ascii="Arial" w:hAnsi="Arial" w:cs="Arial"/>
        <w:b/>
        <w:bCs/>
        <w:sz w:val="24"/>
      </w:rPr>
      <w:t>Transfusion Technical Resource Manual</w:t>
    </w:r>
  </w:p>
  <w:p w:rsidR="001B697A" w:rsidRDefault="001B697A">
    <w:pPr>
      <w:pStyle w:val="Header"/>
      <w:jc w:val="center"/>
      <w:rPr>
        <w:rFonts w:ascii="Arial" w:hAnsi="Arial" w:cs="Arial"/>
        <w:b/>
        <w:bCs/>
        <w:sz w:val="22"/>
      </w:rPr>
    </w:pPr>
  </w:p>
  <w:p w:rsidR="001B697A" w:rsidRDefault="001B697A">
    <w:pPr>
      <w:pStyle w:val="Header"/>
      <w:tabs>
        <w:tab w:val="left" w:pos="6617"/>
      </w:tabs>
      <w:jc w:val="center"/>
      <w:rPr>
        <w:rFonts w:ascii="Arial" w:hAnsi="Arial"/>
        <w:b/>
        <w:sz w:val="28"/>
      </w:rPr>
    </w:pPr>
    <w:r>
      <w:rPr>
        <w:rFonts w:ascii="Arial" w:hAnsi="Arial"/>
        <w:b/>
        <w:sz w:val="28"/>
      </w:rPr>
      <w:t>Acid Elution</w:t>
    </w:r>
  </w:p>
  <w:p w:rsidR="001B697A" w:rsidRDefault="001B697A">
    <w:pPr>
      <w:pStyle w:val="Header"/>
      <w:tabs>
        <w:tab w:val="left" w:pos="6617"/>
      </w:tabs>
      <w:jc w:val="center"/>
      <w:rPr>
        <w:rFonts w:ascii="Arial" w:hAnsi="Arial"/>
        <w:b/>
        <w:sz w:val="28"/>
      </w:rPr>
    </w:pPr>
  </w:p>
  <w:p w:rsidR="001B697A" w:rsidRDefault="001B697A">
    <w:pPr>
      <w:pStyle w:val="Header"/>
      <w:tabs>
        <w:tab w:val="left" w:pos="6617"/>
      </w:tabs>
      <w:jc w:val="center"/>
      <w:rPr>
        <w:rFonts w:ascii="Arial" w:hAnsi="Arial" w:cs="Arial"/>
        <w:b/>
        <w:bCs/>
      </w:rPr>
    </w:pPr>
    <w:r>
      <w:rPr>
        <w:rFonts w:ascii="Arial" w:hAnsi="Arial" w:cs="Arial"/>
        <w:b/>
        <w:bCs/>
      </w:rPr>
      <w:tab/>
    </w:r>
    <w:r w:rsidR="003C0D7F">
      <w:rPr>
        <w:noProof/>
      </w:rPr>
      <mc:AlternateContent>
        <mc:Choice Requires="wps">
          <w:drawing>
            <wp:anchor distT="4294967295" distB="4294967295" distL="114300" distR="114300" simplePos="0" relativeHeight="251656192" behindDoc="0" locked="0" layoutInCell="1" allowOverlap="1" wp14:anchorId="6B0CC325" wp14:editId="63A74678">
              <wp:simplePos x="0" y="0"/>
              <wp:positionH relativeFrom="column">
                <wp:posOffset>-62865</wp:posOffset>
              </wp:positionH>
              <wp:positionV relativeFrom="paragraph">
                <wp:posOffset>20954</wp:posOffset>
              </wp:positionV>
              <wp:extent cx="5600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9140"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1B697A">
      <w:tc>
        <w:tcPr>
          <w:tcW w:w="4428" w:type="dxa"/>
        </w:tcPr>
        <w:p w:rsidR="001B697A" w:rsidRDefault="001B697A" w:rsidP="002D411F">
          <w:pPr>
            <w:pStyle w:val="Header"/>
            <w:rPr>
              <w:rFonts w:ascii="Arial" w:hAnsi="Arial" w:cs="Arial"/>
            </w:rPr>
          </w:pPr>
          <w:r>
            <w:rPr>
              <w:rFonts w:ascii="Arial" w:hAnsi="Arial" w:cs="Arial"/>
            </w:rPr>
            <w:t xml:space="preserve">Approved By:  </w:t>
          </w:r>
        </w:p>
      </w:tc>
      <w:tc>
        <w:tcPr>
          <w:tcW w:w="4428" w:type="dxa"/>
        </w:tcPr>
        <w:p w:rsidR="001B697A" w:rsidRDefault="001B697A">
          <w:pPr>
            <w:pStyle w:val="Header"/>
            <w:rPr>
              <w:rFonts w:ascii="Arial" w:hAnsi="Arial" w:cs="Arial"/>
            </w:rPr>
          </w:pPr>
          <w:r>
            <w:rPr>
              <w:rFonts w:ascii="Arial" w:hAnsi="Arial" w:cs="Arial"/>
            </w:rPr>
            <w:t>Document No: NRT.010</w:t>
          </w:r>
        </w:p>
      </w:tc>
    </w:tr>
    <w:tr w:rsidR="001B697A">
      <w:tc>
        <w:tcPr>
          <w:tcW w:w="4428" w:type="dxa"/>
        </w:tcPr>
        <w:p w:rsidR="001B697A" w:rsidRDefault="001B697A">
          <w:pPr>
            <w:pStyle w:val="Header"/>
            <w:rPr>
              <w:rFonts w:ascii="Arial" w:hAnsi="Arial" w:cs="Arial"/>
            </w:rPr>
          </w:pPr>
          <w:r>
            <w:rPr>
              <w:rFonts w:ascii="Arial" w:hAnsi="Arial" w:cs="Arial"/>
            </w:rPr>
            <w:t>Date Issued:  2004/04/05</w:t>
          </w:r>
        </w:p>
      </w:tc>
      <w:tc>
        <w:tcPr>
          <w:tcW w:w="4428" w:type="dxa"/>
        </w:tcPr>
        <w:p w:rsidR="001B697A" w:rsidRDefault="001B697A">
          <w:pPr>
            <w:pStyle w:val="Header"/>
            <w:rPr>
              <w:rFonts w:ascii="Arial" w:hAnsi="Arial" w:cs="Arial"/>
            </w:rPr>
          </w:pPr>
          <w:r>
            <w:rPr>
              <w:rFonts w:ascii="Arial" w:hAnsi="Arial" w:cs="Arial"/>
            </w:rPr>
            <w:t>Category:  Non-Routine Testing</w:t>
          </w:r>
        </w:p>
      </w:tc>
    </w:tr>
    <w:tr w:rsidR="001B697A">
      <w:tc>
        <w:tcPr>
          <w:tcW w:w="4428" w:type="dxa"/>
        </w:tcPr>
        <w:p w:rsidR="001B697A" w:rsidRDefault="001B697A" w:rsidP="00135BD4">
          <w:pPr>
            <w:pStyle w:val="Header"/>
            <w:rPr>
              <w:rFonts w:ascii="Arial" w:hAnsi="Arial" w:cs="Arial"/>
            </w:rPr>
          </w:pPr>
          <w:r>
            <w:rPr>
              <w:rFonts w:ascii="Arial" w:hAnsi="Arial" w:cs="Arial"/>
            </w:rPr>
            <w:t>Date Revised: 2009/09/01; 2014/03/01</w:t>
          </w:r>
          <w:r w:rsidR="00354E1C">
            <w:rPr>
              <w:rFonts w:ascii="Arial" w:hAnsi="Arial" w:cs="Arial"/>
            </w:rPr>
            <w:t>; 2016/04/07</w:t>
          </w:r>
        </w:p>
      </w:tc>
      <w:tc>
        <w:tcPr>
          <w:tcW w:w="4428" w:type="dxa"/>
        </w:tcPr>
        <w:p w:rsidR="001B697A" w:rsidRDefault="001B697A">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242C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242C8">
            <w:rPr>
              <w:rFonts w:ascii="Arial" w:hAnsi="Arial" w:cs="Arial"/>
              <w:noProof/>
            </w:rPr>
            <w:t>3</w:t>
          </w:r>
          <w:r>
            <w:rPr>
              <w:rFonts w:ascii="Arial" w:hAnsi="Arial" w:cs="Arial"/>
            </w:rPr>
            <w:fldChar w:fldCharType="end"/>
          </w:r>
        </w:p>
      </w:tc>
    </w:tr>
  </w:tbl>
  <w:p w:rsidR="001B697A" w:rsidRDefault="003C0D7F">
    <w:pPr>
      <w:pStyle w:val="Header"/>
    </w:pPr>
    <w:r>
      <w:rPr>
        <w:noProof/>
      </w:rPr>
      <mc:AlternateContent>
        <mc:Choice Requires="wps">
          <w:drawing>
            <wp:anchor distT="4294967295" distB="4294967295" distL="114300" distR="114300" simplePos="0" relativeHeight="251657216" behindDoc="0" locked="0" layoutInCell="1" allowOverlap="1" wp14:anchorId="23475651" wp14:editId="02C72A69">
              <wp:simplePos x="0" y="0"/>
              <wp:positionH relativeFrom="column">
                <wp:posOffset>-62865</wp:posOffset>
              </wp:positionH>
              <wp:positionV relativeFrom="paragraph">
                <wp:posOffset>122554</wp:posOffset>
              </wp:positionV>
              <wp:extent cx="56007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8054"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1B697A">
      <w:rPr>
        <w:rFonts w:ascii="Arial" w:hAnsi="Arial" w:cs="Arial"/>
      </w:rPr>
      <w:tab/>
    </w:r>
  </w:p>
  <w:p w:rsidR="001B697A" w:rsidRDefault="001B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C032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08C6"/>
    <w:multiLevelType w:val="hybridMultilevel"/>
    <w:tmpl w:val="81F4D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0D44A3"/>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4141337"/>
    <w:multiLevelType w:val="hybridMultilevel"/>
    <w:tmpl w:val="A07AFD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9536A17"/>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0692CC4"/>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0BD5CBC"/>
    <w:multiLevelType w:val="hybridMultilevel"/>
    <w:tmpl w:val="AF62DD3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15:restartNumberingAfterBreak="0">
    <w:nsid w:val="15896D57"/>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8D30200"/>
    <w:multiLevelType w:val="hybridMultilevel"/>
    <w:tmpl w:val="F25664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8D728FC"/>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32B616E"/>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14D09CB"/>
    <w:multiLevelType w:val="multilevel"/>
    <w:tmpl w:val="C33EDC58"/>
    <w:lvl w:ilvl="0">
      <w:start w:val="1"/>
      <w:numFmt w:val="decimal"/>
      <w:pStyle w:val="Heading1"/>
      <w:lvlText w:val="%1.0"/>
      <w:lvlJc w:val="left"/>
      <w:pPr>
        <w:tabs>
          <w:tab w:val="num" w:pos="72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pStyle w:val="Heading6"/>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15:restartNumberingAfterBreak="0">
    <w:nsid w:val="33D830CD"/>
    <w:multiLevelType w:val="multilevel"/>
    <w:tmpl w:val="DCDC78D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426"/>
        </w:tabs>
        <w:ind w:left="1163" w:hanging="737"/>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34567BF1"/>
    <w:multiLevelType w:val="multilevel"/>
    <w:tmpl w:val="CF0EECF0"/>
    <w:lvl w:ilvl="0">
      <w:start w:val="1"/>
      <w:numFmt w:val="decimal"/>
      <w:lvlText w:val="%1.0"/>
      <w:lvlJc w:val="left"/>
      <w:pPr>
        <w:tabs>
          <w:tab w:val="num" w:pos="720"/>
        </w:tabs>
        <w:ind w:left="720" w:hanging="720"/>
      </w:pPr>
      <w:rPr>
        <w:rFonts w:ascii="Arial" w:hAnsi="Arial" w:cs="Arial" w:hint="default"/>
        <w:b/>
        <w:sz w:val="28"/>
        <w:szCs w:val="28"/>
      </w:rPr>
    </w:lvl>
    <w:lvl w:ilvl="1">
      <w:start w:val="1"/>
      <w:numFmt w:val="decimal"/>
      <w:lvlText w:val="%1.%2"/>
      <w:lvlJc w:val="left"/>
      <w:pPr>
        <w:tabs>
          <w:tab w:val="num" w:pos="426"/>
        </w:tabs>
        <w:ind w:left="1163" w:hanging="73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EB72C9F"/>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3CC29C8"/>
    <w:multiLevelType w:val="hybridMultilevel"/>
    <w:tmpl w:val="37F07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0883257"/>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003F55"/>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56C50906"/>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5A912CA8"/>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5BEB00DF"/>
    <w:multiLevelType w:val="hybridMultilevel"/>
    <w:tmpl w:val="8AB48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1">
      <w:start w:val="1"/>
      <w:numFmt w:val="bullet"/>
      <w:lvlText w:val=""/>
      <w:lvlJc w:val="left"/>
      <w:pPr>
        <w:ind w:left="192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642B6C"/>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EF076F3"/>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5FB86509"/>
    <w:multiLevelType w:val="multilevel"/>
    <w:tmpl w:val="E362C09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2"/>
        </w:tabs>
        <w:ind w:left="879" w:hanging="737"/>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63FF7837"/>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8A14922"/>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AAA4E54"/>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B5D2C5C"/>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7002511B"/>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71435BB8"/>
    <w:multiLevelType w:val="multilevel"/>
    <w:tmpl w:val="1ABE313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5E5180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4"/>
  </w:num>
  <w:num w:numId="2">
    <w:abstractNumId w:val="25"/>
  </w:num>
  <w:num w:numId="3">
    <w:abstractNumId w:val="13"/>
  </w:num>
  <w:num w:numId="4">
    <w:abstractNumId w:val="11"/>
  </w:num>
  <w:num w:numId="5">
    <w:abstractNumId w:val="32"/>
  </w:num>
  <w:num w:numId="6">
    <w:abstractNumId w:val="0"/>
  </w:num>
  <w:num w:numId="7">
    <w:abstractNumId w:val="28"/>
  </w:num>
  <w:num w:numId="8">
    <w:abstractNumId w:val="26"/>
  </w:num>
  <w:num w:numId="9">
    <w:abstractNumId w:val="5"/>
  </w:num>
  <w:num w:numId="10">
    <w:abstractNumId w:val="29"/>
  </w:num>
  <w:num w:numId="11">
    <w:abstractNumId w:val="15"/>
  </w:num>
  <w:num w:numId="12">
    <w:abstractNumId w:val="30"/>
  </w:num>
  <w:num w:numId="13">
    <w:abstractNumId w:val="31"/>
  </w:num>
  <w:num w:numId="14">
    <w:abstractNumId w:val="20"/>
  </w:num>
  <w:num w:numId="15">
    <w:abstractNumId w:val="9"/>
  </w:num>
  <w:num w:numId="16">
    <w:abstractNumId w:val="18"/>
  </w:num>
  <w:num w:numId="17">
    <w:abstractNumId w:val="4"/>
  </w:num>
  <w:num w:numId="18">
    <w:abstractNumId w:val="27"/>
  </w:num>
  <w:num w:numId="19">
    <w:abstractNumId w:val="17"/>
  </w:num>
  <w:num w:numId="20">
    <w:abstractNumId w:val="7"/>
  </w:num>
  <w:num w:numId="21">
    <w:abstractNumId w:val="19"/>
  </w:num>
  <w:num w:numId="22">
    <w:abstractNumId w:val="23"/>
  </w:num>
  <w:num w:numId="23">
    <w:abstractNumId w:val="22"/>
  </w:num>
  <w:num w:numId="24">
    <w:abstractNumId w:val="2"/>
  </w:num>
  <w:num w:numId="25">
    <w:abstractNumId w:val="10"/>
  </w:num>
  <w:num w:numId="26">
    <w:abstractNumId w:val="6"/>
  </w:num>
  <w:num w:numId="27">
    <w:abstractNumId w:val="24"/>
  </w:num>
  <w:num w:numId="28">
    <w:abstractNumId w:val="12"/>
  </w:num>
  <w:num w:numId="29">
    <w:abstractNumId w:val="8"/>
  </w:num>
  <w:num w:numId="30">
    <w:abstractNumId w:val="3"/>
  </w:num>
  <w:num w:numId="31">
    <w:abstractNumId w:val="21"/>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F"/>
    <w:rsid w:val="00054B18"/>
    <w:rsid w:val="00087547"/>
    <w:rsid w:val="00100557"/>
    <w:rsid w:val="00131743"/>
    <w:rsid w:val="00135BD4"/>
    <w:rsid w:val="00150B06"/>
    <w:rsid w:val="00152E11"/>
    <w:rsid w:val="00163EAE"/>
    <w:rsid w:val="001B697A"/>
    <w:rsid w:val="001E2C5F"/>
    <w:rsid w:val="0022633E"/>
    <w:rsid w:val="00252CC4"/>
    <w:rsid w:val="002D411F"/>
    <w:rsid w:val="002F7E9E"/>
    <w:rsid w:val="0032090B"/>
    <w:rsid w:val="003242C8"/>
    <w:rsid w:val="00325C7C"/>
    <w:rsid w:val="00354E1C"/>
    <w:rsid w:val="00382D22"/>
    <w:rsid w:val="00396C33"/>
    <w:rsid w:val="003A5A40"/>
    <w:rsid w:val="003B21EE"/>
    <w:rsid w:val="003B49F0"/>
    <w:rsid w:val="003B6B08"/>
    <w:rsid w:val="003C0D7F"/>
    <w:rsid w:val="003D1507"/>
    <w:rsid w:val="00415B10"/>
    <w:rsid w:val="00457D0D"/>
    <w:rsid w:val="00496CF8"/>
    <w:rsid w:val="004B2733"/>
    <w:rsid w:val="004C3ED3"/>
    <w:rsid w:val="005B49E5"/>
    <w:rsid w:val="005C2865"/>
    <w:rsid w:val="005F4D4A"/>
    <w:rsid w:val="0066659E"/>
    <w:rsid w:val="006E7DD4"/>
    <w:rsid w:val="00701428"/>
    <w:rsid w:val="00751A86"/>
    <w:rsid w:val="007A4EB5"/>
    <w:rsid w:val="007B5844"/>
    <w:rsid w:val="007C05B7"/>
    <w:rsid w:val="00800308"/>
    <w:rsid w:val="0081695B"/>
    <w:rsid w:val="00866034"/>
    <w:rsid w:val="00877173"/>
    <w:rsid w:val="008A1D19"/>
    <w:rsid w:val="008E0923"/>
    <w:rsid w:val="00923D69"/>
    <w:rsid w:val="00936AA1"/>
    <w:rsid w:val="009373FE"/>
    <w:rsid w:val="0094113E"/>
    <w:rsid w:val="009D344F"/>
    <w:rsid w:val="009F0BED"/>
    <w:rsid w:val="00A353A5"/>
    <w:rsid w:val="00A35FA4"/>
    <w:rsid w:val="00A57503"/>
    <w:rsid w:val="00AB7F2F"/>
    <w:rsid w:val="00B41E1B"/>
    <w:rsid w:val="00B665E8"/>
    <w:rsid w:val="00B7780F"/>
    <w:rsid w:val="00BA40EE"/>
    <w:rsid w:val="00BF5323"/>
    <w:rsid w:val="00C03CB5"/>
    <w:rsid w:val="00C7288A"/>
    <w:rsid w:val="00C95C32"/>
    <w:rsid w:val="00CC3F03"/>
    <w:rsid w:val="00CD4075"/>
    <w:rsid w:val="00CD4C1F"/>
    <w:rsid w:val="00CF3D8F"/>
    <w:rsid w:val="00CF5CD2"/>
    <w:rsid w:val="00D05DED"/>
    <w:rsid w:val="00D10A17"/>
    <w:rsid w:val="00D268EE"/>
    <w:rsid w:val="00D83415"/>
    <w:rsid w:val="00DA243C"/>
    <w:rsid w:val="00DC0EAB"/>
    <w:rsid w:val="00E001A6"/>
    <w:rsid w:val="00E63357"/>
    <w:rsid w:val="00EA0ADE"/>
    <w:rsid w:val="00EA6B86"/>
    <w:rsid w:val="00EF7C60"/>
    <w:rsid w:val="00F7305D"/>
    <w:rsid w:val="00F85C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3944D1-F0BD-4123-858D-4F455EE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357"/>
    <w:rPr>
      <w:sz w:val="20"/>
      <w:szCs w:val="20"/>
    </w:rPr>
  </w:style>
  <w:style w:type="paragraph" w:styleId="Heading1">
    <w:name w:val="heading 1"/>
    <w:basedOn w:val="Normal"/>
    <w:next w:val="Normal"/>
    <w:link w:val="Heading1Char"/>
    <w:uiPriority w:val="99"/>
    <w:qFormat/>
    <w:rsid w:val="00E63357"/>
    <w:pPr>
      <w:keepNext/>
      <w:numPr>
        <w:numId w:val="4"/>
      </w:numPr>
      <w:spacing w:after="240"/>
      <w:outlineLvl w:val="0"/>
    </w:pPr>
    <w:rPr>
      <w:rFonts w:ascii="Verdana" w:hAnsi="Verdana"/>
      <w:b/>
      <w:kern w:val="32"/>
      <w:sz w:val="28"/>
    </w:rPr>
  </w:style>
  <w:style w:type="paragraph" w:styleId="Heading2">
    <w:name w:val="heading 2"/>
    <w:basedOn w:val="Normal"/>
    <w:next w:val="Normal"/>
    <w:link w:val="Heading2Char"/>
    <w:uiPriority w:val="99"/>
    <w:qFormat/>
    <w:rsid w:val="00E63357"/>
    <w:pPr>
      <w:keepNext/>
      <w:numPr>
        <w:ilvl w:val="1"/>
        <w:numId w:val="4"/>
      </w:numPr>
      <w:spacing w:after="240"/>
      <w:outlineLvl w:val="1"/>
    </w:pPr>
    <w:rPr>
      <w:rFonts w:ascii="Verdana" w:hAnsi="Verdana"/>
      <w:kern w:val="24"/>
      <w:sz w:val="24"/>
    </w:rPr>
  </w:style>
  <w:style w:type="paragraph" w:styleId="Heading3">
    <w:name w:val="heading 3"/>
    <w:basedOn w:val="Normal"/>
    <w:next w:val="Normal"/>
    <w:link w:val="Heading3Char"/>
    <w:uiPriority w:val="99"/>
    <w:qFormat/>
    <w:rsid w:val="00E63357"/>
    <w:pPr>
      <w:keepNext/>
      <w:numPr>
        <w:ilvl w:val="2"/>
        <w:numId w:val="4"/>
      </w:numPr>
      <w:spacing w:after="240"/>
      <w:outlineLvl w:val="2"/>
    </w:pPr>
    <w:rPr>
      <w:rFonts w:ascii="Georgia" w:hAnsi="Georgia"/>
      <w:kern w:val="24"/>
      <w:sz w:val="24"/>
    </w:rPr>
  </w:style>
  <w:style w:type="paragraph" w:styleId="Heading4">
    <w:name w:val="heading 4"/>
    <w:basedOn w:val="Normal"/>
    <w:next w:val="Normal"/>
    <w:link w:val="Heading4Char"/>
    <w:uiPriority w:val="99"/>
    <w:qFormat/>
    <w:rsid w:val="00E63357"/>
    <w:pPr>
      <w:keepNext/>
      <w:numPr>
        <w:ilvl w:val="3"/>
        <w:numId w:val="4"/>
      </w:numPr>
      <w:spacing w:after="240"/>
      <w:outlineLvl w:val="3"/>
    </w:pPr>
    <w:rPr>
      <w:rFonts w:ascii="Georgia" w:hAnsi="Georgia"/>
      <w:kern w:val="24"/>
      <w:sz w:val="24"/>
    </w:rPr>
  </w:style>
  <w:style w:type="paragraph" w:styleId="Heading5">
    <w:name w:val="heading 5"/>
    <w:basedOn w:val="Normal"/>
    <w:next w:val="Normal"/>
    <w:link w:val="Heading5Char"/>
    <w:uiPriority w:val="99"/>
    <w:qFormat/>
    <w:rsid w:val="00E63357"/>
    <w:pPr>
      <w:keepNext/>
      <w:numPr>
        <w:ilvl w:val="4"/>
        <w:numId w:val="4"/>
      </w:numPr>
      <w:spacing w:after="240"/>
      <w:outlineLvl w:val="4"/>
    </w:pPr>
    <w:rPr>
      <w:rFonts w:ascii="Verdana" w:hAnsi="Verdana"/>
      <w:i/>
      <w:kern w:val="24"/>
      <w:sz w:val="24"/>
    </w:rPr>
  </w:style>
  <w:style w:type="paragraph" w:styleId="Heading6">
    <w:name w:val="heading 6"/>
    <w:basedOn w:val="Normal"/>
    <w:next w:val="Normal"/>
    <w:link w:val="Heading6Char"/>
    <w:uiPriority w:val="99"/>
    <w:qFormat/>
    <w:rsid w:val="00E63357"/>
    <w:pPr>
      <w:keepNext/>
      <w:numPr>
        <w:ilvl w:val="5"/>
        <w:numId w:val="4"/>
      </w:numPr>
      <w:spacing w:after="240"/>
      <w:outlineLvl w:val="5"/>
    </w:pPr>
    <w:rPr>
      <w:rFonts w:ascii="Georgia" w:hAnsi="Georgia"/>
      <w:kern w:val="24"/>
      <w:sz w:val="24"/>
    </w:rPr>
  </w:style>
  <w:style w:type="paragraph" w:styleId="Heading7">
    <w:name w:val="heading 7"/>
    <w:basedOn w:val="Normal"/>
    <w:next w:val="Normal"/>
    <w:link w:val="Heading7Char"/>
    <w:uiPriority w:val="99"/>
    <w:qFormat/>
    <w:rsid w:val="00E63357"/>
    <w:pPr>
      <w:keepNext/>
      <w:outlineLvl w:val="6"/>
    </w:pPr>
    <w:rPr>
      <w:rFonts w:ascii="Arial" w:hAnsi="Arial"/>
      <w:b/>
      <w:sz w:val="24"/>
    </w:rPr>
  </w:style>
  <w:style w:type="paragraph" w:styleId="Heading8">
    <w:name w:val="heading 8"/>
    <w:basedOn w:val="Normal"/>
    <w:next w:val="Normal"/>
    <w:link w:val="Heading8Char"/>
    <w:uiPriority w:val="99"/>
    <w:qFormat/>
    <w:rsid w:val="00E63357"/>
    <w:pPr>
      <w:keepNext/>
      <w:jc w:val="center"/>
      <w:outlineLvl w:val="7"/>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69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695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695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695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695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1695B"/>
    <w:rPr>
      <w:rFonts w:ascii="Calibri" w:hAnsi="Calibri" w:cs="Times New Roman"/>
      <w:b/>
      <w:bCs/>
    </w:rPr>
  </w:style>
  <w:style w:type="character" w:customStyle="1" w:styleId="Heading7Char">
    <w:name w:val="Heading 7 Char"/>
    <w:basedOn w:val="DefaultParagraphFont"/>
    <w:link w:val="Heading7"/>
    <w:uiPriority w:val="99"/>
    <w:semiHidden/>
    <w:locked/>
    <w:rsid w:val="0081695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1695B"/>
    <w:rPr>
      <w:rFonts w:ascii="Calibri" w:hAnsi="Calibri" w:cs="Times New Roman"/>
      <w:i/>
      <w:iCs/>
      <w:sz w:val="24"/>
      <w:szCs w:val="24"/>
    </w:rPr>
  </w:style>
  <w:style w:type="paragraph" w:styleId="Header">
    <w:name w:val="header"/>
    <w:basedOn w:val="Normal"/>
    <w:link w:val="HeaderChar"/>
    <w:rsid w:val="00E63357"/>
    <w:pPr>
      <w:tabs>
        <w:tab w:val="center" w:pos="4320"/>
        <w:tab w:val="right" w:pos="8640"/>
      </w:tabs>
    </w:pPr>
  </w:style>
  <w:style w:type="character" w:customStyle="1" w:styleId="HeaderChar">
    <w:name w:val="Header Char"/>
    <w:basedOn w:val="DefaultParagraphFont"/>
    <w:link w:val="Header"/>
    <w:locked/>
    <w:rsid w:val="00D83415"/>
    <w:rPr>
      <w:rFonts w:cs="Times New Roman"/>
    </w:rPr>
  </w:style>
  <w:style w:type="paragraph" w:styleId="Footer">
    <w:name w:val="footer"/>
    <w:basedOn w:val="Normal"/>
    <w:link w:val="FooterChar"/>
    <w:rsid w:val="00E63357"/>
    <w:pPr>
      <w:tabs>
        <w:tab w:val="center" w:pos="4320"/>
        <w:tab w:val="right" w:pos="8640"/>
      </w:tabs>
    </w:pPr>
  </w:style>
  <w:style w:type="character" w:customStyle="1" w:styleId="FooterChar">
    <w:name w:val="Footer Char"/>
    <w:basedOn w:val="DefaultParagraphFont"/>
    <w:link w:val="Footer"/>
    <w:uiPriority w:val="99"/>
    <w:semiHidden/>
    <w:locked/>
    <w:rsid w:val="00AB7F2F"/>
    <w:rPr>
      <w:rFonts w:cs="Times New Roman"/>
      <w:lang w:val="en-US" w:eastAsia="en-US" w:bidi="ar-SA"/>
    </w:rPr>
  </w:style>
  <w:style w:type="paragraph" w:styleId="BodyText">
    <w:name w:val="Body Text"/>
    <w:basedOn w:val="Normal"/>
    <w:link w:val="BodyTextChar"/>
    <w:uiPriority w:val="99"/>
    <w:rsid w:val="00E63357"/>
    <w:rPr>
      <w:rFonts w:ascii="Arial" w:hAnsi="Arial"/>
      <w:b/>
      <w:sz w:val="24"/>
    </w:rPr>
  </w:style>
  <w:style w:type="character" w:customStyle="1" w:styleId="BodyTextChar">
    <w:name w:val="Body Text Char"/>
    <w:basedOn w:val="DefaultParagraphFont"/>
    <w:link w:val="BodyText"/>
    <w:uiPriority w:val="99"/>
    <w:semiHidden/>
    <w:locked/>
    <w:rsid w:val="0081695B"/>
    <w:rPr>
      <w:rFonts w:cs="Times New Roman"/>
      <w:sz w:val="20"/>
      <w:szCs w:val="20"/>
    </w:rPr>
  </w:style>
  <w:style w:type="character" w:styleId="PageNumber">
    <w:name w:val="page number"/>
    <w:basedOn w:val="DefaultParagraphFont"/>
    <w:uiPriority w:val="99"/>
    <w:rsid w:val="00E63357"/>
    <w:rPr>
      <w:rFonts w:cs="Times New Roman"/>
    </w:rPr>
  </w:style>
  <w:style w:type="paragraph" w:styleId="BodyText2">
    <w:name w:val="Body Text 2"/>
    <w:basedOn w:val="Normal"/>
    <w:link w:val="BodyText2Char"/>
    <w:uiPriority w:val="99"/>
    <w:rsid w:val="00E63357"/>
    <w:rPr>
      <w:rFonts w:ascii="Arial" w:hAnsi="Arial"/>
      <w:sz w:val="24"/>
    </w:rPr>
  </w:style>
  <w:style w:type="character" w:customStyle="1" w:styleId="BodyText2Char">
    <w:name w:val="Body Text 2 Char"/>
    <w:basedOn w:val="DefaultParagraphFont"/>
    <w:link w:val="BodyText2"/>
    <w:uiPriority w:val="99"/>
    <w:semiHidden/>
    <w:locked/>
    <w:rsid w:val="0081695B"/>
    <w:rPr>
      <w:rFonts w:cs="Times New Roman"/>
      <w:sz w:val="20"/>
      <w:szCs w:val="20"/>
    </w:rPr>
  </w:style>
  <w:style w:type="paragraph" w:styleId="BodyTextIndent">
    <w:name w:val="Body Text Indent"/>
    <w:basedOn w:val="Normal"/>
    <w:link w:val="BodyTextIndentChar"/>
    <w:uiPriority w:val="99"/>
    <w:rsid w:val="00E63357"/>
    <w:pPr>
      <w:ind w:left="1440"/>
    </w:pPr>
    <w:rPr>
      <w:rFonts w:ascii="Arial" w:hAnsi="Arial"/>
      <w:sz w:val="24"/>
    </w:rPr>
  </w:style>
  <w:style w:type="character" w:customStyle="1" w:styleId="BodyTextIndentChar">
    <w:name w:val="Body Text Indent Char"/>
    <w:basedOn w:val="DefaultParagraphFont"/>
    <w:link w:val="BodyTextIndent"/>
    <w:uiPriority w:val="99"/>
    <w:semiHidden/>
    <w:locked/>
    <w:rsid w:val="0081695B"/>
    <w:rPr>
      <w:rFonts w:cs="Times New Roman"/>
      <w:sz w:val="20"/>
      <w:szCs w:val="20"/>
    </w:rPr>
  </w:style>
  <w:style w:type="paragraph" w:styleId="BalloonText">
    <w:name w:val="Balloon Text"/>
    <w:basedOn w:val="Normal"/>
    <w:link w:val="BalloonTextChar"/>
    <w:uiPriority w:val="99"/>
    <w:rsid w:val="008E0923"/>
    <w:rPr>
      <w:rFonts w:ascii="Lucida Grande" w:hAnsi="Lucida Grande"/>
      <w:sz w:val="18"/>
      <w:szCs w:val="18"/>
    </w:rPr>
  </w:style>
  <w:style w:type="character" w:customStyle="1" w:styleId="BalloonTextChar">
    <w:name w:val="Balloon Text Char"/>
    <w:basedOn w:val="DefaultParagraphFont"/>
    <w:link w:val="BalloonText"/>
    <w:uiPriority w:val="99"/>
    <w:locked/>
    <w:rsid w:val="008E0923"/>
    <w:rPr>
      <w:rFonts w:ascii="Lucida Grande" w:hAnsi="Lucida Grande" w:cs="Times New Roman"/>
      <w:sz w:val="18"/>
      <w:szCs w:val="18"/>
    </w:rPr>
  </w:style>
  <w:style w:type="character" w:styleId="CommentReference">
    <w:name w:val="annotation reference"/>
    <w:basedOn w:val="DefaultParagraphFont"/>
    <w:uiPriority w:val="99"/>
    <w:rsid w:val="00A57503"/>
    <w:rPr>
      <w:rFonts w:cs="Times New Roman"/>
      <w:sz w:val="16"/>
      <w:szCs w:val="16"/>
    </w:rPr>
  </w:style>
  <w:style w:type="paragraph" w:styleId="CommentText">
    <w:name w:val="annotation text"/>
    <w:basedOn w:val="Normal"/>
    <w:link w:val="CommentTextChar"/>
    <w:uiPriority w:val="99"/>
    <w:rsid w:val="00A57503"/>
  </w:style>
  <w:style w:type="character" w:customStyle="1" w:styleId="CommentTextChar">
    <w:name w:val="Comment Text Char"/>
    <w:basedOn w:val="DefaultParagraphFont"/>
    <w:link w:val="CommentText"/>
    <w:uiPriority w:val="99"/>
    <w:locked/>
    <w:rsid w:val="00A57503"/>
    <w:rPr>
      <w:rFonts w:cs="Times New Roman"/>
    </w:rPr>
  </w:style>
  <w:style w:type="paragraph" w:styleId="CommentSubject">
    <w:name w:val="annotation subject"/>
    <w:basedOn w:val="CommentText"/>
    <w:next w:val="CommentText"/>
    <w:link w:val="CommentSubjectChar"/>
    <w:uiPriority w:val="99"/>
    <w:rsid w:val="00A57503"/>
    <w:rPr>
      <w:b/>
      <w:bCs/>
    </w:rPr>
  </w:style>
  <w:style w:type="character" w:customStyle="1" w:styleId="CommentSubjectChar">
    <w:name w:val="Comment Subject Char"/>
    <w:basedOn w:val="CommentTextChar"/>
    <w:link w:val="CommentSubject"/>
    <w:uiPriority w:val="99"/>
    <w:locked/>
    <w:rsid w:val="00A57503"/>
    <w:rPr>
      <w:rFonts w:cs="Times New Roman"/>
      <w:b/>
      <w:bCs/>
    </w:rPr>
  </w:style>
  <w:style w:type="paragraph" w:styleId="Revision">
    <w:name w:val="Revision"/>
    <w:hidden/>
    <w:uiPriority w:val="99"/>
    <w:rsid w:val="00A57503"/>
    <w:rPr>
      <w:sz w:val="20"/>
      <w:szCs w:val="20"/>
    </w:rPr>
  </w:style>
  <w:style w:type="paragraph" w:styleId="ListParagraph">
    <w:name w:val="List Paragraph"/>
    <w:basedOn w:val="Normal"/>
    <w:uiPriority w:val="99"/>
    <w:qFormat/>
    <w:rsid w:val="00CD4C1F"/>
    <w:pPr>
      <w:ind w:left="720"/>
      <w:contextualSpacing/>
    </w:pPr>
  </w:style>
  <w:style w:type="table" w:styleId="TableGrid">
    <w:name w:val="Table Grid"/>
    <w:basedOn w:val="TableNormal"/>
    <w:uiPriority w:val="99"/>
    <w:rsid w:val="006E7D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sid w:val="00CF5CD2"/>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597B-D168-4E0D-AFCC-CBFBFAE2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NRT.010 Acid Elution</vt:lpstr>
    </vt:vector>
  </TitlesOfParts>
  <Company>The Ottawa Hospital</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NRT.010 Acid Elution</dc:title>
  <dc:creator>Transfusion Ontario Program Office</dc:creator>
  <cp:lastModifiedBy>Nesrallah, Heather</cp:lastModifiedBy>
  <cp:revision>2</cp:revision>
  <cp:lastPrinted>2003-05-29T12:37:00Z</cp:lastPrinted>
  <dcterms:created xsi:type="dcterms:W3CDTF">2020-08-11T12:32:00Z</dcterms:created>
  <dcterms:modified xsi:type="dcterms:W3CDTF">2020-08-11T12:32:00Z</dcterms:modified>
</cp:coreProperties>
</file>