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60E" w:rsidRDefault="0037060E">
      <w:pPr>
        <w:numPr>
          <w:ilvl w:val="0"/>
          <w:numId w:val="1"/>
        </w:numPr>
        <w:spacing w:line="228" w:lineRule="auto"/>
        <w:rPr>
          <w:rFonts w:ascii="Arial" w:hAnsi="Arial"/>
          <w:b/>
          <w:sz w:val="28"/>
        </w:rPr>
      </w:pPr>
      <w:bookmarkStart w:id="0" w:name="_GoBack"/>
      <w:bookmarkEnd w:id="0"/>
      <w:r>
        <w:rPr>
          <w:rFonts w:ascii="Arial" w:hAnsi="Arial"/>
          <w:b/>
          <w:sz w:val="28"/>
        </w:rPr>
        <w:t>Principle</w:t>
      </w:r>
    </w:p>
    <w:p w:rsidR="0037060E" w:rsidRDefault="0037060E">
      <w:pPr>
        <w:spacing w:line="228" w:lineRule="auto"/>
        <w:rPr>
          <w:rFonts w:ascii="Arial" w:hAnsi="Arial"/>
          <w:sz w:val="24"/>
        </w:rPr>
      </w:pPr>
    </w:p>
    <w:p w:rsidR="0037060E" w:rsidRDefault="0037060E">
      <w:pPr>
        <w:spacing w:line="228" w:lineRule="auto"/>
        <w:ind w:left="720"/>
        <w:rPr>
          <w:rFonts w:ascii="Arial" w:hAnsi="Arial"/>
          <w:sz w:val="24"/>
        </w:rPr>
      </w:pPr>
      <w:r>
        <w:rPr>
          <w:rFonts w:ascii="Arial" w:hAnsi="Arial"/>
          <w:sz w:val="24"/>
        </w:rPr>
        <w:t>Red Cells are tested with specific antisera to determine the presence or absence of blood group antigen(s).</w:t>
      </w:r>
    </w:p>
    <w:p w:rsidR="0037060E" w:rsidRDefault="0037060E">
      <w:pPr>
        <w:spacing w:line="228" w:lineRule="auto"/>
        <w:ind w:left="720"/>
        <w:rPr>
          <w:rFonts w:ascii="Arial" w:hAnsi="Arial"/>
          <w:sz w:val="24"/>
        </w:rPr>
      </w:pPr>
    </w:p>
    <w:p w:rsidR="0037060E" w:rsidRDefault="0037060E">
      <w:pPr>
        <w:spacing w:line="228" w:lineRule="auto"/>
        <w:ind w:left="720"/>
        <w:rPr>
          <w:rFonts w:ascii="Arial" w:hAnsi="Arial"/>
          <w:sz w:val="24"/>
        </w:rPr>
      </w:pPr>
      <w:r>
        <w:rPr>
          <w:rFonts w:ascii="Arial" w:hAnsi="Arial"/>
          <w:sz w:val="24"/>
        </w:rPr>
        <w:t xml:space="preserve">In </w:t>
      </w:r>
      <w:r w:rsidRPr="00A65778">
        <w:rPr>
          <w:rFonts w:ascii="Arial" w:hAnsi="Arial"/>
          <w:sz w:val="24"/>
        </w:rPr>
        <w:t>direct</w:t>
      </w:r>
      <w:r>
        <w:rPr>
          <w:rFonts w:ascii="Arial" w:hAnsi="Arial"/>
          <w:sz w:val="24"/>
        </w:rPr>
        <w:t xml:space="preserve"> antigen typing, the specific antisera will agglutinate red cells that </w:t>
      </w:r>
      <w:r w:rsidR="00C6556D">
        <w:rPr>
          <w:rFonts w:ascii="Arial" w:hAnsi="Arial"/>
          <w:sz w:val="24"/>
        </w:rPr>
        <w:t>have the corresponding antigen.</w:t>
      </w:r>
      <w:r>
        <w:rPr>
          <w:rFonts w:ascii="Arial" w:hAnsi="Arial"/>
          <w:sz w:val="24"/>
        </w:rPr>
        <w:t xml:space="preserve"> Agglutination may occur at room temperature, at 4</w:t>
      </w:r>
      <w:r w:rsidR="00A65778">
        <w:rPr>
          <w:rFonts w:ascii="Arial" w:hAnsi="Arial" w:cs="Arial"/>
          <w:sz w:val="24"/>
        </w:rPr>
        <w:t>°</w:t>
      </w:r>
      <w:r>
        <w:rPr>
          <w:rFonts w:ascii="Arial" w:hAnsi="Arial"/>
          <w:sz w:val="24"/>
        </w:rPr>
        <w:t>C or at 37</w:t>
      </w:r>
      <w:r w:rsidR="00A65778">
        <w:rPr>
          <w:rFonts w:ascii="Arial" w:hAnsi="Arial" w:cs="Arial"/>
          <w:sz w:val="24"/>
        </w:rPr>
        <w:t>°</w:t>
      </w:r>
      <w:r>
        <w:rPr>
          <w:rFonts w:ascii="Arial" w:hAnsi="Arial"/>
          <w:sz w:val="24"/>
        </w:rPr>
        <w:t>C depending on the antisera used.</w:t>
      </w:r>
    </w:p>
    <w:p w:rsidR="0037060E" w:rsidRDefault="0037060E">
      <w:pPr>
        <w:spacing w:line="228" w:lineRule="auto"/>
        <w:ind w:left="720"/>
        <w:rPr>
          <w:rFonts w:ascii="Arial" w:hAnsi="Arial"/>
          <w:sz w:val="24"/>
        </w:rPr>
      </w:pPr>
    </w:p>
    <w:p w:rsidR="0037060E" w:rsidRDefault="0037060E">
      <w:pPr>
        <w:spacing w:line="228" w:lineRule="auto"/>
        <w:ind w:left="720"/>
        <w:rPr>
          <w:rFonts w:ascii="Arial" w:hAnsi="Arial"/>
          <w:sz w:val="24"/>
        </w:rPr>
      </w:pPr>
      <w:r>
        <w:rPr>
          <w:rFonts w:ascii="Arial" w:hAnsi="Arial"/>
          <w:sz w:val="24"/>
        </w:rPr>
        <w:t>In</w:t>
      </w:r>
      <w:r w:rsidRPr="00A65778">
        <w:rPr>
          <w:rFonts w:ascii="Arial" w:hAnsi="Arial"/>
          <w:sz w:val="24"/>
        </w:rPr>
        <w:t xml:space="preserve"> indirect</w:t>
      </w:r>
      <w:r>
        <w:rPr>
          <w:rFonts w:ascii="Arial" w:hAnsi="Arial"/>
          <w:sz w:val="24"/>
        </w:rPr>
        <w:t xml:space="preserve"> antigen typing, the specific antisera will sensitize red cells that </w:t>
      </w:r>
      <w:r w:rsidR="00C6556D">
        <w:rPr>
          <w:rFonts w:ascii="Arial" w:hAnsi="Arial"/>
          <w:sz w:val="24"/>
        </w:rPr>
        <w:t>have the corresponding antigen.</w:t>
      </w:r>
      <w:r>
        <w:rPr>
          <w:rFonts w:ascii="Arial" w:hAnsi="Arial"/>
          <w:sz w:val="24"/>
        </w:rPr>
        <w:t xml:space="preserve"> Agglutination will occur by the indirect antiglobulin test (IAT).</w:t>
      </w:r>
    </w:p>
    <w:p w:rsidR="0037060E" w:rsidRDefault="0037060E">
      <w:pPr>
        <w:spacing w:line="228" w:lineRule="auto"/>
        <w:ind w:left="720"/>
        <w:rPr>
          <w:rFonts w:ascii="Arial" w:hAnsi="Arial"/>
          <w:sz w:val="24"/>
        </w:rPr>
      </w:pPr>
    </w:p>
    <w:p w:rsidR="0037060E" w:rsidRDefault="0037060E">
      <w:pPr>
        <w:pStyle w:val="Heading7"/>
        <w:spacing w:line="228" w:lineRule="auto"/>
      </w:pPr>
      <w:r>
        <w:t>Bone Marrow Transplant</w:t>
      </w:r>
    </w:p>
    <w:p w:rsidR="00DF6C7C" w:rsidRPr="00DF6C7C" w:rsidRDefault="00DF6C7C" w:rsidP="00C6556D"/>
    <w:p w:rsidR="0037060E" w:rsidRDefault="0037060E">
      <w:pPr>
        <w:spacing w:line="228" w:lineRule="auto"/>
        <w:ind w:left="720"/>
        <w:rPr>
          <w:rFonts w:ascii="Arial" w:hAnsi="Arial"/>
          <w:sz w:val="24"/>
        </w:rPr>
      </w:pPr>
      <w:r>
        <w:rPr>
          <w:rFonts w:ascii="Arial" w:hAnsi="Arial"/>
          <w:sz w:val="24"/>
        </w:rPr>
        <w:t xml:space="preserve">When performing antigen typing for Bone Marrow Transplant (BMT) patients, the patient history should always be considered. Post BMT patients may exhibit chimerism due to </w:t>
      </w:r>
      <w:r w:rsidR="00172FD5">
        <w:rPr>
          <w:rFonts w:ascii="Arial" w:hAnsi="Arial"/>
          <w:sz w:val="24"/>
        </w:rPr>
        <w:t xml:space="preserve">the </w:t>
      </w:r>
      <w:r>
        <w:rPr>
          <w:rFonts w:ascii="Arial" w:hAnsi="Arial"/>
          <w:sz w:val="24"/>
        </w:rPr>
        <w:t xml:space="preserve">presence </w:t>
      </w:r>
      <w:r w:rsidR="0055304A">
        <w:rPr>
          <w:rFonts w:ascii="Arial" w:hAnsi="Arial"/>
          <w:sz w:val="24"/>
        </w:rPr>
        <w:t>of donor and recipient red cells</w:t>
      </w:r>
      <w:r>
        <w:rPr>
          <w:rFonts w:ascii="Arial" w:hAnsi="Arial"/>
          <w:sz w:val="24"/>
        </w:rPr>
        <w:t>.</w:t>
      </w:r>
    </w:p>
    <w:p w:rsidR="0037060E" w:rsidRDefault="0037060E">
      <w:pPr>
        <w:spacing w:line="228" w:lineRule="auto"/>
        <w:ind w:left="720"/>
        <w:rPr>
          <w:rFonts w:ascii="Arial" w:hAnsi="Arial"/>
          <w:sz w:val="24"/>
        </w:rPr>
      </w:pPr>
    </w:p>
    <w:p w:rsidR="0037060E" w:rsidRDefault="0037060E">
      <w:pPr>
        <w:numPr>
          <w:ilvl w:val="0"/>
          <w:numId w:val="1"/>
        </w:numPr>
        <w:spacing w:line="228" w:lineRule="auto"/>
        <w:rPr>
          <w:rFonts w:ascii="Arial" w:hAnsi="Arial"/>
          <w:b/>
          <w:sz w:val="28"/>
        </w:rPr>
      </w:pPr>
      <w:r>
        <w:rPr>
          <w:rFonts w:ascii="Arial" w:hAnsi="Arial"/>
          <w:b/>
          <w:sz w:val="28"/>
        </w:rPr>
        <w:t>Scope and Related Policies</w:t>
      </w:r>
    </w:p>
    <w:p w:rsidR="0037060E" w:rsidRDefault="0037060E" w:rsidP="00D609D4">
      <w:pPr>
        <w:spacing w:line="228" w:lineRule="auto"/>
        <w:rPr>
          <w:rFonts w:ascii="Arial" w:hAnsi="Arial"/>
          <w:sz w:val="24"/>
        </w:rPr>
      </w:pPr>
    </w:p>
    <w:p w:rsidR="0037060E" w:rsidRDefault="0037060E" w:rsidP="006A6D30">
      <w:pPr>
        <w:numPr>
          <w:ilvl w:val="1"/>
          <w:numId w:val="1"/>
        </w:numPr>
        <w:spacing w:line="228" w:lineRule="auto"/>
        <w:rPr>
          <w:rFonts w:ascii="Arial" w:hAnsi="Arial"/>
          <w:sz w:val="24"/>
        </w:rPr>
      </w:pPr>
      <w:r>
        <w:rPr>
          <w:rFonts w:ascii="Arial" w:hAnsi="Arial"/>
          <w:sz w:val="24"/>
        </w:rPr>
        <w:t>An autocontrol or a direct antiglobulin test shall be performed in conjunction with red cell phenotyping that requires an indirect antiglobulin test.</w:t>
      </w:r>
      <w:r>
        <w:rPr>
          <w:rFonts w:ascii="Arial" w:hAnsi="Arial"/>
          <w:sz w:val="24"/>
          <w:vertAlign w:val="superscript"/>
        </w:rPr>
        <w:t>9.1</w:t>
      </w:r>
    </w:p>
    <w:p w:rsidR="0037060E" w:rsidRDefault="0037060E">
      <w:pPr>
        <w:spacing w:line="228" w:lineRule="auto"/>
        <w:ind w:left="720"/>
        <w:rPr>
          <w:rFonts w:ascii="Arial" w:hAnsi="Arial"/>
          <w:sz w:val="24"/>
        </w:rPr>
      </w:pPr>
    </w:p>
    <w:p w:rsidR="0037060E" w:rsidRDefault="0037060E" w:rsidP="00273243">
      <w:pPr>
        <w:numPr>
          <w:ilvl w:val="1"/>
          <w:numId w:val="1"/>
        </w:numPr>
        <w:spacing w:line="228" w:lineRule="auto"/>
        <w:rPr>
          <w:rFonts w:ascii="Arial" w:hAnsi="Arial"/>
          <w:sz w:val="24"/>
        </w:rPr>
      </w:pPr>
      <w:r>
        <w:rPr>
          <w:rFonts w:ascii="Arial" w:hAnsi="Arial"/>
          <w:sz w:val="24"/>
        </w:rPr>
        <w:t xml:space="preserve">Antigen typing (phenotype testing) of patient cells is done on a specimen from a patient who has not been transfused in the past </w:t>
      </w:r>
      <w:r w:rsidR="0055304A">
        <w:rPr>
          <w:rFonts w:ascii="Arial" w:hAnsi="Arial"/>
          <w:sz w:val="24"/>
        </w:rPr>
        <w:t>three</w:t>
      </w:r>
      <w:r>
        <w:rPr>
          <w:rFonts w:ascii="Arial" w:hAnsi="Arial"/>
          <w:sz w:val="24"/>
        </w:rPr>
        <w:t xml:space="preserve"> months.  </w:t>
      </w:r>
    </w:p>
    <w:p w:rsidR="00D609D4" w:rsidRDefault="00D609D4" w:rsidP="00D609D4">
      <w:pPr>
        <w:spacing w:line="228" w:lineRule="auto"/>
        <w:rPr>
          <w:rFonts w:ascii="Arial" w:hAnsi="Arial"/>
          <w:sz w:val="24"/>
        </w:rPr>
      </w:pPr>
    </w:p>
    <w:p w:rsidR="0037060E" w:rsidRDefault="00AA0B78" w:rsidP="006A6D30">
      <w:pPr>
        <w:numPr>
          <w:ilvl w:val="2"/>
          <w:numId w:val="1"/>
        </w:numPr>
        <w:tabs>
          <w:tab w:val="num" w:pos="1843"/>
        </w:tabs>
        <w:spacing w:line="228" w:lineRule="auto"/>
        <w:ind w:left="1843" w:hanging="709"/>
        <w:rPr>
          <w:rFonts w:ascii="Arial" w:hAnsi="Arial"/>
          <w:sz w:val="24"/>
        </w:rPr>
      </w:pPr>
      <w:r>
        <w:rPr>
          <w:rFonts w:ascii="Arial" w:hAnsi="Arial"/>
          <w:sz w:val="24"/>
        </w:rPr>
        <w:t>It s</w:t>
      </w:r>
      <w:r w:rsidR="0037060E">
        <w:rPr>
          <w:rFonts w:ascii="Arial" w:hAnsi="Arial"/>
          <w:sz w:val="24"/>
        </w:rPr>
        <w:t xml:space="preserve">hould be performed </w:t>
      </w:r>
      <w:r>
        <w:rPr>
          <w:rFonts w:ascii="Arial" w:hAnsi="Arial"/>
          <w:sz w:val="24"/>
        </w:rPr>
        <w:t xml:space="preserve">where possible </w:t>
      </w:r>
      <w:r w:rsidR="0037060E">
        <w:rPr>
          <w:rFonts w:ascii="Arial" w:hAnsi="Arial"/>
          <w:sz w:val="24"/>
        </w:rPr>
        <w:t>before assigning specificity to a newly detected antibody.</w:t>
      </w:r>
    </w:p>
    <w:p w:rsidR="0037060E" w:rsidRDefault="0037060E" w:rsidP="00D609D4">
      <w:pPr>
        <w:spacing w:line="228" w:lineRule="auto"/>
        <w:ind w:left="2160"/>
        <w:rPr>
          <w:rFonts w:ascii="Arial" w:hAnsi="Arial"/>
          <w:sz w:val="24"/>
        </w:rPr>
      </w:pPr>
    </w:p>
    <w:p w:rsidR="0037060E" w:rsidRDefault="00E6553F" w:rsidP="006A6D30">
      <w:pPr>
        <w:numPr>
          <w:ilvl w:val="2"/>
          <w:numId w:val="1"/>
        </w:numPr>
        <w:tabs>
          <w:tab w:val="num" w:pos="1843"/>
        </w:tabs>
        <w:spacing w:line="228" w:lineRule="auto"/>
        <w:ind w:left="1843" w:hanging="709"/>
        <w:rPr>
          <w:rFonts w:ascii="Arial" w:hAnsi="Arial"/>
          <w:sz w:val="24"/>
        </w:rPr>
      </w:pPr>
      <w:r>
        <w:rPr>
          <w:rFonts w:ascii="Arial" w:hAnsi="Arial"/>
          <w:sz w:val="24"/>
        </w:rPr>
        <w:t>It m</w:t>
      </w:r>
      <w:r w:rsidR="0037060E">
        <w:rPr>
          <w:rFonts w:ascii="Arial" w:hAnsi="Arial"/>
          <w:sz w:val="24"/>
        </w:rPr>
        <w:t>ay be performed to aid in exclusion of an antibody(ies) during an antibody identification.</w:t>
      </w:r>
    </w:p>
    <w:p w:rsidR="0037060E" w:rsidRDefault="0037060E" w:rsidP="00D609D4">
      <w:pPr>
        <w:spacing w:line="228" w:lineRule="auto"/>
        <w:ind w:left="2160"/>
        <w:rPr>
          <w:rFonts w:ascii="Arial" w:hAnsi="Arial"/>
          <w:sz w:val="24"/>
        </w:rPr>
      </w:pPr>
    </w:p>
    <w:p w:rsidR="0037060E" w:rsidRDefault="00E6553F" w:rsidP="006A6D30">
      <w:pPr>
        <w:numPr>
          <w:ilvl w:val="2"/>
          <w:numId w:val="1"/>
        </w:numPr>
        <w:tabs>
          <w:tab w:val="num" w:pos="1843"/>
        </w:tabs>
        <w:spacing w:line="228" w:lineRule="auto"/>
        <w:ind w:left="1843" w:hanging="709"/>
        <w:rPr>
          <w:rFonts w:ascii="Arial" w:hAnsi="Arial"/>
          <w:sz w:val="24"/>
        </w:rPr>
      </w:pPr>
      <w:r>
        <w:rPr>
          <w:rFonts w:ascii="Arial" w:hAnsi="Arial"/>
          <w:sz w:val="24"/>
        </w:rPr>
        <w:t>It i</w:t>
      </w:r>
      <w:r w:rsidR="0037060E">
        <w:rPr>
          <w:rFonts w:ascii="Arial" w:hAnsi="Arial"/>
          <w:sz w:val="24"/>
        </w:rPr>
        <w:t>s recommended for patients who will require long term transfusion therapy [e.g., patients with chronic anemia (sickle cell, thalassemia)]</w:t>
      </w:r>
      <w:r w:rsidR="0055304A">
        <w:rPr>
          <w:rFonts w:ascii="Arial" w:hAnsi="Arial"/>
          <w:sz w:val="24"/>
        </w:rPr>
        <w:t xml:space="preserve"> or for patients with a warm reactive autoantibody</w:t>
      </w:r>
      <w:r w:rsidR="0037060E">
        <w:rPr>
          <w:rFonts w:ascii="Arial" w:hAnsi="Arial"/>
          <w:sz w:val="24"/>
        </w:rPr>
        <w:t>. Consider typing with antisera such as anti-C, -c, -E, -e, -K, -Jk</w:t>
      </w:r>
      <w:r w:rsidR="0037060E">
        <w:rPr>
          <w:rFonts w:ascii="Arial" w:hAnsi="Arial"/>
          <w:sz w:val="24"/>
          <w:vertAlign w:val="superscript"/>
        </w:rPr>
        <w:t>a</w:t>
      </w:r>
      <w:r w:rsidR="0037060E">
        <w:rPr>
          <w:rFonts w:ascii="Arial" w:hAnsi="Arial"/>
          <w:sz w:val="24"/>
        </w:rPr>
        <w:t>, -Jk</w:t>
      </w:r>
      <w:r w:rsidR="0037060E">
        <w:rPr>
          <w:rFonts w:ascii="Arial" w:hAnsi="Arial"/>
          <w:sz w:val="24"/>
          <w:vertAlign w:val="superscript"/>
        </w:rPr>
        <w:t>b</w:t>
      </w:r>
      <w:r w:rsidR="0037060E">
        <w:rPr>
          <w:rFonts w:ascii="Arial" w:hAnsi="Arial"/>
          <w:sz w:val="24"/>
        </w:rPr>
        <w:t>, -Fy</w:t>
      </w:r>
      <w:r w:rsidR="0037060E">
        <w:rPr>
          <w:rFonts w:ascii="Arial" w:hAnsi="Arial"/>
          <w:sz w:val="24"/>
          <w:vertAlign w:val="superscript"/>
        </w:rPr>
        <w:t>a</w:t>
      </w:r>
      <w:r w:rsidR="0037060E">
        <w:rPr>
          <w:rFonts w:ascii="Arial" w:hAnsi="Arial"/>
          <w:sz w:val="24"/>
        </w:rPr>
        <w:t>, -Fy</w:t>
      </w:r>
      <w:r w:rsidR="0037060E">
        <w:rPr>
          <w:rFonts w:ascii="Arial" w:hAnsi="Arial"/>
          <w:sz w:val="24"/>
          <w:vertAlign w:val="superscript"/>
        </w:rPr>
        <w:t>b</w:t>
      </w:r>
      <w:r w:rsidR="0037060E">
        <w:rPr>
          <w:rFonts w:ascii="Arial" w:hAnsi="Arial"/>
          <w:sz w:val="24"/>
        </w:rPr>
        <w:t>, -S and –s to provide baseline information in case of future antibody production.</w:t>
      </w:r>
    </w:p>
    <w:p w:rsidR="0037060E" w:rsidRDefault="0037060E">
      <w:pPr>
        <w:spacing w:line="228" w:lineRule="auto"/>
        <w:ind w:left="1440"/>
        <w:rPr>
          <w:rFonts w:ascii="Arial" w:hAnsi="Arial"/>
          <w:sz w:val="24"/>
        </w:rPr>
      </w:pPr>
    </w:p>
    <w:p w:rsidR="0037060E" w:rsidRDefault="0037060E">
      <w:pPr>
        <w:numPr>
          <w:ilvl w:val="1"/>
          <w:numId w:val="1"/>
        </w:numPr>
        <w:spacing w:line="228" w:lineRule="auto"/>
        <w:rPr>
          <w:rFonts w:ascii="Arial" w:hAnsi="Arial"/>
          <w:sz w:val="24"/>
        </w:rPr>
      </w:pPr>
      <w:r>
        <w:rPr>
          <w:rFonts w:ascii="Arial" w:hAnsi="Arial"/>
          <w:sz w:val="24"/>
        </w:rPr>
        <w:t>Antigen typing of donor units is required when selecting donor units for a patient who has, or has a history of, clinically significant antibody(ies).</w:t>
      </w:r>
    </w:p>
    <w:p w:rsidR="0037060E" w:rsidRDefault="0037060E">
      <w:pPr>
        <w:spacing w:line="228" w:lineRule="auto"/>
        <w:ind w:left="720"/>
        <w:rPr>
          <w:rFonts w:ascii="Arial" w:hAnsi="Arial"/>
          <w:sz w:val="24"/>
        </w:rPr>
      </w:pPr>
    </w:p>
    <w:p w:rsidR="0037060E" w:rsidRDefault="0037060E" w:rsidP="006A6D30">
      <w:pPr>
        <w:numPr>
          <w:ilvl w:val="2"/>
          <w:numId w:val="1"/>
        </w:numPr>
        <w:tabs>
          <w:tab w:val="num" w:pos="1843"/>
        </w:tabs>
        <w:spacing w:line="228" w:lineRule="auto"/>
        <w:ind w:left="1843" w:hanging="709"/>
        <w:rPr>
          <w:rFonts w:ascii="Arial" w:hAnsi="Arial"/>
          <w:sz w:val="24"/>
        </w:rPr>
      </w:pPr>
      <w:r>
        <w:rPr>
          <w:rFonts w:ascii="Arial" w:hAnsi="Arial"/>
          <w:sz w:val="24"/>
        </w:rPr>
        <w:t xml:space="preserve">Antigen typing </w:t>
      </w:r>
      <w:r w:rsidR="0055304A">
        <w:rPr>
          <w:rFonts w:ascii="Arial" w:hAnsi="Arial"/>
          <w:sz w:val="24"/>
        </w:rPr>
        <w:t>is not necessary</w:t>
      </w:r>
      <w:r>
        <w:rPr>
          <w:rFonts w:ascii="Arial" w:hAnsi="Arial"/>
          <w:sz w:val="24"/>
        </w:rPr>
        <w:t xml:space="preserve"> when a patient has a clinically insignificant antibody(ies) and compatible donor units can be found using </w:t>
      </w:r>
      <w:r w:rsidR="0055304A">
        <w:rPr>
          <w:rFonts w:ascii="Arial" w:hAnsi="Arial"/>
          <w:sz w:val="24"/>
        </w:rPr>
        <w:t>serological testing</w:t>
      </w:r>
      <w:r w:rsidR="00C6556D">
        <w:rPr>
          <w:rFonts w:ascii="Arial" w:hAnsi="Arial"/>
          <w:sz w:val="24"/>
        </w:rPr>
        <w:t>.</w:t>
      </w:r>
      <w:r w:rsidR="00E6553F">
        <w:rPr>
          <w:rFonts w:ascii="Arial" w:hAnsi="Arial"/>
          <w:sz w:val="24"/>
        </w:rPr>
        <w:t xml:space="preserve"> </w:t>
      </w:r>
    </w:p>
    <w:p w:rsidR="0037060E" w:rsidRDefault="0037060E">
      <w:pPr>
        <w:spacing w:line="228" w:lineRule="auto"/>
        <w:ind w:left="720"/>
        <w:rPr>
          <w:rFonts w:ascii="Arial" w:hAnsi="Arial"/>
          <w:sz w:val="24"/>
        </w:rPr>
      </w:pPr>
    </w:p>
    <w:p w:rsidR="0037060E" w:rsidRDefault="0037060E">
      <w:pPr>
        <w:numPr>
          <w:ilvl w:val="0"/>
          <w:numId w:val="1"/>
        </w:numPr>
        <w:spacing w:line="228" w:lineRule="auto"/>
        <w:rPr>
          <w:rFonts w:ascii="Arial" w:hAnsi="Arial"/>
          <w:b/>
          <w:sz w:val="28"/>
        </w:rPr>
      </w:pPr>
      <w:r>
        <w:rPr>
          <w:rFonts w:ascii="Arial" w:hAnsi="Arial"/>
          <w:b/>
          <w:sz w:val="28"/>
        </w:rPr>
        <w:t>Specimens</w:t>
      </w:r>
    </w:p>
    <w:p w:rsidR="0037060E" w:rsidRDefault="0037060E">
      <w:pPr>
        <w:spacing w:line="228" w:lineRule="auto"/>
        <w:rPr>
          <w:rFonts w:ascii="Arial" w:hAnsi="Arial"/>
          <w:sz w:val="24"/>
        </w:rPr>
      </w:pPr>
    </w:p>
    <w:p w:rsidR="0037060E" w:rsidRDefault="0037060E">
      <w:pPr>
        <w:numPr>
          <w:ilvl w:val="1"/>
          <w:numId w:val="1"/>
        </w:numPr>
        <w:spacing w:line="228" w:lineRule="auto"/>
        <w:rPr>
          <w:rFonts w:ascii="Arial" w:hAnsi="Arial"/>
          <w:sz w:val="24"/>
        </w:rPr>
      </w:pPr>
      <w:r>
        <w:rPr>
          <w:rFonts w:ascii="Arial" w:hAnsi="Arial"/>
          <w:sz w:val="24"/>
        </w:rPr>
        <w:t xml:space="preserve">Antigen typing must be done on a </w:t>
      </w:r>
      <w:r w:rsidRPr="0055304A">
        <w:rPr>
          <w:rFonts w:ascii="Arial" w:hAnsi="Arial"/>
          <w:sz w:val="24"/>
        </w:rPr>
        <w:t>pre-transfusion</w:t>
      </w:r>
      <w:r>
        <w:rPr>
          <w:rFonts w:ascii="Arial" w:hAnsi="Arial"/>
          <w:sz w:val="24"/>
        </w:rPr>
        <w:t xml:space="preserve"> specimen. (EDTA anticoagulated whole blood.)</w:t>
      </w:r>
      <w:r w:rsidR="0055304A">
        <w:rPr>
          <w:rFonts w:ascii="Arial" w:hAnsi="Arial"/>
          <w:sz w:val="24"/>
        </w:rPr>
        <w:t xml:space="preserve"> </w:t>
      </w:r>
      <w:r w:rsidR="0055304A" w:rsidRPr="00993FD0">
        <w:rPr>
          <w:rFonts w:ascii="Arial" w:hAnsi="Arial"/>
          <w:sz w:val="24"/>
        </w:rPr>
        <w:t>See Procedural Notes 8.2.</w:t>
      </w:r>
    </w:p>
    <w:p w:rsidR="0037060E" w:rsidRDefault="0037060E">
      <w:pPr>
        <w:spacing w:line="228" w:lineRule="auto"/>
        <w:ind w:left="720"/>
        <w:rPr>
          <w:rFonts w:ascii="Arial" w:hAnsi="Arial"/>
          <w:sz w:val="24"/>
        </w:rPr>
      </w:pPr>
    </w:p>
    <w:p w:rsidR="0037060E" w:rsidRDefault="0037060E">
      <w:pPr>
        <w:numPr>
          <w:ilvl w:val="0"/>
          <w:numId w:val="2"/>
        </w:numPr>
        <w:tabs>
          <w:tab w:val="clear" w:pos="360"/>
          <w:tab w:val="num" w:pos="1800"/>
        </w:tabs>
        <w:spacing w:line="228" w:lineRule="auto"/>
        <w:ind w:left="1800"/>
        <w:rPr>
          <w:rFonts w:ascii="Arial" w:hAnsi="Arial"/>
          <w:sz w:val="24"/>
        </w:rPr>
      </w:pPr>
      <w:r>
        <w:rPr>
          <w:rFonts w:ascii="Arial" w:hAnsi="Arial"/>
          <w:sz w:val="24"/>
        </w:rPr>
        <w:t xml:space="preserve">Preferably specimens should be tested within </w:t>
      </w:r>
      <w:r w:rsidR="0055304A">
        <w:rPr>
          <w:rFonts w:ascii="Arial" w:hAnsi="Arial"/>
          <w:sz w:val="24"/>
        </w:rPr>
        <w:t>two</w:t>
      </w:r>
      <w:r>
        <w:rPr>
          <w:rFonts w:ascii="Arial" w:hAnsi="Arial"/>
          <w:sz w:val="24"/>
        </w:rPr>
        <w:t xml:space="preserve"> days of collection</w:t>
      </w:r>
    </w:p>
    <w:p w:rsidR="0037060E" w:rsidRDefault="0037060E">
      <w:pPr>
        <w:spacing w:line="228" w:lineRule="auto"/>
        <w:ind w:left="1440"/>
        <w:rPr>
          <w:rFonts w:ascii="Arial" w:hAnsi="Arial"/>
          <w:sz w:val="24"/>
        </w:rPr>
      </w:pPr>
    </w:p>
    <w:p w:rsidR="0037060E" w:rsidRDefault="0037060E">
      <w:pPr>
        <w:numPr>
          <w:ilvl w:val="0"/>
          <w:numId w:val="2"/>
        </w:numPr>
        <w:tabs>
          <w:tab w:val="clear" w:pos="360"/>
          <w:tab w:val="num" w:pos="1800"/>
        </w:tabs>
        <w:spacing w:line="228" w:lineRule="auto"/>
        <w:ind w:left="1800"/>
        <w:rPr>
          <w:rFonts w:ascii="Arial" w:hAnsi="Arial"/>
          <w:sz w:val="24"/>
        </w:rPr>
      </w:pPr>
      <w:r>
        <w:rPr>
          <w:rFonts w:ascii="Arial" w:hAnsi="Arial"/>
          <w:sz w:val="24"/>
        </w:rPr>
        <w:t>Specimens that cannot be tested immediately should be stored at 4</w:t>
      </w:r>
      <w:r w:rsidR="0055304A">
        <w:rPr>
          <w:rFonts w:ascii="Arial" w:hAnsi="Arial" w:cs="Arial"/>
          <w:sz w:val="24"/>
        </w:rPr>
        <w:t>°</w:t>
      </w:r>
      <w:r>
        <w:rPr>
          <w:rFonts w:ascii="Arial" w:hAnsi="Arial"/>
          <w:sz w:val="24"/>
        </w:rPr>
        <w:t>C.</w:t>
      </w:r>
    </w:p>
    <w:p w:rsidR="0037060E" w:rsidRDefault="0037060E">
      <w:pPr>
        <w:spacing w:line="228" w:lineRule="auto"/>
        <w:ind w:left="1440"/>
        <w:rPr>
          <w:rFonts w:ascii="Arial" w:hAnsi="Arial"/>
          <w:sz w:val="24"/>
        </w:rPr>
      </w:pPr>
    </w:p>
    <w:p w:rsidR="0037060E" w:rsidRPr="00E6553F" w:rsidRDefault="0037060E" w:rsidP="00E6553F">
      <w:pPr>
        <w:numPr>
          <w:ilvl w:val="1"/>
          <w:numId w:val="1"/>
        </w:numPr>
        <w:spacing w:line="228" w:lineRule="auto"/>
        <w:rPr>
          <w:rFonts w:ascii="Arial" w:hAnsi="Arial"/>
          <w:sz w:val="24"/>
        </w:rPr>
      </w:pPr>
      <w:r>
        <w:rPr>
          <w:rFonts w:ascii="Arial" w:hAnsi="Arial"/>
          <w:sz w:val="24"/>
        </w:rPr>
        <w:t xml:space="preserve">Red cells </w:t>
      </w:r>
      <w:r w:rsidR="00E6553F">
        <w:rPr>
          <w:rFonts w:ascii="Arial" w:hAnsi="Arial"/>
          <w:sz w:val="24"/>
        </w:rPr>
        <w:t>from</w:t>
      </w:r>
      <w:r>
        <w:rPr>
          <w:rFonts w:ascii="Arial" w:hAnsi="Arial"/>
          <w:sz w:val="24"/>
        </w:rPr>
        <w:t xml:space="preserve"> donor unit segments may be tested up to the expiration date of the unit</w:t>
      </w:r>
      <w:r w:rsidR="00E6553F">
        <w:rPr>
          <w:rFonts w:ascii="Arial" w:hAnsi="Arial"/>
          <w:sz w:val="24"/>
        </w:rPr>
        <w:t xml:space="preserve"> if stored at 1-6</w:t>
      </w:r>
      <w:r w:rsidR="00E6553F" w:rsidRPr="00C6556D">
        <w:rPr>
          <w:rFonts w:ascii="Arial" w:hAnsi="Arial"/>
          <w:sz w:val="24"/>
          <w:vertAlign w:val="superscript"/>
        </w:rPr>
        <w:t>o</w:t>
      </w:r>
      <w:r w:rsidR="00E6553F">
        <w:rPr>
          <w:rFonts w:ascii="Arial" w:hAnsi="Arial"/>
          <w:sz w:val="24"/>
        </w:rPr>
        <w:t>C.</w:t>
      </w:r>
    </w:p>
    <w:p w:rsidR="0037060E" w:rsidRDefault="0037060E">
      <w:pPr>
        <w:spacing w:line="228" w:lineRule="auto"/>
        <w:ind w:left="720"/>
        <w:rPr>
          <w:rFonts w:ascii="Arial" w:hAnsi="Arial"/>
          <w:sz w:val="24"/>
        </w:rPr>
      </w:pPr>
    </w:p>
    <w:p w:rsidR="0037060E" w:rsidRDefault="0037060E">
      <w:pPr>
        <w:numPr>
          <w:ilvl w:val="0"/>
          <w:numId w:val="1"/>
        </w:numPr>
        <w:spacing w:line="228" w:lineRule="auto"/>
        <w:rPr>
          <w:rFonts w:ascii="Arial" w:hAnsi="Arial"/>
          <w:b/>
          <w:sz w:val="28"/>
        </w:rPr>
      </w:pPr>
      <w:r>
        <w:rPr>
          <w:rFonts w:ascii="Arial" w:hAnsi="Arial"/>
          <w:b/>
          <w:sz w:val="28"/>
        </w:rPr>
        <w:t>Materials</w:t>
      </w:r>
    </w:p>
    <w:p w:rsidR="0037060E" w:rsidRDefault="0037060E">
      <w:pPr>
        <w:spacing w:line="228" w:lineRule="auto"/>
        <w:rPr>
          <w:rFonts w:ascii="Arial" w:hAnsi="Arial"/>
          <w:sz w:val="24"/>
        </w:rPr>
      </w:pPr>
    </w:p>
    <w:p w:rsidR="0037060E" w:rsidRDefault="0037060E">
      <w:pPr>
        <w:spacing w:line="228" w:lineRule="auto"/>
        <w:ind w:left="720"/>
        <w:rPr>
          <w:rFonts w:ascii="Arial" w:hAnsi="Arial"/>
          <w:sz w:val="24"/>
        </w:rPr>
      </w:pPr>
      <w:r>
        <w:rPr>
          <w:rFonts w:ascii="Arial" w:hAnsi="Arial"/>
          <w:b/>
          <w:sz w:val="24"/>
        </w:rPr>
        <w:t>Equipment:</w:t>
      </w:r>
      <w:r>
        <w:rPr>
          <w:rFonts w:ascii="Arial" w:hAnsi="Arial"/>
          <w:sz w:val="24"/>
        </w:rPr>
        <w:tab/>
      </w:r>
      <w:r>
        <w:rPr>
          <w:rFonts w:ascii="Arial" w:hAnsi="Arial"/>
          <w:sz w:val="24"/>
        </w:rPr>
        <w:tab/>
        <w:t>Serological centrifuge</w:t>
      </w:r>
    </w:p>
    <w:p w:rsidR="0037060E" w:rsidRDefault="0037060E">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Cell washer</w:t>
      </w:r>
    </w:p>
    <w:p w:rsidR="0037060E" w:rsidRDefault="0037060E">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37060E" w:rsidRDefault="0037060E">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Water bath/Heating block at 37</w:t>
      </w:r>
      <w:r w:rsidR="0055304A">
        <w:rPr>
          <w:rFonts w:ascii="Arial" w:hAnsi="Arial" w:cs="Arial"/>
          <w:sz w:val="24"/>
        </w:rPr>
        <w:t xml:space="preserve">° </w:t>
      </w:r>
      <w:r>
        <w:rPr>
          <w:rFonts w:ascii="Arial" w:hAnsi="Arial"/>
          <w:sz w:val="24"/>
        </w:rPr>
        <w:t>C</w:t>
      </w:r>
    </w:p>
    <w:p w:rsidR="0037060E" w:rsidRDefault="0037060E">
      <w:pPr>
        <w:ind w:left="720"/>
        <w:rPr>
          <w:rFonts w:ascii="Arial" w:hAnsi="Arial"/>
          <w:sz w:val="24"/>
        </w:rPr>
      </w:pPr>
      <w:r>
        <w:rPr>
          <w:rFonts w:ascii="Arial" w:hAnsi="Arial"/>
          <w:sz w:val="24"/>
        </w:rPr>
        <w:tab/>
      </w:r>
      <w:r>
        <w:rPr>
          <w:rFonts w:ascii="Arial" w:hAnsi="Arial"/>
          <w:sz w:val="24"/>
        </w:rPr>
        <w:tab/>
      </w:r>
      <w:r>
        <w:rPr>
          <w:rFonts w:ascii="Arial" w:hAnsi="Arial"/>
          <w:sz w:val="24"/>
        </w:rPr>
        <w:tab/>
        <w:t>Microscope</w:t>
      </w:r>
    </w:p>
    <w:p w:rsidR="0037060E" w:rsidRDefault="0037060E">
      <w:pPr>
        <w:ind w:left="720"/>
        <w:rPr>
          <w:rFonts w:ascii="Arial" w:hAnsi="Arial"/>
          <w:sz w:val="24"/>
        </w:rPr>
      </w:pPr>
    </w:p>
    <w:p w:rsidR="0037060E" w:rsidRDefault="0037060E">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w:t>
      </w:r>
      <w:r w:rsidR="0055304A">
        <w:rPr>
          <w:rFonts w:ascii="Arial" w:hAnsi="Arial"/>
          <w:sz w:val="24"/>
        </w:rPr>
        <w:t xml:space="preserve"> </w:t>
      </w:r>
      <w:r>
        <w:rPr>
          <w:rFonts w:ascii="Arial" w:hAnsi="Arial"/>
          <w:sz w:val="24"/>
        </w:rPr>
        <w:t>mm</w:t>
      </w:r>
    </w:p>
    <w:p w:rsidR="0037060E" w:rsidRDefault="0037060E">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55304A" w:rsidRDefault="0055304A">
      <w:pPr>
        <w:ind w:left="720"/>
        <w:rPr>
          <w:rFonts w:ascii="Arial" w:hAnsi="Arial"/>
          <w:sz w:val="24"/>
        </w:rPr>
      </w:pPr>
      <w:r>
        <w:rPr>
          <w:rFonts w:ascii="Arial" w:hAnsi="Arial"/>
          <w:sz w:val="24"/>
        </w:rPr>
        <w:tab/>
      </w:r>
      <w:r>
        <w:rPr>
          <w:rFonts w:ascii="Arial" w:hAnsi="Arial"/>
          <w:sz w:val="24"/>
        </w:rPr>
        <w:tab/>
      </w:r>
      <w:r>
        <w:rPr>
          <w:rFonts w:ascii="Arial" w:hAnsi="Arial"/>
          <w:sz w:val="24"/>
        </w:rPr>
        <w:tab/>
        <w:t>Segment device</w:t>
      </w:r>
    </w:p>
    <w:p w:rsidR="0037060E" w:rsidRDefault="0037060E">
      <w:pPr>
        <w:ind w:left="720"/>
        <w:rPr>
          <w:rFonts w:ascii="Arial" w:hAnsi="Arial"/>
          <w:sz w:val="24"/>
        </w:rPr>
      </w:pPr>
    </w:p>
    <w:p w:rsidR="0037060E" w:rsidRDefault="0037060E">
      <w:pPr>
        <w:ind w:left="720"/>
        <w:rPr>
          <w:rFonts w:ascii="Arial" w:hAnsi="Arial"/>
          <w:sz w:val="24"/>
        </w:rPr>
      </w:pPr>
      <w:r>
        <w:rPr>
          <w:rFonts w:ascii="Arial" w:hAnsi="Arial"/>
          <w:b/>
          <w:sz w:val="24"/>
        </w:rPr>
        <w:t>Reagents:</w:t>
      </w:r>
      <w:r>
        <w:rPr>
          <w:rFonts w:ascii="Arial" w:hAnsi="Arial"/>
          <w:sz w:val="24"/>
        </w:rPr>
        <w:tab/>
      </w:r>
      <w:r>
        <w:rPr>
          <w:rFonts w:ascii="Arial" w:hAnsi="Arial"/>
          <w:sz w:val="24"/>
        </w:rPr>
        <w:tab/>
      </w:r>
      <w:r w:rsidR="00AA0B78">
        <w:rPr>
          <w:rFonts w:ascii="Arial" w:hAnsi="Arial"/>
          <w:sz w:val="24"/>
        </w:rPr>
        <w:t>3-5 %</w:t>
      </w:r>
      <w:r w:rsidR="00CC32A8">
        <w:rPr>
          <w:rFonts w:ascii="Arial" w:hAnsi="Arial"/>
          <w:sz w:val="24"/>
        </w:rPr>
        <w:t xml:space="preserve"> </w:t>
      </w:r>
      <w:r>
        <w:rPr>
          <w:rFonts w:ascii="Arial" w:hAnsi="Arial"/>
          <w:sz w:val="24"/>
        </w:rPr>
        <w:t>Panel or screening cells (for controls)</w:t>
      </w:r>
    </w:p>
    <w:p w:rsidR="0037060E" w:rsidRDefault="0037060E">
      <w:pPr>
        <w:ind w:left="720"/>
        <w:rPr>
          <w:rFonts w:ascii="Arial" w:hAnsi="Arial"/>
          <w:sz w:val="24"/>
        </w:rPr>
      </w:pPr>
      <w:r>
        <w:rPr>
          <w:rFonts w:ascii="Arial" w:hAnsi="Arial"/>
          <w:sz w:val="24"/>
        </w:rPr>
        <w:tab/>
      </w:r>
      <w:r>
        <w:rPr>
          <w:rFonts w:ascii="Arial" w:hAnsi="Arial"/>
          <w:sz w:val="24"/>
        </w:rPr>
        <w:tab/>
      </w:r>
      <w:r>
        <w:rPr>
          <w:rFonts w:ascii="Arial" w:hAnsi="Arial"/>
          <w:sz w:val="24"/>
        </w:rPr>
        <w:tab/>
        <w:t>Commercial antisera (with manufacturer’s insert)</w:t>
      </w:r>
    </w:p>
    <w:p w:rsidR="0037060E" w:rsidRDefault="0037060E">
      <w:pPr>
        <w:ind w:left="720"/>
        <w:rPr>
          <w:rFonts w:ascii="Arial" w:hAnsi="Arial"/>
          <w:sz w:val="24"/>
        </w:rPr>
      </w:pPr>
      <w:r>
        <w:rPr>
          <w:rFonts w:ascii="Arial" w:hAnsi="Arial"/>
          <w:sz w:val="24"/>
        </w:rPr>
        <w:tab/>
      </w:r>
      <w:r>
        <w:rPr>
          <w:rFonts w:ascii="Arial" w:hAnsi="Arial"/>
          <w:sz w:val="24"/>
        </w:rPr>
        <w:tab/>
      </w:r>
      <w:r>
        <w:rPr>
          <w:rFonts w:ascii="Arial" w:hAnsi="Arial"/>
          <w:sz w:val="24"/>
        </w:rPr>
        <w:tab/>
        <w:t>Anti-IgG</w:t>
      </w:r>
    </w:p>
    <w:p w:rsidR="0037060E" w:rsidRDefault="0037060E">
      <w:pPr>
        <w:ind w:left="720"/>
        <w:rPr>
          <w:rFonts w:ascii="Arial" w:hAnsi="Arial"/>
          <w:sz w:val="24"/>
        </w:rPr>
      </w:pPr>
      <w:r>
        <w:rPr>
          <w:rFonts w:ascii="Arial" w:hAnsi="Arial"/>
          <w:sz w:val="24"/>
        </w:rPr>
        <w:tab/>
      </w:r>
      <w:r>
        <w:rPr>
          <w:rFonts w:ascii="Arial" w:hAnsi="Arial"/>
          <w:sz w:val="24"/>
        </w:rPr>
        <w:tab/>
      </w:r>
      <w:r>
        <w:rPr>
          <w:rFonts w:ascii="Arial" w:hAnsi="Arial"/>
          <w:sz w:val="24"/>
        </w:rPr>
        <w:tab/>
        <w:t>IgG-coated cells</w:t>
      </w:r>
    </w:p>
    <w:p w:rsidR="0037060E" w:rsidRDefault="0037060E">
      <w:pPr>
        <w:ind w:left="720"/>
        <w:rPr>
          <w:rFonts w:ascii="Arial" w:hAnsi="Arial"/>
          <w:sz w:val="24"/>
        </w:rPr>
      </w:pPr>
      <w:r>
        <w:rPr>
          <w:rFonts w:ascii="Arial" w:hAnsi="Arial"/>
          <w:sz w:val="24"/>
        </w:rPr>
        <w:tab/>
      </w:r>
      <w:r>
        <w:rPr>
          <w:rFonts w:ascii="Arial" w:hAnsi="Arial"/>
          <w:sz w:val="24"/>
        </w:rPr>
        <w:tab/>
      </w:r>
      <w:r>
        <w:rPr>
          <w:rFonts w:ascii="Arial" w:hAnsi="Arial"/>
          <w:sz w:val="24"/>
        </w:rPr>
        <w:tab/>
      </w:r>
      <w:r w:rsidR="0055304A">
        <w:rPr>
          <w:rFonts w:ascii="Arial" w:hAnsi="Arial"/>
          <w:sz w:val="24"/>
        </w:rPr>
        <w:t>Normal s</w:t>
      </w:r>
      <w:r>
        <w:rPr>
          <w:rFonts w:ascii="Arial" w:hAnsi="Arial"/>
          <w:sz w:val="24"/>
        </w:rPr>
        <w:t>aline</w:t>
      </w:r>
    </w:p>
    <w:p w:rsidR="0037060E" w:rsidRDefault="0037060E">
      <w:pPr>
        <w:ind w:left="720"/>
        <w:rPr>
          <w:rFonts w:ascii="Arial" w:hAnsi="Arial"/>
          <w:sz w:val="24"/>
        </w:rPr>
      </w:pPr>
    </w:p>
    <w:p w:rsidR="0037060E" w:rsidRDefault="0037060E">
      <w:pPr>
        <w:ind w:left="720"/>
        <w:rPr>
          <w:rFonts w:ascii="Arial" w:hAnsi="Arial"/>
          <w:sz w:val="24"/>
        </w:rPr>
      </w:pPr>
      <w:r>
        <w:rPr>
          <w:rFonts w:ascii="Arial" w:hAnsi="Arial"/>
          <w:b/>
          <w:sz w:val="24"/>
        </w:rPr>
        <w:t>Worksheets:</w:t>
      </w:r>
      <w:r>
        <w:rPr>
          <w:rFonts w:ascii="Arial" w:hAnsi="Arial"/>
          <w:sz w:val="24"/>
        </w:rPr>
        <w:tab/>
        <w:t>Patient Antigen Typing Worksheet – NRT.009F</w:t>
      </w:r>
    </w:p>
    <w:p w:rsidR="0037060E" w:rsidRDefault="0037060E">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37060E" w:rsidRDefault="0037060E">
      <w:pPr>
        <w:numPr>
          <w:ilvl w:val="0"/>
          <w:numId w:val="1"/>
        </w:numPr>
        <w:rPr>
          <w:rFonts w:ascii="Arial" w:hAnsi="Arial"/>
          <w:b/>
          <w:sz w:val="28"/>
        </w:rPr>
      </w:pPr>
      <w:r>
        <w:rPr>
          <w:rFonts w:ascii="Arial" w:hAnsi="Arial"/>
          <w:b/>
          <w:sz w:val="28"/>
        </w:rPr>
        <w:t>Quality Control</w:t>
      </w:r>
    </w:p>
    <w:p w:rsidR="0037060E" w:rsidRDefault="0037060E">
      <w:pPr>
        <w:rPr>
          <w:rFonts w:ascii="Arial" w:hAnsi="Arial"/>
          <w:sz w:val="24"/>
        </w:rPr>
      </w:pPr>
    </w:p>
    <w:p w:rsidR="0037060E" w:rsidRDefault="0037060E">
      <w:pPr>
        <w:numPr>
          <w:ilvl w:val="1"/>
          <w:numId w:val="1"/>
        </w:numPr>
        <w:rPr>
          <w:rFonts w:ascii="Arial" w:hAnsi="Arial"/>
          <w:sz w:val="24"/>
        </w:rPr>
      </w:pPr>
      <w:r>
        <w:rPr>
          <w:rFonts w:ascii="Arial" w:hAnsi="Arial"/>
          <w:sz w:val="24"/>
        </w:rPr>
        <w:t xml:space="preserve">Commercial antisera must be tested with the appropriate positive and negative control cells </w:t>
      </w:r>
      <w:r w:rsidRPr="0055304A">
        <w:rPr>
          <w:rFonts w:ascii="Arial" w:hAnsi="Arial"/>
          <w:sz w:val="24"/>
        </w:rPr>
        <w:t>each time of use</w:t>
      </w:r>
      <w:r>
        <w:rPr>
          <w:rFonts w:ascii="Arial" w:hAnsi="Arial"/>
          <w:sz w:val="24"/>
        </w:rPr>
        <w:t>.</w:t>
      </w:r>
      <w:r w:rsidR="00D609D4">
        <w:rPr>
          <w:rFonts w:ascii="Arial" w:hAnsi="Arial"/>
          <w:sz w:val="24"/>
          <w:vertAlign w:val="superscript"/>
        </w:rPr>
        <w:t>9.1</w:t>
      </w:r>
    </w:p>
    <w:p w:rsidR="0037060E" w:rsidRDefault="0037060E">
      <w:pPr>
        <w:ind w:left="720"/>
        <w:rPr>
          <w:rFonts w:ascii="Arial" w:hAnsi="Arial"/>
          <w:sz w:val="24"/>
        </w:rPr>
      </w:pPr>
    </w:p>
    <w:p w:rsidR="0037060E" w:rsidRPr="00D609D4" w:rsidRDefault="0037060E" w:rsidP="00D609D4">
      <w:pPr>
        <w:numPr>
          <w:ilvl w:val="1"/>
          <w:numId w:val="1"/>
        </w:numPr>
        <w:rPr>
          <w:rFonts w:ascii="Arial" w:hAnsi="Arial"/>
          <w:sz w:val="24"/>
        </w:rPr>
      </w:pPr>
      <w:r w:rsidRPr="00D609D4">
        <w:rPr>
          <w:rFonts w:ascii="Arial" w:hAnsi="Arial"/>
          <w:sz w:val="24"/>
        </w:rPr>
        <w:t>The positive control cell must have the weakest expression (i.e., single dose, or heterozygous expression of the antigen whenever applicable) of the corresponding antigen.</w:t>
      </w:r>
      <w:r w:rsidR="00D609D4" w:rsidRPr="00D609D4">
        <w:rPr>
          <w:rFonts w:ascii="Arial" w:hAnsi="Arial"/>
          <w:sz w:val="24"/>
          <w:vertAlign w:val="superscript"/>
        </w:rPr>
        <w:t xml:space="preserve">9.1 </w:t>
      </w:r>
      <w:r w:rsidRPr="00D609D4">
        <w:rPr>
          <w:rFonts w:ascii="Arial" w:hAnsi="Arial"/>
          <w:sz w:val="24"/>
        </w:rPr>
        <w:t>The negative control cell must lack the corresponding antigen.</w:t>
      </w:r>
    </w:p>
    <w:p w:rsidR="0037060E" w:rsidRDefault="0037060E">
      <w:pPr>
        <w:ind w:left="1440"/>
        <w:rPr>
          <w:rFonts w:ascii="Arial" w:hAnsi="Arial"/>
          <w:sz w:val="24"/>
        </w:rPr>
      </w:pPr>
    </w:p>
    <w:p w:rsidR="0037060E" w:rsidRDefault="0037060E">
      <w:pPr>
        <w:numPr>
          <w:ilvl w:val="0"/>
          <w:numId w:val="1"/>
        </w:numPr>
        <w:rPr>
          <w:rFonts w:ascii="Arial" w:hAnsi="Arial"/>
          <w:b/>
          <w:sz w:val="28"/>
        </w:rPr>
      </w:pPr>
      <w:r>
        <w:rPr>
          <w:rFonts w:ascii="Arial" w:hAnsi="Arial"/>
          <w:b/>
          <w:sz w:val="28"/>
        </w:rPr>
        <w:t>Procedures</w:t>
      </w:r>
    </w:p>
    <w:p w:rsidR="0037060E" w:rsidRDefault="0037060E">
      <w:pPr>
        <w:rPr>
          <w:rFonts w:ascii="Arial" w:hAnsi="Arial"/>
          <w:sz w:val="24"/>
        </w:rPr>
      </w:pPr>
    </w:p>
    <w:tbl>
      <w:tblPr>
        <w:tblStyle w:val="TableGrid"/>
        <w:tblW w:w="0" w:type="auto"/>
        <w:tblLook w:val="04A0" w:firstRow="1" w:lastRow="0" w:firstColumn="1" w:lastColumn="0" w:noHBand="0" w:noVBand="1"/>
      </w:tblPr>
      <w:tblGrid>
        <w:gridCol w:w="4039"/>
        <w:gridCol w:w="4817"/>
      </w:tblGrid>
      <w:tr w:rsidR="00C6556D" w:rsidTr="00AA350C">
        <w:tc>
          <w:tcPr>
            <w:tcW w:w="8856" w:type="dxa"/>
            <w:gridSpan w:val="2"/>
          </w:tcPr>
          <w:p w:rsidR="00C6556D" w:rsidRPr="00C6556D" w:rsidRDefault="00C6556D" w:rsidP="00CC32A8">
            <w:pPr>
              <w:numPr>
                <w:ilvl w:val="1"/>
                <w:numId w:val="1"/>
              </w:numPr>
              <w:tabs>
                <w:tab w:val="clear" w:pos="1004"/>
                <w:tab w:val="num" w:pos="709"/>
              </w:tabs>
              <w:ind w:left="709" w:hanging="709"/>
              <w:rPr>
                <w:rFonts w:ascii="Arial" w:hAnsi="Arial"/>
                <w:sz w:val="24"/>
              </w:rPr>
            </w:pPr>
            <w:r>
              <w:rPr>
                <w:rFonts w:ascii="Arial" w:hAnsi="Arial"/>
                <w:sz w:val="24"/>
              </w:rPr>
              <w:t>Check the suitability of the specimen(s). See PA.002- Determining Specimen Suitability.</w:t>
            </w:r>
          </w:p>
        </w:tc>
      </w:tr>
      <w:tr w:rsidR="00C6556D" w:rsidTr="00AA350C">
        <w:tc>
          <w:tcPr>
            <w:tcW w:w="8856" w:type="dxa"/>
            <w:gridSpan w:val="2"/>
          </w:tcPr>
          <w:p w:rsidR="00C6556D" w:rsidRPr="00CC32A8" w:rsidRDefault="00C6556D" w:rsidP="00C6556D">
            <w:pPr>
              <w:numPr>
                <w:ilvl w:val="1"/>
                <w:numId w:val="1"/>
              </w:numPr>
              <w:ind w:left="720"/>
              <w:rPr>
                <w:rFonts w:ascii="Arial" w:hAnsi="Arial"/>
                <w:sz w:val="24"/>
              </w:rPr>
            </w:pPr>
            <w:r w:rsidRPr="00CC32A8">
              <w:rPr>
                <w:rFonts w:ascii="Arial" w:hAnsi="Arial"/>
                <w:sz w:val="24"/>
              </w:rPr>
              <w:t>Complete a Patient Antigen Typing Worksheet – NRT.009F. Transcribe the name and identification number from the specimen onto the worksheet, or use computer worksheet.</w:t>
            </w:r>
          </w:p>
          <w:p w:rsidR="00C6556D" w:rsidRDefault="00C6556D" w:rsidP="00D609D4">
            <w:pPr>
              <w:rPr>
                <w:rFonts w:ascii="Arial" w:hAnsi="Arial"/>
                <w:sz w:val="24"/>
              </w:rPr>
            </w:pPr>
          </w:p>
          <w:tbl>
            <w:tblPr>
              <w:tblStyle w:val="TableGrid"/>
              <w:tblpPr w:leftFromText="180" w:rightFromText="180" w:vertAnchor="text" w:horzAnchor="margin" w:tblpY="-252"/>
              <w:tblOverlap w:val="never"/>
              <w:tblW w:w="0" w:type="auto"/>
              <w:tblLook w:val="04A0" w:firstRow="1" w:lastRow="0" w:firstColumn="1" w:lastColumn="0" w:noHBand="0" w:noVBand="1"/>
            </w:tblPr>
            <w:tblGrid>
              <w:gridCol w:w="3823"/>
              <w:gridCol w:w="4802"/>
            </w:tblGrid>
            <w:tr w:rsidR="00C6556D" w:rsidTr="00A95D81">
              <w:tc>
                <w:tcPr>
                  <w:tcW w:w="3823" w:type="dxa"/>
                  <w:shd w:val="clear" w:color="auto" w:fill="D9D9D9" w:themeFill="background1" w:themeFillShade="D9"/>
                </w:tcPr>
                <w:p w:rsidR="00C6556D" w:rsidRPr="00C6556D" w:rsidRDefault="00C6556D" w:rsidP="00AA350C">
                  <w:pPr>
                    <w:jc w:val="center"/>
                    <w:rPr>
                      <w:rFonts w:ascii="Arial" w:hAnsi="Arial"/>
                      <w:i/>
                      <w:sz w:val="24"/>
                    </w:rPr>
                  </w:pPr>
                  <w:r w:rsidRPr="00C6556D">
                    <w:rPr>
                      <w:rFonts w:ascii="Arial" w:hAnsi="Arial"/>
                      <w:i/>
                      <w:sz w:val="24"/>
                    </w:rPr>
                    <w:t>If</w:t>
                  </w:r>
                </w:p>
              </w:tc>
              <w:tc>
                <w:tcPr>
                  <w:tcW w:w="4802" w:type="dxa"/>
                  <w:shd w:val="clear" w:color="auto" w:fill="D9D9D9" w:themeFill="background1" w:themeFillShade="D9"/>
                </w:tcPr>
                <w:p w:rsidR="00C6556D" w:rsidRDefault="00C6556D" w:rsidP="00AA350C">
                  <w:pPr>
                    <w:rPr>
                      <w:rFonts w:ascii="Arial" w:hAnsi="Arial"/>
                      <w:sz w:val="24"/>
                    </w:rPr>
                  </w:pPr>
                  <w:r>
                    <w:rPr>
                      <w:rFonts w:ascii="Arial" w:hAnsi="Arial"/>
                      <w:sz w:val="24"/>
                    </w:rPr>
                    <w:t>Then</w:t>
                  </w:r>
                </w:p>
              </w:tc>
            </w:tr>
            <w:tr w:rsidR="00C6556D" w:rsidTr="00B4054E">
              <w:tc>
                <w:tcPr>
                  <w:tcW w:w="3823" w:type="dxa"/>
                </w:tcPr>
                <w:p w:rsidR="00C6556D" w:rsidRDefault="00CC32A8" w:rsidP="00AA350C">
                  <w:pPr>
                    <w:rPr>
                      <w:rFonts w:ascii="Arial" w:hAnsi="Arial"/>
                      <w:sz w:val="24"/>
                    </w:rPr>
                  </w:pPr>
                  <w:r>
                    <w:rPr>
                      <w:rFonts w:ascii="Arial" w:hAnsi="Arial"/>
                      <w:sz w:val="24"/>
                    </w:rPr>
                    <w:t>T</w:t>
                  </w:r>
                  <w:r w:rsidR="00C6556D">
                    <w:rPr>
                      <w:rFonts w:ascii="Arial" w:hAnsi="Arial"/>
                      <w:sz w:val="24"/>
                    </w:rPr>
                    <w:t>yping donor units</w:t>
                  </w:r>
                </w:p>
              </w:tc>
              <w:tc>
                <w:tcPr>
                  <w:tcW w:w="4802" w:type="dxa"/>
                </w:tcPr>
                <w:p w:rsidR="00C6556D" w:rsidRDefault="00CC32A8" w:rsidP="00AA350C">
                  <w:pPr>
                    <w:rPr>
                      <w:rFonts w:ascii="Arial" w:hAnsi="Arial"/>
                      <w:sz w:val="24"/>
                    </w:rPr>
                  </w:pPr>
                  <w:r>
                    <w:rPr>
                      <w:rFonts w:ascii="Arial" w:hAnsi="Arial"/>
                      <w:sz w:val="24"/>
                    </w:rPr>
                    <w:t>C</w:t>
                  </w:r>
                  <w:r w:rsidR="00184F7F">
                    <w:rPr>
                      <w:rFonts w:ascii="Arial" w:hAnsi="Arial"/>
                      <w:sz w:val="24"/>
                    </w:rPr>
                    <w:t>omplete</w:t>
                  </w:r>
                  <w:r w:rsidR="00C6556D">
                    <w:rPr>
                      <w:rFonts w:ascii="Arial" w:hAnsi="Arial"/>
                      <w:sz w:val="24"/>
                    </w:rPr>
                    <w:t xml:space="preserve"> Antigen Typing Worksheet – NRT.009F</w:t>
                  </w:r>
                  <w:r w:rsidR="00184F7F">
                    <w:rPr>
                      <w:rFonts w:ascii="Arial" w:hAnsi="Arial"/>
                      <w:sz w:val="24"/>
                    </w:rPr>
                    <w:t>.</w:t>
                  </w:r>
                  <w:r w:rsidR="00D609D4">
                    <w:rPr>
                      <w:rFonts w:ascii="Arial" w:hAnsi="Arial"/>
                      <w:sz w:val="24"/>
                    </w:rPr>
                    <w:t xml:space="preserve"> To estimate the number of donor units to test, see Procedural Notes 8.1</w:t>
                  </w:r>
                </w:p>
              </w:tc>
            </w:tr>
            <w:tr w:rsidR="00C6556D" w:rsidTr="00B4054E">
              <w:tc>
                <w:tcPr>
                  <w:tcW w:w="3823" w:type="dxa"/>
                </w:tcPr>
                <w:p w:rsidR="00C6556D" w:rsidRDefault="00D609D4" w:rsidP="00AA350C">
                  <w:pPr>
                    <w:tabs>
                      <w:tab w:val="left" w:pos="1130"/>
                    </w:tabs>
                    <w:rPr>
                      <w:rFonts w:ascii="Arial" w:hAnsi="Arial"/>
                      <w:sz w:val="24"/>
                    </w:rPr>
                  </w:pPr>
                  <w:r>
                    <w:rPr>
                      <w:rFonts w:ascii="Arial" w:hAnsi="Arial"/>
                      <w:sz w:val="24"/>
                    </w:rPr>
                    <w:t>C</w:t>
                  </w:r>
                  <w:r w:rsidR="00C6556D">
                    <w:rPr>
                      <w:rFonts w:ascii="Arial" w:hAnsi="Arial"/>
                      <w:sz w:val="24"/>
                    </w:rPr>
                    <w:t>omputerized</w:t>
                  </w:r>
                </w:p>
              </w:tc>
              <w:tc>
                <w:tcPr>
                  <w:tcW w:w="4802" w:type="dxa"/>
                </w:tcPr>
                <w:p w:rsidR="00C6556D" w:rsidRDefault="00CC32A8" w:rsidP="00D609D4">
                  <w:pPr>
                    <w:rPr>
                      <w:rFonts w:ascii="Arial" w:hAnsi="Arial"/>
                      <w:sz w:val="24"/>
                    </w:rPr>
                  </w:pPr>
                  <w:r>
                    <w:rPr>
                      <w:rFonts w:ascii="Arial" w:hAnsi="Arial"/>
                      <w:sz w:val="24"/>
                    </w:rPr>
                    <w:t>P</w:t>
                  </w:r>
                  <w:r w:rsidR="00C6556D">
                    <w:rPr>
                      <w:rFonts w:ascii="Arial" w:hAnsi="Arial"/>
                      <w:sz w:val="24"/>
                    </w:rPr>
                    <w:t xml:space="preserve">roceed with computer result entry.  </w:t>
                  </w:r>
                </w:p>
              </w:tc>
            </w:tr>
          </w:tbl>
          <w:p w:rsidR="00C6556D" w:rsidRDefault="00C6556D">
            <w:pPr>
              <w:rPr>
                <w:rFonts w:ascii="Arial" w:hAnsi="Arial"/>
                <w:sz w:val="24"/>
              </w:rPr>
            </w:pPr>
          </w:p>
        </w:tc>
      </w:tr>
      <w:tr w:rsidR="00C6556D" w:rsidTr="00A95D81">
        <w:trPr>
          <w:trHeight w:val="1857"/>
        </w:trPr>
        <w:tc>
          <w:tcPr>
            <w:tcW w:w="8856" w:type="dxa"/>
            <w:gridSpan w:val="2"/>
          </w:tcPr>
          <w:p w:rsidR="00C6556D" w:rsidRPr="00A95D81" w:rsidRDefault="00C6556D" w:rsidP="00A95D81">
            <w:pPr>
              <w:numPr>
                <w:ilvl w:val="1"/>
                <w:numId w:val="1"/>
              </w:numPr>
              <w:tabs>
                <w:tab w:val="clear" w:pos="1004"/>
                <w:tab w:val="num" w:pos="709"/>
              </w:tabs>
              <w:ind w:left="709" w:hanging="709"/>
              <w:rPr>
                <w:rFonts w:ascii="Arial" w:hAnsi="Arial"/>
                <w:sz w:val="24"/>
              </w:rPr>
            </w:pPr>
            <w:r w:rsidRPr="00A95D81">
              <w:rPr>
                <w:rFonts w:ascii="Arial" w:hAnsi="Arial"/>
                <w:sz w:val="24"/>
              </w:rPr>
              <w:t>Confirm that the patient has not been transfused in the past three months. Record this information on the worksheet.</w:t>
            </w:r>
          </w:p>
          <w:tbl>
            <w:tblPr>
              <w:tblStyle w:val="TableGrid"/>
              <w:tblW w:w="0" w:type="auto"/>
              <w:tblLook w:val="04A0" w:firstRow="1" w:lastRow="0" w:firstColumn="1" w:lastColumn="0" w:noHBand="0" w:noVBand="1"/>
            </w:tblPr>
            <w:tblGrid>
              <w:gridCol w:w="3823"/>
              <w:gridCol w:w="4802"/>
            </w:tblGrid>
            <w:tr w:rsidR="00C6556D" w:rsidTr="00A95D81">
              <w:tc>
                <w:tcPr>
                  <w:tcW w:w="3823" w:type="dxa"/>
                  <w:shd w:val="clear" w:color="auto" w:fill="D9D9D9" w:themeFill="background1" w:themeFillShade="D9"/>
                </w:tcPr>
                <w:p w:rsidR="00C6556D" w:rsidRPr="00C6556D" w:rsidRDefault="00C6556D" w:rsidP="00C6556D">
                  <w:pPr>
                    <w:jc w:val="center"/>
                    <w:rPr>
                      <w:rFonts w:ascii="Arial" w:hAnsi="Arial"/>
                      <w:i/>
                      <w:sz w:val="24"/>
                    </w:rPr>
                  </w:pPr>
                  <w:r w:rsidRPr="00C6556D">
                    <w:rPr>
                      <w:rFonts w:ascii="Arial" w:hAnsi="Arial"/>
                      <w:i/>
                      <w:sz w:val="24"/>
                    </w:rPr>
                    <w:t>If</w:t>
                  </w:r>
                </w:p>
              </w:tc>
              <w:tc>
                <w:tcPr>
                  <w:tcW w:w="4802" w:type="dxa"/>
                  <w:shd w:val="clear" w:color="auto" w:fill="D9D9D9" w:themeFill="background1" w:themeFillShade="D9"/>
                </w:tcPr>
                <w:p w:rsidR="00C6556D" w:rsidRPr="00C6556D" w:rsidRDefault="00C6556D" w:rsidP="00C6556D">
                  <w:pPr>
                    <w:jc w:val="center"/>
                    <w:rPr>
                      <w:rFonts w:ascii="Arial" w:hAnsi="Arial"/>
                      <w:i/>
                      <w:sz w:val="24"/>
                    </w:rPr>
                  </w:pPr>
                  <w:r w:rsidRPr="00C6556D">
                    <w:rPr>
                      <w:rFonts w:ascii="Arial" w:hAnsi="Arial"/>
                      <w:i/>
                      <w:sz w:val="24"/>
                    </w:rPr>
                    <w:t>Then</w:t>
                  </w:r>
                </w:p>
              </w:tc>
            </w:tr>
            <w:tr w:rsidR="00C6556D" w:rsidTr="00B4054E">
              <w:tc>
                <w:tcPr>
                  <w:tcW w:w="3823" w:type="dxa"/>
                </w:tcPr>
                <w:p w:rsidR="00C6556D" w:rsidRDefault="00CC32A8" w:rsidP="00C6556D">
                  <w:pPr>
                    <w:rPr>
                      <w:rFonts w:ascii="Arial" w:hAnsi="Arial"/>
                      <w:sz w:val="24"/>
                    </w:rPr>
                  </w:pPr>
                  <w:r>
                    <w:rPr>
                      <w:rFonts w:ascii="Arial" w:hAnsi="Arial"/>
                      <w:sz w:val="24"/>
                    </w:rPr>
                    <w:t>T</w:t>
                  </w:r>
                  <w:r w:rsidR="00C6556D">
                    <w:rPr>
                      <w:rFonts w:ascii="Arial" w:hAnsi="Arial"/>
                      <w:sz w:val="24"/>
                    </w:rPr>
                    <w:t xml:space="preserve">he patient </w:t>
                  </w:r>
                  <w:r w:rsidR="00C6556D" w:rsidRPr="0055304A">
                    <w:rPr>
                      <w:rFonts w:ascii="Arial" w:hAnsi="Arial"/>
                      <w:sz w:val="24"/>
                    </w:rPr>
                    <w:t>has been transfused</w:t>
                  </w:r>
                  <w:r w:rsidR="00C6556D">
                    <w:rPr>
                      <w:rFonts w:ascii="Arial" w:hAnsi="Arial"/>
                      <w:sz w:val="24"/>
                    </w:rPr>
                    <w:t xml:space="preserve"> in the last three months</w:t>
                  </w:r>
                </w:p>
              </w:tc>
              <w:tc>
                <w:tcPr>
                  <w:tcW w:w="4802" w:type="dxa"/>
                </w:tcPr>
                <w:p w:rsidR="00C6556D" w:rsidRDefault="00CC32A8" w:rsidP="00C6556D">
                  <w:pPr>
                    <w:rPr>
                      <w:rFonts w:ascii="Arial" w:hAnsi="Arial"/>
                      <w:sz w:val="24"/>
                    </w:rPr>
                  </w:pPr>
                  <w:r>
                    <w:rPr>
                      <w:rFonts w:ascii="Arial" w:hAnsi="Arial"/>
                      <w:sz w:val="24"/>
                    </w:rPr>
                    <w:t>R</w:t>
                  </w:r>
                  <w:r w:rsidR="00C6556D">
                    <w:rPr>
                      <w:rFonts w:ascii="Arial" w:hAnsi="Arial"/>
                      <w:sz w:val="24"/>
                    </w:rPr>
                    <w:t xml:space="preserve">etrieve and use a </w:t>
                  </w:r>
                  <w:r w:rsidR="00C6556D" w:rsidRPr="0055304A">
                    <w:rPr>
                      <w:rFonts w:ascii="Arial" w:hAnsi="Arial"/>
                      <w:sz w:val="24"/>
                    </w:rPr>
                    <w:t>pre-transfusion</w:t>
                  </w:r>
                  <w:r w:rsidR="00C6556D">
                    <w:rPr>
                      <w:rFonts w:ascii="Arial" w:hAnsi="Arial"/>
                      <w:sz w:val="24"/>
                    </w:rPr>
                    <w:t xml:space="preserve"> specimen, if available. </w:t>
                  </w:r>
                </w:p>
                <w:p w:rsidR="00C6556D" w:rsidRDefault="00C6556D" w:rsidP="00C87245">
                  <w:pPr>
                    <w:rPr>
                      <w:rFonts w:ascii="Arial" w:hAnsi="Arial"/>
                      <w:sz w:val="24"/>
                    </w:rPr>
                  </w:pPr>
                  <w:r>
                    <w:rPr>
                      <w:rFonts w:ascii="Arial" w:hAnsi="Arial"/>
                      <w:sz w:val="24"/>
                    </w:rPr>
                    <w:t xml:space="preserve">See </w:t>
                  </w:r>
                  <w:r w:rsidRPr="00993FD0">
                    <w:rPr>
                      <w:rFonts w:ascii="Arial" w:hAnsi="Arial"/>
                      <w:sz w:val="24"/>
                    </w:rPr>
                    <w:t>Procedural Notes 8.2</w:t>
                  </w:r>
                </w:p>
              </w:tc>
            </w:tr>
          </w:tbl>
          <w:p w:rsidR="00C6556D" w:rsidRDefault="00C6556D">
            <w:pPr>
              <w:rPr>
                <w:rFonts w:ascii="Arial" w:hAnsi="Arial"/>
                <w:sz w:val="24"/>
              </w:rPr>
            </w:pPr>
          </w:p>
        </w:tc>
      </w:tr>
      <w:tr w:rsidR="00B819B6" w:rsidTr="00AA350C">
        <w:tc>
          <w:tcPr>
            <w:tcW w:w="8856" w:type="dxa"/>
            <w:gridSpan w:val="2"/>
          </w:tcPr>
          <w:p w:rsidR="00B819B6" w:rsidRDefault="00B819B6" w:rsidP="00A95D81">
            <w:pPr>
              <w:numPr>
                <w:ilvl w:val="1"/>
                <w:numId w:val="1"/>
              </w:numPr>
              <w:tabs>
                <w:tab w:val="clear" w:pos="1004"/>
                <w:tab w:val="num" w:pos="709"/>
              </w:tabs>
              <w:ind w:left="709" w:hanging="709"/>
              <w:rPr>
                <w:rFonts w:ascii="Arial" w:hAnsi="Arial"/>
                <w:sz w:val="24"/>
              </w:rPr>
            </w:pPr>
            <w:r>
              <w:rPr>
                <w:rFonts w:ascii="Arial" w:hAnsi="Arial"/>
                <w:sz w:val="24"/>
              </w:rPr>
              <w:t xml:space="preserve">If antigen typing by indirect antiglobulin test, confirm that an autocontrol by IAT or the direct antiglobulin test (DAT) on the cells is negative.  </w:t>
            </w:r>
          </w:p>
          <w:p w:rsidR="00B819B6" w:rsidRDefault="00A95D81" w:rsidP="00A95D81">
            <w:pPr>
              <w:rPr>
                <w:rFonts w:ascii="Arial" w:hAnsi="Arial"/>
                <w:sz w:val="24"/>
              </w:rPr>
            </w:pPr>
            <w:r>
              <w:rPr>
                <w:rFonts w:ascii="Arial" w:hAnsi="Arial"/>
                <w:sz w:val="24"/>
              </w:rPr>
              <w:t xml:space="preserve">          </w:t>
            </w:r>
            <w:r w:rsidR="00B819B6">
              <w:rPr>
                <w:rFonts w:ascii="Arial" w:hAnsi="Arial"/>
                <w:sz w:val="24"/>
              </w:rPr>
              <w:t>Record autocontrol by IAT or DAT results on the worksheet.</w:t>
            </w:r>
          </w:p>
          <w:tbl>
            <w:tblPr>
              <w:tblStyle w:val="TableGrid"/>
              <w:tblW w:w="0" w:type="auto"/>
              <w:tblLook w:val="04A0" w:firstRow="1" w:lastRow="0" w:firstColumn="1" w:lastColumn="0" w:noHBand="0" w:noVBand="1"/>
            </w:tblPr>
            <w:tblGrid>
              <w:gridCol w:w="3823"/>
              <w:gridCol w:w="4802"/>
            </w:tblGrid>
            <w:tr w:rsidR="00B819B6" w:rsidTr="00A95D81">
              <w:tc>
                <w:tcPr>
                  <w:tcW w:w="3823" w:type="dxa"/>
                  <w:shd w:val="clear" w:color="auto" w:fill="D9D9D9" w:themeFill="background1" w:themeFillShade="D9"/>
                </w:tcPr>
                <w:p w:rsidR="00B819B6" w:rsidRPr="00B819B6" w:rsidRDefault="00B819B6" w:rsidP="00B819B6">
                  <w:pPr>
                    <w:jc w:val="center"/>
                    <w:rPr>
                      <w:rFonts w:ascii="Arial" w:hAnsi="Arial"/>
                      <w:i/>
                      <w:sz w:val="24"/>
                    </w:rPr>
                  </w:pPr>
                  <w:r w:rsidRPr="00B819B6">
                    <w:rPr>
                      <w:rFonts w:ascii="Arial" w:hAnsi="Arial"/>
                      <w:i/>
                      <w:sz w:val="24"/>
                    </w:rPr>
                    <w:t>If</w:t>
                  </w:r>
                </w:p>
              </w:tc>
              <w:tc>
                <w:tcPr>
                  <w:tcW w:w="4802" w:type="dxa"/>
                  <w:shd w:val="clear" w:color="auto" w:fill="D9D9D9" w:themeFill="background1" w:themeFillShade="D9"/>
                </w:tcPr>
                <w:p w:rsidR="00B819B6" w:rsidRPr="00B819B6" w:rsidRDefault="00B819B6" w:rsidP="00B819B6">
                  <w:pPr>
                    <w:jc w:val="center"/>
                    <w:rPr>
                      <w:rFonts w:ascii="Arial" w:hAnsi="Arial"/>
                      <w:i/>
                      <w:sz w:val="24"/>
                    </w:rPr>
                  </w:pPr>
                  <w:r w:rsidRPr="00B819B6">
                    <w:rPr>
                      <w:rFonts w:ascii="Arial" w:hAnsi="Arial"/>
                      <w:i/>
                      <w:sz w:val="24"/>
                    </w:rPr>
                    <w:t>Then</w:t>
                  </w:r>
                </w:p>
              </w:tc>
            </w:tr>
            <w:tr w:rsidR="00B819B6" w:rsidTr="00B4054E">
              <w:tc>
                <w:tcPr>
                  <w:tcW w:w="3823" w:type="dxa"/>
                </w:tcPr>
                <w:p w:rsidR="00B819B6" w:rsidRDefault="00CC32A8">
                  <w:pPr>
                    <w:rPr>
                      <w:rFonts w:ascii="Arial" w:hAnsi="Arial"/>
                      <w:sz w:val="24"/>
                    </w:rPr>
                  </w:pPr>
                  <w:r>
                    <w:rPr>
                      <w:rFonts w:ascii="Arial" w:hAnsi="Arial"/>
                      <w:sz w:val="24"/>
                    </w:rPr>
                    <w:t>T</w:t>
                  </w:r>
                  <w:r w:rsidR="00B819B6">
                    <w:rPr>
                      <w:rFonts w:ascii="Arial" w:hAnsi="Arial"/>
                      <w:sz w:val="24"/>
                    </w:rPr>
                    <w:t>he IAT autocontrol or DAT result is positive with anti-C3 only</w:t>
                  </w:r>
                </w:p>
              </w:tc>
              <w:tc>
                <w:tcPr>
                  <w:tcW w:w="4802" w:type="dxa"/>
                </w:tcPr>
                <w:p w:rsidR="00B819B6" w:rsidRDefault="00CC32A8" w:rsidP="00B819B6">
                  <w:pPr>
                    <w:tabs>
                      <w:tab w:val="left" w:pos="1080"/>
                    </w:tabs>
                    <w:rPr>
                      <w:rFonts w:ascii="Arial" w:hAnsi="Arial"/>
                      <w:sz w:val="24"/>
                    </w:rPr>
                  </w:pPr>
                  <w:r>
                    <w:rPr>
                      <w:rFonts w:ascii="Arial" w:hAnsi="Arial"/>
                      <w:sz w:val="24"/>
                    </w:rPr>
                    <w:t>A</w:t>
                  </w:r>
                  <w:r w:rsidR="00B819B6">
                    <w:rPr>
                      <w:rFonts w:ascii="Arial" w:hAnsi="Arial"/>
                      <w:sz w:val="24"/>
                    </w:rPr>
                    <w:t>ntigen typing using indirect antiglobulin test, may be performed providing anti-IgG reagent is used</w:t>
                  </w:r>
                </w:p>
              </w:tc>
            </w:tr>
            <w:tr w:rsidR="00B819B6" w:rsidTr="00B4054E">
              <w:tc>
                <w:tcPr>
                  <w:tcW w:w="3823" w:type="dxa"/>
                </w:tcPr>
                <w:p w:rsidR="00B819B6" w:rsidRDefault="00CC32A8">
                  <w:pPr>
                    <w:rPr>
                      <w:rFonts w:ascii="Arial" w:hAnsi="Arial"/>
                      <w:sz w:val="24"/>
                    </w:rPr>
                  </w:pPr>
                  <w:r>
                    <w:rPr>
                      <w:rFonts w:ascii="Arial" w:hAnsi="Arial"/>
                      <w:sz w:val="24"/>
                    </w:rPr>
                    <w:t>T</w:t>
                  </w:r>
                  <w:r w:rsidR="00B819B6">
                    <w:rPr>
                      <w:rFonts w:ascii="Arial" w:hAnsi="Arial"/>
                      <w:sz w:val="24"/>
                    </w:rPr>
                    <w:t>he IAT autocontrol or DAT is positive with anti-IgG</w:t>
                  </w:r>
                </w:p>
              </w:tc>
              <w:tc>
                <w:tcPr>
                  <w:tcW w:w="4802" w:type="dxa"/>
                </w:tcPr>
                <w:p w:rsidR="00B819B6" w:rsidRDefault="00CC32A8" w:rsidP="00B819B6">
                  <w:pPr>
                    <w:rPr>
                      <w:rFonts w:ascii="Arial" w:hAnsi="Arial"/>
                      <w:sz w:val="24"/>
                    </w:rPr>
                  </w:pPr>
                  <w:r>
                    <w:rPr>
                      <w:rFonts w:ascii="Arial" w:hAnsi="Arial"/>
                      <w:sz w:val="24"/>
                    </w:rPr>
                    <w:t>D</w:t>
                  </w:r>
                  <w:r w:rsidR="00B819B6" w:rsidRPr="0055304A">
                    <w:rPr>
                      <w:rFonts w:ascii="Arial" w:hAnsi="Arial"/>
                      <w:sz w:val="24"/>
                    </w:rPr>
                    <w:t>o not</w:t>
                  </w:r>
                  <w:r w:rsidR="00B819B6">
                    <w:rPr>
                      <w:rFonts w:ascii="Arial" w:hAnsi="Arial"/>
                      <w:sz w:val="24"/>
                    </w:rPr>
                    <w:t xml:space="preserve"> perform antigen typing using indirect antiglobulin test. Use monoclonal antisera for testing or pretreat the cells with chloroquine or EGA.  </w:t>
                  </w:r>
                  <w:r w:rsidR="00CB6B7F">
                    <w:rPr>
                      <w:rFonts w:ascii="Arial" w:hAnsi="Arial"/>
                      <w:sz w:val="24"/>
                    </w:rPr>
                    <w:t>See Special Procedures SP.011 or 012.</w:t>
                  </w:r>
                </w:p>
              </w:tc>
            </w:tr>
          </w:tbl>
          <w:p w:rsidR="00B819B6" w:rsidRDefault="00B819B6">
            <w:pPr>
              <w:rPr>
                <w:rFonts w:ascii="Arial" w:hAnsi="Arial"/>
                <w:sz w:val="24"/>
              </w:rPr>
            </w:pPr>
          </w:p>
        </w:tc>
      </w:tr>
      <w:tr w:rsidR="00B819B6" w:rsidTr="00B819B6">
        <w:trPr>
          <w:trHeight w:val="90"/>
        </w:trPr>
        <w:tc>
          <w:tcPr>
            <w:tcW w:w="4039" w:type="dxa"/>
            <w:vMerge w:val="restart"/>
          </w:tcPr>
          <w:p w:rsidR="00B819B6" w:rsidRDefault="00B819B6" w:rsidP="00A95D81">
            <w:pPr>
              <w:numPr>
                <w:ilvl w:val="1"/>
                <w:numId w:val="1"/>
              </w:numPr>
              <w:tabs>
                <w:tab w:val="clear" w:pos="1004"/>
                <w:tab w:val="num" w:pos="709"/>
              </w:tabs>
              <w:ind w:left="709" w:hanging="709"/>
              <w:rPr>
                <w:rFonts w:ascii="Arial" w:hAnsi="Arial"/>
                <w:sz w:val="24"/>
              </w:rPr>
            </w:pPr>
            <w:r w:rsidRPr="0055304A">
              <w:rPr>
                <w:rFonts w:ascii="Arial" w:hAnsi="Arial"/>
                <w:sz w:val="24"/>
              </w:rPr>
              <w:t xml:space="preserve">Prepare a 3% patient </w:t>
            </w:r>
            <w:r>
              <w:rPr>
                <w:rFonts w:ascii="Arial" w:hAnsi="Arial"/>
                <w:sz w:val="24"/>
              </w:rPr>
              <w:t xml:space="preserve">red </w:t>
            </w:r>
            <w:r w:rsidRPr="0055304A">
              <w:rPr>
                <w:rFonts w:ascii="Arial" w:hAnsi="Arial"/>
                <w:sz w:val="24"/>
              </w:rPr>
              <w:t>cell suspension</w:t>
            </w:r>
            <w:r>
              <w:rPr>
                <w:rFonts w:ascii="Arial" w:hAnsi="Arial"/>
                <w:sz w:val="24"/>
              </w:rPr>
              <w:t>:</w:t>
            </w:r>
          </w:p>
        </w:tc>
        <w:tc>
          <w:tcPr>
            <w:tcW w:w="4817" w:type="dxa"/>
          </w:tcPr>
          <w:p w:rsidR="00B819B6" w:rsidRDefault="00B819B6" w:rsidP="00B819B6">
            <w:pPr>
              <w:numPr>
                <w:ilvl w:val="2"/>
                <w:numId w:val="1"/>
              </w:numPr>
              <w:rPr>
                <w:rFonts w:ascii="Arial" w:hAnsi="Arial"/>
                <w:sz w:val="24"/>
              </w:rPr>
            </w:pPr>
            <w:r>
              <w:rPr>
                <w:rFonts w:ascii="Arial" w:hAnsi="Arial"/>
                <w:sz w:val="24"/>
              </w:rPr>
              <w:t xml:space="preserve">Label a test tube with the patient </w:t>
            </w:r>
            <w:r w:rsidRPr="0055304A">
              <w:rPr>
                <w:rFonts w:ascii="Arial" w:hAnsi="Arial"/>
                <w:sz w:val="24"/>
              </w:rPr>
              <w:t>full</w:t>
            </w:r>
            <w:r>
              <w:rPr>
                <w:rFonts w:ascii="Arial" w:hAnsi="Arial"/>
                <w:sz w:val="24"/>
              </w:rPr>
              <w:t xml:space="preserve"> family name; transcribe the family name </w:t>
            </w:r>
            <w:r w:rsidRPr="0055304A">
              <w:rPr>
                <w:rFonts w:ascii="Arial" w:hAnsi="Arial"/>
                <w:sz w:val="24"/>
              </w:rPr>
              <w:t>from the specimen tube,</w:t>
            </w:r>
            <w:r>
              <w:rPr>
                <w:rFonts w:ascii="Arial" w:hAnsi="Arial"/>
                <w:sz w:val="24"/>
              </w:rPr>
              <w:t xml:space="preserve"> not from the request form.  A pre-printed label may be used (ensure the information coincides exactly to the specimen label).</w:t>
            </w:r>
          </w:p>
        </w:tc>
      </w:tr>
      <w:tr w:rsidR="00B819B6" w:rsidTr="00B819B6">
        <w:trPr>
          <w:trHeight w:val="90"/>
        </w:trPr>
        <w:tc>
          <w:tcPr>
            <w:tcW w:w="4039" w:type="dxa"/>
            <w:vMerge/>
          </w:tcPr>
          <w:p w:rsidR="00B819B6" w:rsidRPr="0055304A" w:rsidRDefault="00B819B6" w:rsidP="00B819B6">
            <w:pPr>
              <w:numPr>
                <w:ilvl w:val="1"/>
                <w:numId w:val="1"/>
              </w:numPr>
              <w:rPr>
                <w:rFonts w:ascii="Arial" w:hAnsi="Arial"/>
                <w:sz w:val="24"/>
              </w:rPr>
            </w:pPr>
          </w:p>
        </w:tc>
        <w:tc>
          <w:tcPr>
            <w:tcW w:w="4817" w:type="dxa"/>
          </w:tcPr>
          <w:p w:rsidR="00B819B6" w:rsidRDefault="00B819B6" w:rsidP="00B819B6">
            <w:pPr>
              <w:numPr>
                <w:ilvl w:val="2"/>
                <w:numId w:val="1"/>
              </w:numPr>
              <w:rPr>
                <w:rFonts w:ascii="Arial" w:hAnsi="Arial"/>
                <w:sz w:val="24"/>
              </w:rPr>
            </w:pPr>
            <w:r>
              <w:rPr>
                <w:rFonts w:ascii="Arial" w:hAnsi="Arial"/>
                <w:sz w:val="24"/>
              </w:rPr>
              <w:t>Dispense 2 drops of whole blood (or equivalent: 1 drop of packed cells) to the labeled tube.</w:t>
            </w:r>
          </w:p>
        </w:tc>
      </w:tr>
      <w:tr w:rsidR="00B819B6" w:rsidTr="00B819B6">
        <w:trPr>
          <w:trHeight w:val="90"/>
        </w:trPr>
        <w:tc>
          <w:tcPr>
            <w:tcW w:w="4039" w:type="dxa"/>
            <w:vMerge/>
          </w:tcPr>
          <w:p w:rsidR="00B819B6" w:rsidRPr="0055304A" w:rsidRDefault="00B819B6" w:rsidP="00B819B6">
            <w:pPr>
              <w:numPr>
                <w:ilvl w:val="1"/>
                <w:numId w:val="1"/>
              </w:numPr>
              <w:rPr>
                <w:rFonts w:ascii="Arial" w:hAnsi="Arial"/>
                <w:sz w:val="24"/>
              </w:rPr>
            </w:pPr>
          </w:p>
        </w:tc>
        <w:tc>
          <w:tcPr>
            <w:tcW w:w="4817" w:type="dxa"/>
          </w:tcPr>
          <w:p w:rsidR="00B819B6" w:rsidRDefault="00B819B6" w:rsidP="00B819B6">
            <w:pPr>
              <w:numPr>
                <w:ilvl w:val="2"/>
                <w:numId w:val="1"/>
              </w:numPr>
              <w:rPr>
                <w:rFonts w:ascii="Arial" w:hAnsi="Arial"/>
                <w:sz w:val="24"/>
              </w:rPr>
            </w:pPr>
            <w:r>
              <w:rPr>
                <w:rFonts w:ascii="Arial" w:hAnsi="Arial"/>
                <w:sz w:val="24"/>
              </w:rPr>
              <w:t>Add 0.5 to 1.0 mL of normal saline and mix to resuspend to 3%.</w:t>
            </w:r>
          </w:p>
        </w:tc>
      </w:tr>
      <w:tr w:rsidR="00B819B6" w:rsidTr="00B819B6">
        <w:trPr>
          <w:trHeight w:val="90"/>
        </w:trPr>
        <w:tc>
          <w:tcPr>
            <w:tcW w:w="4039" w:type="dxa"/>
            <w:vMerge/>
          </w:tcPr>
          <w:p w:rsidR="00B819B6" w:rsidRPr="0055304A" w:rsidRDefault="00B819B6" w:rsidP="00B819B6">
            <w:pPr>
              <w:numPr>
                <w:ilvl w:val="1"/>
                <w:numId w:val="1"/>
              </w:numPr>
              <w:rPr>
                <w:rFonts w:ascii="Arial" w:hAnsi="Arial"/>
                <w:sz w:val="24"/>
              </w:rPr>
            </w:pPr>
          </w:p>
        </w:tc>
        <w:tc>
          <w:tcPr>
            <w:tcW w:w="4817" w:type="dxa"/>
          </w:tcPr>
          <w:p w:rsidR="00B819B6" w:rsidRDefault="00B819B6" w:rsidP="00B819B6">
            <w:pPr>
              <w:numPr>
                <w:ilvl w:val="2"/>
                <w:numId w:val="1"/>
              </w:numPr>
              <w:rPr>
                <w:rFonts w:ascii="Arial" w:hAnsi="Arial"/>
                <w:sz w:val="24"/>
              </w:rPr>
            </w:pPr>
            <w:r>
              <w:rPr>
                <w:rFonts w:ascii="Arial" w:hAnsi="Arial"/>
                <w:sz w:val="24"/>
              </w:rPr>
              <w:t>Compare with a 3% commercial red cell suspension and adjust the strength of the suspension if necessary.</w:t>
            </w:r>
          </w:p>
        </w:tc>
      </w:tr>
      <w:tr w:rsidR="00B819B6" w:rsidTr="00B819B6">
        <w:trPr>
          <w:trHeight w:val="179"/>
        </w:trPr>
        <w:tc>
          <w:tcPr>
            <w:tcW w:w="4039" w:type="dxa"/>
            <w:vMerge w:val="restart"/>
          </w:tcPr>
          <w:p w:rsidR="00B819B6" w:rsidRPr="00B819B6" w:rsidRDefault="00B819B6" w:rsidP="00A95D81">
            <w:pPr>
              <w:pStyle w:val="ListParagraph"/>
              <w:numPr>
                <w:ilvl w:val="1"/>
                <w:numId w:val="1"/>
              </w:numPr>
              <w:tabs>
                <w:tab w:val="clear" w:pos="1004"/>
                <w:tab w:val="num" w:pos="709"/>
              </w:tabs>
              <w:ind w:left="709" w:hanging="709"/>
              <w:rPr>
                <w:rFonts w:ascii="Arial" w:hAnsi="Arial"/>
                <w:sz w:val="24"/>
              </w:rPr>
            </w:pPr>
            <w:r w:rsidRPr="00B819B6">
              <w:rPr>
                <w:rFonts w:ascii="Arial" w:hAnsi="Arial"/>
                <w:sz w:val="24"/>
              </w:rPr>
              <w:t>Preparing a 3% donor unit cell suspension:</w:t>
            </w:r>
          </w:p>
          <w:p w:rsidR="00B819B6" w:rsidRDefault="00B819B6">
            <w:pPr>
              <w:rPr>
                <w:rFonts w:ascii="Arial" w:hAnsi="Arial"/>
                <w:sz w:val="24"/>
              </w:rPr>
            </w:pPr>
          </w:p>
        </w:tc>
        <w:tc>
          <w:tcPr>
            <w:tcW w:w="4817" w:type="dxa"/>
          </w:tcPr>
          <w:p w:rsidR="00B819B6" w:rsidRDefault="00B819B6" w:rsidP="00B819B6">
            <w:pPr>
              <w:numPr>
                <w:ilvl w:val="2"/>
                <w:numId w:val="1"/>
              </w:numPr>
              <w:rPr>
                <w:rFonts w:ascii="Arial" w:hAnsi="Arial"/>
                <w:sz w:val="24"/>
              </w:rPr>
            </w:pPr>
            <w:r>
              <w:rPr>
                <w:rFonts w:ascii="Arial" w:hAnsi="Arial"/>
                <w:sz w:val="24"/>
              </w:rPr>
              <w:t>Using a segment device squeeze one drop of blood into a test tube labeled with the full donor number.</w:t>
            </w:r>
          </w:p>
        </w:tc>
      </w:tr>
      <w:tr w:rsidR="00B819B6" w:rsidTr="00B819B6">
        <w:trPr>
          <w:trHeight w:val="178"/>
        </w:trPr>
        <w:tc>
          <w:tcPr>
            <w:tcW w:w="4039" w:type="dxa"/>
            <w:vMerge/>
          </w:tcPr>
          <w:p w:rsidR="00B819B6" w:rsidRPr="00B819B6" w:rsidRDefault="00B819B6" w:rsidP="00B819B6">
            <w:pPr>
              <w:pStyle w:val="ListParagraph"/>
              <w:numPr>
                <w:ilvl w:val="1"/>
                <w:numId w:val="1"/>
              </w:numPr>
              <w:rPr>
                <w:rFonts w:ascii="Arial" w:hAnsi="Arial"/>
                <w:sz w:val="24"/>
              </w:rPr>
            </w:pPr>
          </w:p>
        </w:tc>
        <w:tc>
          <w:tcPr>
            <w:tcW w:w="4817" w:type="dxa"/>
          </w:tcPr>
          <w:p w:rsidR="00B819B6" w:rsidRDefault="00B819B6" w:rsidP="00B819B6">
            <w:pPr>
              <w:numPr>
                <w:ilvl w:val="2"/>
                <w:numId w:val="1"/>
              </w:numPr>
              <w:rPr>
                <w:rFonts w:ascii="Arial" w:hAnsi="Arial"/>
                <w:sz w:val="24"/>
              </w:rPr>
            </w:pPr>
            <w:r>
              <w:rPr>
                <w:rFonts w:ascii="Arial" w:hAnsi="Arial"/>
                <w:sz w:val="24"/>
              </w:rPr>
              <w:t>Add 0.5 – 1.0 mL of normal saline to resuspend to 3%.</w:t>
            </w:r>
          </w:p>
        </w:tc>
      </w:tr>
      <w:tr w:rsidR="00B819B6" w:rsidTr="00B819B6">
        <w:trPr>
          <w:trHeight w:val="178"/>
        </w:trPr>
        <w:tc>
          <w:tcPr>
            <w:tcW w:w="4039" w:type="dxa"/>
            <w:vMerge/>
          </w:tcPr>
          <w:p w:rsidR="00B819B6" w:rsidRPr="00B819B6" w:rsidRDefault="00B819B6" w:rsidP="00B819B6">
            <w:pPr>
              <w:pStyle w:val="ListParagraph"/>
              <w:numPr>
                <w:ilvl w:val="1"/>
                <w:numId w:val="1"/>
              </w:numPr>
              <w:rPr>
                <w:rFonts w:ascii="Arial" w:hAnsi="Arial"/>
                <w:sz w:val="24"/>
              </w:rPr>
            </w:pPr>
          </w:p>
        </w:tc>
        <w:tc>
          <w:tcPr>
            <w:tcW w:w="4817" w:type="dxa"/>
          </w:tcPr>
          <w:p w:rsidR="00B819B6" w:rsidRDefault="00B819B6" w:rsidP="00B819B6">
            <w:pPr>
              <w:numPr>
                <w:ilvl w:val="2"/>
                <w:numId w:val="1"/>
              </w:numPr>
              <w:rPr>
                <w:rFonts w:ascii="Arial" w:hAnsi="Arial"/>
                <w:sz w:val="24"/>
              </w:rPr>
            </w:pPr>
            <w:r>
              <w:rPr>
                <w:rFonts w:ascii="Arial" w:hAnsi="Arial"/>
                <w:sz w:val="24"/>
              </w:rPr>
              <w:t>Compare with a 3% commercial red cell suspension and adjust the strength of the suspension if necessary.</w:t>
            </w:r>
          </w:p>
        </w:tc>
      </w:tr>
      <w:tr w:rsidR="00B819B6" w:rsidTr="00AA350C">
        <w:tc>
          <w:tcPr>
            <w:tcW w:w="8856" w:type="dxa"/>
            <w:gridSpan w:val="2"/>
          </w:tcPr>
          <w:p w:rsidR="00B819B6" w:rsidRDefault="00B819B6" w:rsidP="00A95D81">
            <w:pPr>
              <w:numPr>
                <w:ilvl w:val="1"/>
                <w:numId w:val="1"/>
              </w:numPr>
              <w:tabs>
                <w:tab w:val="clear" w:pos="1004"/>
                <w:tab w:val="num" w:pos="709"/>
              </w:tabs>
              <w:ind w:left="709" w:hanging="709"/>
              <w:rPr>
                <w:rFonts w:ascii="Arial" w:hAnsi="Arial"/>
                <w:sz w:val="24"/>
              </w:rPr>
            </w:pPr>
            <w:r>
              <w:rPr>
                <w:rFonts w:ascii="Arial" w:hAnsi="Arial"/>
                <w:sz w:val="24"/>
              </w:rPr>
              <w:t xml:space="preserve">Review the current manufacturer insert for </w:t>
            </w:r>
            <w:r w:rsidR="00D609D4">
              <w:rPr>
                <w:rFonts w:ascii="Arial" w:hAnsi="Arial"/>
                <w:sz w:val="24"/>
              </w:rPr>
              <w:t>antisera used (</w:t>
            </w:r>
            <w:r>
              <w:rPr>
                <w:rFonts w:ascii="Arial" w:hAnsi="Arial"/>
                <w:sz w:val="24"/>
              </w:rPr>
              <w:t>specific instructions for number of drops, method, temperature and time of incubation</w:t>
            </w:r>
            <w:r w:rsidR="00D609D4">
              <w:rPr>
                <w:rFonts w:ascii="Arial" w:hAnsi="Arial"/>
                <w:sz w:val="24"/>
              </w:rPr>
              <w:t>)</w:t>
            </w:r>
            <w:r>
              <w:rPr>
                <w:rFonts w:ascii="Arial" w:hAnsi="Arial"/>
                <w:sz w:val="24"/>
              </w:rPr>
              <w:t>.</w:t>
            </w:r>
          </w:p>
        </w:tc>
      </w:tr>
      <w:tr w:rsidR="00B819B6" w:rsidTr="00AA350C">
        <w:tc>
          <w:tcPr>
            <w:tcW w:w="8856" w:type="dxa"/>
            <w:gridSpan w:val="2"/>
          </w:tcPr>
          <w:p w:rsidR="00B819B6" w:rsidRDefault="00B819B6" w:rsidP="00A95D81">
            <w:pPr>
              <w:numPr>
                <w:ilvl w:val="1"/>
                <w:numId w:val="1"/>
              </w:numPr>
              <w:tabs>
                <w:tab w:val="clear" w:pos="1004"/>
                <w:tab w:val="num" w:pos="709"/>
              </w:tabs>
              <w:ind w:left="709"/>
              <w:rPr>
                <w:rFonts w:ascii="Arial" w:hAnsi="Arial"/>
                <w:sz w:val="24"/>
              </w:rPr>
            </w:pPr>
            <w:r>
              <w:rPr>
                <w:rFonts w:ascii="Arial" w:hAnsi="Arial"/>
                <w:sz w:val="24"/>
              </w:rPr>
              <w:t>Select the appropriate cells for positive and negative controls from a panel of cells or from the screening cells.</w:t>
            </w:r>
          </w:p>
          <w:p w:rsidR="00B819B6" w:rsidRPr="00B819B6" w:rsidRDefault="00B819B6" w:rsidP="00B819B6">
            <w:pPr>
              <w:pStyle w:val="ListParagraph"/>
              <w:numPr>
                <w:ilvl w:val="0"/>
                <w:numId w:val="19"/>
              </w:numPr>
              <w:rPr>
                <w:rFonts w:ascii="Arial" w:hAnsi="Arial"/>
                <w:sz w:val="24"/>
              </w:rPr>
            </w:pPr>
            <w:r w:rsidRPr="00B819B6">
              <w:rPr>
                <w:rFonts w:ascii="Arial" w:hAnsi="Arial"/>
                <w:sz w:val="24"/>
              </w:rPr>
              <w:t>The negative control cell must not carry the antigen</w:t>
            </w:r>
          </w:p>
          <w:p w:rsidR="00B819B6" w:rsidRDefault="00B819B6" w:rsidP="00B819B6">
            <w:pPr>
              <w:pStyle w:val="ListParagraph"/>
              <w:numPr>
                <w:ilvl w:val="0"/>
                <w:numId w:val="19"/>
              </w:numPr>
              <w:rPr>
                <w:rFonts w:ascii="Arial" w:hAnsi="Arial"/>
                <w:sz w:val="24"/>
              </w:rPr>
            </w:pPr>
            <w:r w:rsidRPr="00B819B6">
              <w:rPr>
                <w:rFonts w:ascii="Arial" w:hAnsi="Arial"/>
                <w:sz w:val="24"/>
              </w:rPr>
              <w:t>The positive control cell must have the weakest expression of the antigen [i.e., whenever applicable, the positive control must have a single dose (heterozygous) of the antigen].</w:t>
            </w:r>
          </w:p>
        </w:tc>
      </w:tr>
      <w:tr w:rsidR="00B819B6" w:rsidTr="00B819B6">
        <w:trPr>
          <w:trHeight w:val="46"/>
        </w:trPr>
        <w:tc>
          <w:tcPr>
            <w:tcW w:w="4039" w:type="dxa"/>
            <w:vMerge w:val="restart"/>
          </w:tcPr>
          <w:p w:rsidR="00B819B6" w:rsidRDefault="00B819B6" w:rsidP="00A95D81">
            <w:pPr>
              <w:pStyle w:val="ListParagraph"/>
              <w:numPr>
                <w:ilvl w:val="1"/>
                <w:numId w:val="1"/>
              </w:numPr>
              <w:tabs>
                <w:tab w:val="clear" w:pos="1004"/>
                <w:tab w:val="num" w:pos="709"/>
              </w:tabs>
              <w:ind w:left="709"/>
              <w:rPr>
                <w:rFonts w:ascii="Arial" w:hAnsi="Arial"/>
                <w:sz w:val="24"/>
              </w:rPr>
            </w:pPr>
            <w:r w:rsidRPr="00B819B6">
              <w:rPr>
                <w:rFonts w:ascii="Arial" w:hAnsi="Arial"/>
                <w:sz w:val="24"/>
              </w:rPr>
              <w:t>Label tubes as follows:</w:t>
            </w:r>
          </w:p>
        </w:tc>
        <w:tc>
          <w:tcPr>
            <w:tcW w:w="4817" w:type="dxa"/>
          </w:tcPr>
          <w:p w:rsidR="00B819B6" w:rsidRDefault="00B819B6" w:rsidP="00B819B6">
            <w:pPr>
              <w:pStyle w:val="ListParagraph"/>
              <w:numPr>
                <w:ilvl w:val="2"/>
                <w:numId w:val="1"/>
              </w:numPr>
              <w:rPr>
                <w:rFonts w:ascii="Arial" w:hAnsi="Arial"/>
                <w:sz w:val="24"/>
              </w:rPr>
            </w:pPr>
            <w:r w:rsidRPr="00B819B6">
              <w:rPr>
                <w:rFonts w:ascii="Arial" w:hAnsi="Arial"/>
                <w:sz w:val="24"/>
              </w:rPr>
              <w:t>One tube with the first three letters of the patient’s family name and the required number of tubes for the donor units being tested, each labeled with the last four numbers of the appropriate donor unit and the name of the antigen: e.g., “JON Fy</w:t>
            </w:r>
            <w:r w:rsidRPr="00B819B6">
              <w:rPr>
                <w:rFonts w:ascii="Arial" w:hAnsi="Arial"/>
                <w:sz w:val="24"/>
                <w:vertAlign w:val="superscript"/>
              </w:rPr>
              <w:t>a</w:t>
            </w:r>
            <w:r w:rsidRPr="00B819B6">
              <w:rPr>
                <w:rFonts w:ascii="Arial" w:hAnsi="Arial"/>
                <w:sz w:val="24"/>
              </w:rPr>
              <w:t>”, (or 4267 Fy</w:t>
            </w:r>
            <w:r w:rsidRPr="00B819B6">
              <w:rPr>
                <w:rFonts w:ascii="Arial" w:hAnsi="Arial"/>
                <w:sz w:val="24"/>
                <w:vertAlign w:val="superscript"/>
              </w:rPr>
              <w:t>a</w:t>
            </w:r>
            <w:r w:rsidRPr="00B819B6">
              <w:rPr>
                <w:rFonts w:ascii="Arial" w:hAnsi="Arial"/>
                <w:sz w:val="24"/>
              </w:rPr>
              <w:t>).</w:t>
            </w:r>
          </w:p>
        </w:tc>
      </w:tr>
      <w:tr w:rsidR="00B819B6" w:rsidTr="00B819B6">
        <w:trPr>
          <w:trHeight w:val="43"/>
        </w:trPr>
        <w:tc>
          <w:tcPr>
            <w:tcW w:w="4039" w:type="dxa"/>
            <w:vMerge/>
          </w:tcPr>
          <w:p w:rsidR="00B819B6" w:rsidRPr="00B819B6" w:rsidRDefault="00B819B6" w:rsidP="00B819B6">
            <w:pPr>
              <w:pStyle w:val="ListParagraph"/>
              <w:numPr>
                <w:ilvl w:val="1"/>
                <w:numId w:val="1"/>
              </w:numPr>
              <w:rPr>
                <w:rFonts w:ascii="Arial" w:hAnsi="Arial"/>
                <w:sz w:val="24"/>
              </w:rPr>
            </w:pPr>
          </w:p>
        </w:tc>
        <w:tc>
          <w:tcPr>
            <w:tcW w:w="4817" w:type="dxa"/>
          </w:tcPr>
          <w:p w:rsidR="00B819B6" w:rsidRDefault="00B819B6" w:rsidP="00B819B6">
            <w:pPr>
              <w:numPr>
                <w:ilvl w:val="2"/>
                <w:numId w:val="1"/>
              </w:numPr>
              <w:rPr>
                <w:rFonts w:ascii="Arial" w:hAnsi="Arial"/>
                <w:sz w:val="24"/>
              </w:rPr>
            </w:pPr>
            <w:r>
              <w:rPr>
                <w:rFonts w:ascii="Arial" w:hAnsi="Arial"/>
                <w:sz w:val="24"/>
              </w:rPr>
              <w:t>One tube for positive control: e.g., “Fy</w:t>
            </w:r>
            <w:r>
              <w:rPr>
                <w:rFonts w:ascii="Arial" w:hAnsi="Arial"/>
                <w:sz w:val="24"/>
                <w:vertAlign w:val="superscript"/>
              </w:rPr>
              <w:t xml:space="preserve">a </w:t>
            </w:r>
            <w:r>
              <w:rPr>
                <w:rFonts w:ascii="Arial" w:hAnsi="Arial"/>
                <w:sz w:val="24"/>
              </w:rPr>
              <w:t>+”.</w:t>
            </w:r>
          </w:p>
        </w:tc>
      </w:tr>
      <w:tr w:rsidR="00B819B6" w:rsidTr="00B819B6">
        <w:trPr>
          <w:trHeight w:val="43"/>
        </w:trPr>
        <w:tc>
          <w:tcPr>
            <w:tcW w:w="4039" w:type="dxa"/>
            <w:vMerge/>
          </w:tcPr>
          <w:p w:rsidR="00B819B6" w:rsidRPr="00B819B6" w:rsidRDefault="00B819B6" w:rsidP="00B819B6">
            <w:pPr>
              <w:pStyle w:val="ListParagraph"/>
              <w:numPr>
                <w:ilvl w:val="1"/>
                <w:numId w:val="1"/>
              </w:numPr>
              <w:rPr>
                <w:rFonts w:ascii="Arial" w:hAnsi="Arial"/>
                <w:sz w:val="24"/>
              </w:rPr>
            </w:pPr>
          </w:p>
        </w:tc>
        <w:tc>
          <w:tcPr>
            <w:tcW w:w="4817" w:type="dxa"/>
          </w:tcPr>
          <w:p w:rsidR="00B819B6" w:rsidRDefault="00B819B6" w:rsidP="00B819B6">
            <w:pPr>
              <w:numPr>
                <w:ilvl w:val="2"/>
                <w:numId w:val="1"/>
              </w:numPr>
              <w:rPr>
                <w:rFonts w:ascii="Arial" w:hAnsi="Arial"/>
                <w:sz w:val="24"/>
              </w:rPr>
            </w:pPr>
            <w:r>
              <w:rPr>
                <w:rFonts w:ascii="Arial" w:hAnsi="Arial"/>
                <w:sz w:val="24"/>
              </w:rPr>
              <w:t>One tube for negative control: e.g., “Fy</w:t>
            </w:r>
            <w:r>
              <w:rPr>
                <w:rFonts w:ascii="Arial" w:hAnsi="Arial"/>
                <w:sz w:val="24"/>
                <w:vertAlign w:val="superscript"/>
              </w:rPr>
              <w:t xml:space="preserve">a </w:t>
            </w:r>
            <w:r>
              <w:rPr>
                <w:rFonts w:ascii="Arial" w:hAnsi="Arial"/>
                <w:sz w:val="24"/>
              </w:rPr>
              <w:t>-”.</w:t>
            </w:r>
          </w:p>
        </w:tc>
      </w:tr>
      <w:tr w:rsidR="00B819B6" w:rsidTr="00B819B6">
        <w:trPr>
          <w:trHeight w:val="43"/>
        </w:trPr>
        <w:tc>
          <w:tcPr>
            <w:tcW w:w="4039" w:type="dxa"/>
            <w:vMerge/>
          </w:tcPr>
          <w:p w:rsidR="00B819B6" w:rsidRPr="00B819B6" w:rsidRDefault="00B819B6" w:rsidP="00B819B6">
            <w:pPr>
              <w:pStyle w:val="ListParagraph"/>
              <w:numPr>
                <w:ilvl w:val="1"/>
                <w:numId w:val="1"/>
              </w:numPr>
              <w:rPr>
                <w:rFonts w:ascii="Arial" w:hAnsi="Arial"/>
                <w:sz w:val="24"/>
              </w:rPr>
            </w:pPr>
          </w:p>
        </w:tc>
        <w:tc>
          <w:tcPr>
            <w:tcW w:w="4817" w:type="dxa"/>
          </w:tcPr>
          <w:p w:rsidR="00B819B6" w:rsidRDefault="00B819B6" w:rsidP="00172FD5">
            <w:pPr>
              <w:numPr>
                <w:ilvl w:val="2"/>
                <w:numId w:val="1"/>
              </w:numPr>
              <w:rPr>
                <w:rFonts w:ascii="Arial" w:hAnsi="Arial"/>
                <w:sz w:val="24"/>
              </w:rPr>
            </w:pPr>
            <w:r>
              <w:rPr>
                <w:rFonts w:ascii="Arial" w:hAnsi="Arial"/>
                <w:sz w:val="24"/>
              </w:rPr>
              <w:t xml:space="preserve">Record the panel number and cell number of the cells used for positive and negative controls. </w:t>
            </w:r>
          </w:p>
        </w:tc>
      </w:tr>
      <w:tr w:rsidR="00B819B6" w:rsidTr="00AA350C">
        <w:tc>
          <w:tcPr>
            <w:tcW w:w="8856" w:type="dxa"/>
            <w:gridSpan w:val="2"/>
          </w:tcPr>
          <w:p w:rsidR="00B819B6" w:rsidRDefault="00172FD5" w:rsidP="00A95D81">
            <w:pPr>
              <w:numPr>
                <w:ilvl w:val="1"/>
                <w:numId w:val="1"/>
              </w:numPr>
              <w:tabs>
                <w:tab w:val="clear" w:pos="1004"/>
                <w:tab w:val="num" w:pos="709"/>
              </w:tabs>
              <w:ind w:left="709" w:hanging="709"/>
              <w:rPr>
                <w:rFonts w:ascii="Arial" w:hAnsi="Arial"/>
                <w:sz w:val="24"/>
              </w:rPr>
            </w:pPr>
            <w:r>
              <w:rPr>
                <w:rFonts w:ascii="Arial" w:hAnsi="Arial"/>
                <w:sz w:val="24"/>
              </w:rPr>
              <w:t>Add</w:t>
            </w:r>
            <w:r w:rsidR="00B819B6">
              <w:rPr>
                <w:rFonts w:ascii="Arial" w:hAnsi="Arial"/>
                <w:sz w:val="24"/>
              </w:rPr>
              <w:t xml:space="preserve"> the appropriate number of drops (as per manufacturer’s insert) </w:t>
            </w:r>
            <w:r w:rsidR="00D609D4">
              <w:rPr>
                <w:rFonts w:ascii="Arial" w:hAnsi="Arial"/>
                <w:sz w:val="24"/>
              </w:rPr>
              <w:t xml:space="preserve">of antisera into each tube </w:t>
            </w:r>
            <w:r w:rsidR="00B819B6">
              <w:rPr>
                <w:rFonts w:ascii="Arial" w:hAnsi="Arial"/>
                <w:sz w:val="24"/>
              </w:rPr>
              <w:t>and record the antisera lot number and expiry date on the worksheet or in the computer.</w:t>
            </w:r>
          </w:p>
        </w:tc>
      </w:tr>
      <w:tr w:rsidR="00B819B6" w:rsidTr="00AA350C">
        <w:tc>
          <w:tcPr>
            <w:tcW w:w="8856" w:type="dxa"/>
            <w:gridSpan w:val="2"/>
          </w:tcPr>
          <w:p w:rsidR="00B819B6" w:rsidRDefault="00D609D4" w:rsidP="00A95D81">
            <w:pPr>
              <w:numPr>
                <w:ilvl w:val="1"/>
                <w:numId w:val="1"/>
              </w:numPr>
              <w:tabs>
                <w:tab w:val="clear" w:pos="1004"/>
                <w:tab w:val="num" w:pos="709"/>
              </w:tabs>
              <w:ind w:left="709" w:hanging="709"/>
              <w:rPr>
                <w:rFonts w:ascii="Arial" w:hAnsi="Arial"/>
                <w:sz w:val="24"/>
              </w:rPr>
            </w:pPr>
            <w:r>
              <w:rPr>
                <w:rFonts w:ascii="Arial" w:hAnsi="Arial"/>
                <w:sz w:val="24"/>
              </w:rPr>
              <w:t xml:space="preserve">Add 1 drop of the patient, </w:t>
            </w:r>
            <w:r w:rsidR="00B819B6">
              <w:rPr>
                <w:rFonts w:ascii="Arial" w:hAnsi="Arial"/>
                <w:sz w:val="24"/>
              </w:rPr>
              <w:t xml:space="preserve">donor unit </w:t>
            </w:r>
            <w:r>
              <w:rPr>
                <w:rFonts w:ascii="Arial" w:hAnsi="Arial"/>
                <w:sz w:val="24"/>
              </w:rPr>
              <w:t xml:space="preserve">and </w:t>
            </w:r>
            <w:r w:rsidR="0078214C">
              <w:rPr>
                <w:rFonts w:ascii="Arial" w:hAnsi="Arial"/>
                <w:sz w:val="24"/>
              </w:rPr>
              <w:t xml:space="preserve">appropriate </w:t>
            </w:r>
            <w:r>
              <w:rPr>
                <w:rFonts w:ascii="Arial" w:hAnsi="Arial"/>
                <w:sz w:val="24"/>
              </w:rPr>
              <w:t xml:space="preserve">control </w:t>
            </w:r>
            <w:r w:rsidR="00B819B6">
              <w:rPr>
                <w:rFonts w:ascii="Arial" w:hAnsi="Arial"/>
                <w:sz w:val="24"/>
              </w:rPr>
              <w:t>cell suspension to the appropriate tubes.</w:t>
            </w:r>
          </w:p>
        </w:tc>
      </w:tr>
      <w:tr w:rsidR="00B819B6" w:rsidTr="00AA350C">
        <w:tc>
          <w:tcPr>
            <w:tcW w:w="8856" w:type="dxa"/>
            <w:gridSpan w:val="2"/>
          </w:tcPr>
          <w:p w:rsidR="00B819B6" w:rsidRDefault="00B819B6" w:rsidP="00A95D81">
            <w:pPr>
              <w:numPr>
                <w:ilvl w:val="1"/>
                <w:numId w:val="1"/>
              </w:numPr>
              <w:tabs>
                <w:tab w:val="clear" w:pos="1004"/>
                <w:tab w:val="num" w:pos="709"/>
              </w:tabs>
              <w:ind w:left="709"/>
              <w:rPr>
                <w:rFonts w:ascii="Arial" w:hAnsi="Arial"/>
                <w:sz w:val="24"/>
              </w:rPr>
            </w:pPr>
            <w:r>
              <w:rPr>
                <w:rFonts w:ascii="Arial" w:hAnsi="Arial"/>
                <w:sz w:val="24"/>
              </w:rPr>
              <w:t>Mix all tubes.</w:t>
            </w:r>
          </w:p>
        </w:tc>
      </w:tr>
      <w:tr w:rsidR="00B819B6" w:rsidTr="00AA350C">
        <w:tc>
          <w:tcPr>
            <w:tcW w:w="8856" w:type="dxa"/>
            <w:gridSpan w:val="2"/>
          </w:tcPr>
          <w:p w:rsidR="00B819B6" w:rsidRDefault="0078214C" w:rsidP="00A95D81">
            <w:pPr>
              <w:numPr>
                <w:ilvl w:val="1"/>
                <w:numId w:val="1"/>
              </w:numPr>
              <w:tabs>
                <w:tab w:val="clear" w:pos="1004"/>
                <w:tab w:val="num" w:pos="709"/>
              </w:tabs>
              <w:ind w:left="709"/>
              <w:rPr>
                <w:rFonts w:ascii="Arial" w:hAnsi="Arial"/>
                <w:sz w:val="24"/>
              </w:rPr>
            </w:pPr>
            <w:r>
              <w:rPr>
                <w:rFonts w:ascii="Arial" w:hAnsi="Arial"/>
                <w:sz w:val="24"/>
              </w:rPr>
              <w:t>Follow manufacturer</w:t>
            </w:r>
            <w:r w:rsidR="00B819B6">
              <w:rPr>
                <w:rFonts w:ascii="Arial" w:hAnsi="Arial"/>
                <w:sz w:val="24"/>
              </w:rPr>
              <w:t xml:space="preserve"> insert instructions, perform the steps as directed</w:t>
            </w:r>
          </w:p>
        </w:tc>
      </w:tr>
      <w:tr w:rsidR="00B819B6" w:rsidTr="00AA350C">
        <w:tc>
          <w:tcPr>
            <w:tcW w:w="8856" w:type="dxa"/>
            <w:gridSpan w:val="2"/>
          </w:tcPr>
          <w:p w:rsidR="00B819B6" w:rsidRDefault="00B819B6" w:rsidP="00A95D81">
            <w:pPr>
              <w:numPr>
                <w:ilvl w:val="1"/>
                <w:numId w:val="1"/>
              </w:numPr>
              <w:tabs>
                <w:tab w:val="clear" w:pos="1004"/>
                <w:tab w:val="num" w:pos="709"/>
              </w:tabs>
              <w:ind w:left="709"/>
              <w:rPr>
                <w:rFonts w:ascii="Arial" w:hAnsi="Arial"/>
                <w:sz w:val="24"/>
              </w:rPr>
            </w:pPr>
            <w:r>
              <w:rPr>
                <w:rFonts w:ascii="Arial" w:hAnsi="Arial"/>
                <w:sz w:val="24"/>
              </w:rPr>
              <w:t>Add IgG-coated cells to all negative IAT results; centrifuge, resuspend and read macroscopically. Record results. Macroscopic agglutination must be present or the test and controls must be repeated. Refer to manufacturer instructions.</w:t>
            </w:r>
          </w:p>
        </w:tc>
      </w:tr>
      <w:tr w:rsidR="00B819B6" w:rsidTr="00AA350C">
        <w:tc>
          <w:tcPr>
            <w:tcW w:w="8856" w:type="dxa"/>
            <w:gridSpan w:val="2"/>
          </w:tcPr>
          <w:p w:rsidR="00B819B6" w:rsidRDefault="00B819B6" w:rsidP="00A95D81">
            <w:pPr>
              <w:numPr>
                <w:ilvl w:val="1"/>
                <w:numId w:val="1"/>
              </w:numPr>
              <w:tabs>
                <w:tab w:val="clear" w:pos="1004"/>
                <w:tab w:val="num" w:pos="709"/>
              </w:tabs>
              <w:ind w:left="709"/>
              <w:rPr>
                <w:rFonts w:ascii="Arial" w:hAnsi="Arial"/>
                <w:sz w:val="24"/>
              </w:rPr>
            </w:pPr>
            <w:r>
              <w:rPr>
                <w:rFonts w:ascii="Arial" w:hAnsi="Arial"/>
                <w:sz w:val="24"/>
              </w:rPr>
              <w:t>Sign or initial and record the completion time and date on the worksheet or in the computer.</w:t>
            </w:r>
          </w:p>
        </w:tc>
      </w:tr>
      <w:tr w:rsidR="00B819B6" w:rsidTr="00AA350C">
        <w:tc>
          <w:tcPr>
            <w:tcW w:w="8856" w:type="dxa"/>
            <w:gridSpan w:val="2"/>
          </w:tcPr>
          <w:p w:rsidR="00B819B6" w:rsidRDefault="00B819B6" w:rsidP="00A95D81">
            <w:pPr>
              <w:numPr>
                <w:ilvl w:val="1"/>
                <w:numId w:val="1"/>
              </w:numPr>
              <w:tabs>
                <w:tab w:val="clear" w:pos="1004"/>
                <w:tab w:val="num" w:pos="709"/>
              </w:tabs>
              <w:ind w:left="709"/>
              <w:rPr>
                <w:rFonts w:ascii="Arial" w:hAnsi="Arial"/>
                <w:sz w:val="24"/>
              </w:rPr>
            </w:pPr>
            <w:r>
              <w:rPr>
                <w:rFonts w:ascii="Arial" w:hAnsi="Arial"/>
                <w:sz w:val="24"/>
              </w:rPr>
              <w:t>Record the result of the antigen typing. See 7.0 – Reporting.</w:t>
            </w:r>
          </w:p>
        </w:tc>
      </w:tr>
    </w:tbl>
    <w:p w:rsidR="00C6556D" w:rsidRDefault="00C6556D">
      <w:pPr>
        <w:rPr>
          <w:rFonts w:ascii="Arial" w:hAnsi="Arial"/>
          <w:sz w:val="24"/>
        </w:rPr>
      </w:pPr>
    </w:p>
    <w:p w:rsidR="0037060E" w:rsidRDefault="0037060E">
      <w:pPr>
        <w:ind w:left="720"/>
        <w:rPr>
          <w:rFonts w:ascii="Arial" w:hAnsi="Arial"/>
          <w:sz w:val="24"/>
        </w:rPr>
      </w:pPr>
    </w:p>
    <w:p w:rsidR="0037060E" w:rsidRDefault="0037060E" w:rsidP="00B819B6">
      <w:pPr>
        <w:numPr>
          <w:ilvl w:val="0"/>
          <w:numId w:val="1"/>
        </w:numPr>
        <w:rPr>
          <w:rFonts w:ascii="Arial" w:hAnsi="Arial"/>
          <w:b/>
          <w:sz w:val="28"/>
        </w:rPr>
      </w:pPr>
      <w:r>
        <w:rPr>
          <w:rFonts w:ascii="Arial" w:hAnsi="Arial"/>
          <w:b/>
          <w:sz w:val="28"/>
        </w:rPr>
        <w:t>Reporting</w:t>
      </w:r>
    </w:p>
    <w:p w:rsidR="0037060E" w:rsidRDefault="0037060E" w:rsidP="00C6556D">
      <w:pPr>
        <w:rPr>
          <w:rFonts w:ascii="Arial" w:hAnsi="Arial"/>
          <w:sz w:val="24"/>
        </w:rPr>
      </w:pPr>
    </w:p>
    <w:p w:rsidR="0037060E" w:rsidRDefault="00AA0B78" w:rsidP="00A95D81">
      <w:pPr>
        <w:numPr>
          <w:ilvl w:val="1"/>
          <w:numId w:val="1"/>
        </w:numPr>
        <w:rPr>
          <w:rFonts w:ascii="Arial" w:hAnsi="Arial"/>
          <w:sz w:val="24"/>
        </w:rPr>
      </w:pPr>
      <w:r>
        <w:rPr>
          <w:rFonts w:ascii="Arial" w:hAnsi="Arial"/>
          <w:sz w:val="24"/>
        </w:rPr>
        <w:t>Macroscopic a</w:t>
      </w:r>
      <w:r w:rsidR="0037060E">
        <w:rPr>
          <w:rFonts w:ascii="Arial" w:hAnsi="Arial"/>
          <w:sz w:val="24"/>
        </w:rPr>
        <w:t>gglutination with specific antiserum indicates the presence of the corresponding antigen on the cells</w:t>
      </w:r>
      <w:r>
        <w:rPr>
          <w:rFonts w:ascii="Arial" w:hAnsi="Arial"/>
          <w:sz w:val="24"/>
        </w:rPr>
        <w:t xml:space="preserve"> and no agglutination indicates the absence. Refer to manufacturer instructions</w:t>
      </w:r>
      <w:r w:rsidR="00172FD5">
        <w:rPr>
          <w:rFonts w:ascii="Arial" w:hAnsi="Arial"/>
          <w:sz w:val="24"/>
        </w:rPr>
        <w:t xml:space="preserve"> for interpretation for each specific antisera in use.</w:t>
      </w:r>
    </w:p>
    <w:p w:rsidR="0037060E" w:rsidRDefault="0037060E" w:rsidP="00B819B6">
      <w:pPr>
        <w:rPr>
          <w:rFonts w:ascii="Arial" w:hAnsi="Arial"/>
          <w:sz w:val="24"/>
        </w:rPr>
      </w:pPr>
    </w:p>
    <w:p w:rsidR="0037060E" w:rsidRDefault="0037060E" w:rsidP="00B819B6">
      <w:pPr>
        <w:numPr>
          <w:ilvl w:val="0"/>
          <w:numId w:val="1"/>
        </w:numPr>
        <w:rPr>
          <w:rFonts w:ascii="Arial" w:hAnsi="Arial"/>
          <w:b/>
          <w:sz w:val="28"/>
        </w:rPr>
      </w:pPr>
      <w:r>
        <w:rPr>
          <w:rFonts w:ascii="Arial" w:hAnsi="Arial"/>
          <w:b/>
          <w:sz w:val="28"/>
        </w:rPr>
        <w:t>Procedural Notes</w:t>
      </w:r>
    </w:p>
    <w:p w:rsidR="0037060E" w:rsidRDefault="0037060E">
      <w:pPr>
        <w:rPr>
          <w:rFonts w:ascii="Arial" w:hAnsi="Arial"/>
          <w:b/>
          <w:sz w:val="28"/>
        </w:rPr>
      </w:pPr>
    </w:p>
    <w:p w:rsidR="00B819B6" w:rsidRDefault="0037060E" w:rsidP="00B819B6">
      <w:pPr>
        <w:numPr>
          <w:ilvl w:val="1"/>
          <w:numId w:val="1"/>
        </w:numPr>
        <w:rPr>
          <w:rFonts w:ascii="Arial" w:hAnsi="Arial"/>
          <w:sz w:val="24"/>
        </w:rPr>
      </w:pPr>
      <w:r>
        <w:rPr>
          <w:rFonts w:ascii="Arial" w:hAnsi="Arial"/>
          <w:sz w:val="24"/>
        </w:rPr>
        <w:t>To obtain a certain number of donor units negative for a given antigen, consider the frequency of the antigen in a population.</w:t>
      </w:r>
      <w:r w:rsidR="00B819B6">
        <w:rPr>
          <w:rFonts w:ascii="Arial" w:hAnsi="Arial"/>
          <w:sz w:val="24"/>
        </w:rPr>
        <w:br/>
      </w:r>
    </w:p>
    <w:p w:rsidR="00861D6F" w:rsidRDefault="0037060E" w:rsidP="00A95D81">
      <w:pPr>
        <w:ind w:left="993"/>
        <w:rPr>
          <w:rFonts w:ascii="Arial" w:hAnsi="Arial"/>
          <w:sz w:val="24"/>
        </w:rPr>
      </w:pPr>
      <w:r w:rsidRPr="00B819B6">
        <w:rPr>
          <w:rFonts w:ascii="Arial" w:hAnsi="Arial"/>
          <w:sz w:val="24"/>
        </w:rPr>
        <w:t>Example:</w:t>
      </w:r>
      <w:r w:rsidR="00B819B6">
        <w:rPr>
          <w:rFonts w:ascii="Arial" w:hAnsi="Arial"/>
          <w:sz w:val="24"/>
        </w:rPr>
        <w:br/>
      </w:r>
      <w:r>
        <w:rPr>
          <w:rFonts w:ascii="Arial" w:hAnsi="Arial"/>
          <w:sz w:val="24"/>
        </w:rPr>
        <w:t>Frequency of E antigen = 30%</w:t>
      </w:r>
      <w:r w:rsidR="00B819B6">
        <w:rPr>
          <w:rFonts w:ascii="Arial" w:hAnsi="Arial"/>
          <w:sz w:val="24"/>
        </w:rPr>
        <w:br/>
      </w:r>
      <w:r>
        <w:rPr>
          <w:rFonts w:ascii="Arial" w:hAnsi="Arial"/>
          <w:sz w:val="24"/>
        </w:rPr>
        <w:t>or % of E negative donor units = 70%</w:t>
      </w:r>
      <w:r w:rsidR="00861D6F">
        <w:rPr>
          <w:rFonts w:ascii="Arial" w:hAnsi="Arial"/>
          <w:sz w:val="24"/>
        </w:rPr>
        <w:br/>
      </w:r>
    </w:p>
    <w:p w:rsidR="0037060E" w:rsidRDefault="0037060E" w:rsidP="00A95D81">
      <w:pPr>
        <w:ind w:left="993" w:firstLine="11"/>
        <w:rPr>
          <w:rFonts w:ascii="Arial" w:hAnsi="Arial"/>
          <w:sz w:val="24"/>
        </w:rPr>
      </w:pPr>
      <w:r>
        <w:rPr>
          <w:rFonts w:ascii="Arial" w:hAnsi="Arial"/>
          <w:sz w:val="24"/>
        </w:rPr>
        <w:t xml:space="preserve">If there are 70 E negative donors in a population of 100 donors, there </w:t>
      </w:r>
      <w:r w:rsidR="00861D6F">
        <w:rPr>
          <w:rFonts w:ascii="Arial" w:hAnsi="Arial"/>
          <w:sz w:val="24"/>
        </w:rPr>
        <w:t xml:space="preserve"> </w:t>
      </w:r>
      <w:r w:rsidR="00861D6F">
        <w:rPr>
          <w:rFonts w:ascii="Arial" w:hAnsi="Arial"/>
          <w:sz w:val="24"/>
        </w:rPr>
        <w:br/>
      </w:r>
      <w:r>
        <w:rPr>
          <w:rFonts w:ascii="Arial" w:hAnsi="Arial"/>
          <w:sz w:val="24"/>
        </w:rPr>
        <w:t>should be approximately 2 E negative donors in a population of 3 donors.</w:t>
      </w:r>
    </w:p>
    <w:p w:rsidR="00E6553F" w:rsidRPr="00442673" w:rsidRDefault="00E6553F">
      <w:pPr>
        <w:ind w:left="1440"/>
        <w:rPr>
          <w:rFonts w:ascii="Arial" w:hAnsi="Arial"/>
          <w:sz w:val="24"/>
        </w:rPr>
      </w:pPr>
    </w:p>
    <w:p w:rsidR="00861D6F" w:rsidRDefault="00470C8B" w:rsidP="00861D6F">
      <w:pPr>
        <w:ind w:left="1440"/>
        <w:rPr>
          <w:rFonts w:ascii="Arial" w:hAnsi="Arial"/>
          <w:noProof/>
          <w:sz w:val="24"/>
        </w:rPr>
      </w:pPr>
      <w:r>
        <w:rPr>
          <w:rFonts w:ascii="Arial" w:hAnsi="Arial"/>
          <w:noProof/>
          <w:sz w:val="24"/>
        </w:rPr>
        <mc:AlternateContent>
          <mc:Choice Requires="wps">
            <w:drawing>
              <wp:anchor distT="0" distB="0" distL="114300" distR="114300" simplePos="0" relativeHeight="251663360" behindDoc="0" locked="0" layoutInCell="1" allowOverlap="1">
                <wp:simplePos x="0" y="0"/>
                <wp:positionH relativeFrom="column">
                  <wp:posOffset>3636645</wp:posOffset>
                </wp:positionH>
                <wp:positionV relativeFrom="paragraph">
                  <wp:posOffset>93980</wp:posOffset>
                </wp:positionV>
                <wp:extent cx="274320" cy="112395"/>
                <wp:effectExtent l="57150" t="38100" r="11430" b="11620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12395"/>
                        </a:xfrm>
                        <a:prstGeom prst="righ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2B41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286.35pt;margin-top:7.4pt;width:21.6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" adj="17175" fillcolor="#3f80cd" strokecolor="#4a7ebb">
                <v:fill color2="#9bc1ff" rotate="t" angle="180" focus="100%" type="gradient">
                  <o:fill v:ext="view" type="gradientUnscaled"/>
                </v:fill>
                <v:shadow on="t" color="black" opacity="22937f" origin=",.5" offset="0,.63889mm"/>
                <v:path arrowok="t"/>
              </v:shape>
            </w:pict>
          </mc:Fallback>
        </mc:AlternateContent>
      </w:r>
      <w:r>
        <w:rPr>
          <w:rFonts w:ascii="Arial" w:hAnsi="Arial"/>
          <w:noProof/>
          <w:sz w:val="24"/>
        </w:rPr>
        <mc:AlternateContent>
          <mc:Choice Requires="wps">
            <w:drawing>
              <wp:anchor distT="0" distB="0" distL="114300" distR="114300" simplePos="0" relativeHeight="251661312" behindDoc="0" locked="0" layoutInCell="1" allowOverlap="1">
                <wp:simplePos x="0" y="0"/>
                <wp:positionH relativeFrom="column">
                  <wp:posOffset>2637790</wp:posOffset>
                </wp:positionH>
                <wp:positionV relativeFrom="paragraph">
                  <wp:posOffset>93980</wp:posOffset>
                </wp:positionV>
                <wp:extent cx="274320" cy="112395"/>
                <wp:effectExtent l="57150" t="38100" r="11430" b="11620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12395"/>
                        </a:xfrm>
                        <a:prstGeom prst="righ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BE7021" id="Right Arrow 7" o:spid="_x0000_s1026" type="#_x0000_t13" style="position:absolute;margin-left:207.7pt;margin-top:7.4pt;width:21.6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" adj="17175" fillcolor="#3f80cd" strokecolor="#4a7ebb">
                <v:fill color2="#9bc1ff" rotate="t" angle="180" focus="100%" type="gradient">
                  <o:fill v:ext="view" type="gradientUnscaled"/>
                </v:fill>
                <v:shadow on="t" color="black" opacity="22937f" origin=",.5" offset="0,.63889mm"/>
                <v:path arrowok="t"/>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1501775</wp:posOffset>
                </wp:positionH>
                <wp:positionV relativeFrom="paragraph">
                  <wp:posOffset>89535</wp:posOffset>
                </wp:positionV>
                <wp:extent cx="274320" cy="112395"/>
                <wp:effectExtent l="57150" t="38100" r="11430" b="116205"/>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1239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F9112A" id="Right Arrow 6" o:spid="_x0000_s1026" type="#_x0000_t13" style="position:absolute;margin-left:118.25pt;margin-top:7.05pt;width:21.6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" adj="17175" fillcolor="#4f81bd [3204]" strokecolor="#4579b8 [3044]">
                <v:fill color2="#a7bfde [1620]" rotate="t" angle="180" focus="100%" type="gradient">
                  <o:fill v:ext="view" type="gradientUnscaled"/>
                </v:fill>
                <v:shadow on="t" color="black" opacity="22937f" origin=",.5" offset="0,.63889mm"/>
                <v:path arrowok="t"/>
              </v:shape>
            </w:pict>
          </mc:Fallback>
        </mc:AlternateContent>
      </w:r>
      <m:oMath>
        <m:f>
          <m:fPr>
            <m:ctrlPr>
              <w:rPr>
                <w:rFonts w:ascii="Cambria Math" w:hAnsi="Cambria Math"/>
                <w:i/>
                <w:sz w:val="24"/>
              </w:rPr>
            </m:ctrlPr>
          </m:fPr>
          <m:num>
            <m:r>
              <w:rPr>
                <w:rFonts w:ascii="Cambria Math" w:hAnsi="Cambria Math"/>
                <w:sz w:val="24"/>
              </w:rPr>
              <m:t>70</m:t>
            </m:r>
          </m:num>
          <m:den>
            <m:r>
              <w:rPr>
                <w:rFonts w:ascii="Cambria Math" w:hAnsi="Cambria Math"/>
                <w:sz w:val="24"/>
              </w:rPr>
              <m:t>100</m:t>
            </m:r>
          </m:den>
        </m:f>
        <m:r>
          <w:rPr>
            <w:rFonts w:ascii="Cambria Math" w:hAnsi="Cambria Math"/>
            <w:sz w:val="24"/>
          </w:rPr>
          <m:t>=</m:t>
        </m:r>
        <m:f>
          <m:fPr>
            <m:ctrlPr>
              <w:rPr>
                <w:rFonts w:ascii="Cambria Math" w:hAnsi="Cambria Math"/>
                <w:i/>
                <w:sz w:val="24"/>
              </w:rPr>
            </m:ctrlPr>
          </m:fPr>
          <m:num>
            <m:r>
              <w:rPr>
                <w:rFonts w:ascii="Cambria Math" w:hAnsi="Cambria Math"/>
                <w:sz w:val="24"/>
              </w:rPr>
              <m:t>2</m:t>
            </m:r>
          </m:num>
          <m:den>
            <m:r>
              <w:rPr>
                <w:rFonts w:ascii="Cambria Math" w:hAnsi="Cambria Math"/>
                <w:sz w:val="24"/>
              </w:rPr>
              <m:t>x</m:t>
            </m:r>
          </m:den>
        </m:f>
        <m:r>
          <w:rPr>
            <w:rFonts w:ascii="Cambria Math" w:hAnsi="Cambria Math"/>
            <w:sz w:val="24"/>
          </w:rPr>
          <m:t xml:space="preserve">             70x=200              x=</m:t>
        </m:r>
        <m:f>
          <m:fPr>
            <m:ctrlPr>
              <w:rPr>
                <w:rFonts w:ascii="Cambria Math" w:hAnsi="Cambria Math"/>
                <w:i/>
                <w:sz w:val="24"/>
              </w:rPr>
            </m:ctrlPr>
          </m:fPr>
          <m:num>
            <m:r>
              <w:rPr>
                <w:rFonts w:ascii="Cambria Math" w:hAnsi="Cambria Math"/>
                <w:sz w:val="24"/>
              </w:rPr>
              <m:t>200</m:t>
            </m:r>
          </m:num>
          <m:den>
            <m:r>
              <w:rPr>
                <w:rFonts w:ascii="Cambria Math" w:hAnsi="Cambria Math"/>
                <w:sz w:val="24"/>
              </w:rPr>
              <m:t>70</m:t>
            </m:r>
          </m:den>
        </m:f>
        <m:r>
          <w:rPr>
            <w:rFonts w:ascii="Cambria Math" w:hAnsi="Cambria Math"/>
            <w:sz w:val="24"/>
          </w:rPr>
          <m:t xml:space="preserve">               x=2.85</m:t>
        </m:r>
      </m:oMath>
      <w:r w:rsidR="00861D6F">
        <w:rPr>
          <w:rFonts w:ascii="Arial" w:hAnsi="Arial"/>
          <w:noProof/>
          <w:sz w:val="24"/>
        </w:rPr>
        <w:br/>
      </w:r>
    </w:p>
    <w:p w:rsidR="0037060E" w:rsidRDefault="00861D6F" w:rsidP="00861D6F">
      <w:pPr>
        <w:rPr>
          <w:rFonts w:ascii="Arial" w:hAnsi="Arial"/>
          <w:noProof/>
          <w:sz w:val="24"/>
        </w:rPr>
      </w:pPr>
      <w:r>
        <w:rPr>
          <w:rFonts w:ascii="Arial" w:hAnsi="Arial"/>
          <w:sz w:val="24"/>
        </w:rPr>
        <w:t xml:space="preserve">           </w:t>
      </w:r>
      <w:r w:rsidR="0037060E">
        <w:rPr>
          <w:rFonts w:ascii="Arial" w:hAnsi="Arial"/>
          <w:sz w:val="24"/>
        </w:rPr>
        <w:t xml:space="preserve">Therefore, to obtain 2 donor units negative for the E antigen, typing 3 </w:t>
      </w:r>
      <w:r>
        <w:rPr>
          <w:rFonts w:ascii="Arial" w:hAnsi="Arial"/>
          <w:sz w:val="24"/>
        </w:rPr>
        <w:t xml:space="preserve"> </w:t>
      </w:r>
      <w:r>
        <w:rPr>
          <w:rFonts w:ascii="Arial" w:hAnsi="Arial"/>
          <w:sz w:val="24"/>
        </w:rPr>
        <w:br/>
        <w:t xml:space="preserve">           </w:t>
      </w:r>
      <w:r w:rsidR="0037060E">
        <w:rPr>
          <w:rFonts w:ascii="Arial" w:hAnsi="Arial"/>
          <w:sz w:val="24"/>
        </w:rPr>
        <w:t>donor units will likely be required.</w:t>
      </w:r>
    </w:p>
    <w:p w:rsidR="0037060E" w:rsidRDefault="0037060E">
      <w:pPr>
        <w:ind w:left="720"/>
        <w:rPr>
          <w:rFonts w:ascii="Arial" w:hAnsi="Arial"/>
          <w:sz w:val="24"/>
        </w:rPr>
      </w:pPr>
    </w:p>
    <w:p w:rsidR="0037060E" w:rsidRPr="00861D6F" w:rsidRDefault="0037060E" w:rsidP="00861D6F">
      <w:pPr>
        <w:numPr>
          <w:ilvl w:val="1"/>
          <w:numId w:val="1"/>
        </w:numPr>
        <w:rPr>
          <w:rFonts w:ascii="Arial" w:hAnsi="Arial"/>
          <w:sz w:val="24"/>
        </w:rPr>
      </w:pPr>
      <w:r>
        <w:rPr>
          <w:rFonts w:ascii="Arial" w:hAnsi="Arial"/>
          <w:sz w:val="24"/>
        </w:rPr>
        <w:t xml:space="preserve">If the patient has been transfused within the last </w:t>
      </w:r>
      <w:r w:rsidR="0055304A">
        <w:rPr>
          <w:rFonts w:ascii="Arial" w:hAnsi="Arial"/>
          <w:sz w:val="24"/>
        </w:rPr>
        <w:t>three</w:t>
      </w:r>
      <w:r>
        <w:rPr>
          <w:rFonts w:ascii="Arial" w:hAnsi="Arial"/>
          <w:sz w:val="24"/>
        </w:rPr>
        <w:t xml:space="preserve"> months, </w:t>
      </w:r>
      <w:r w:rsidRPr="00861D6F">
        <w:rPr>
          <w:rFonts w:ascii="Arial" w:hAnsi="Arial"/>
          <w:sz w:val="24"/>
        </w:rPr>
        <w:t>separation of the patient’s own cells</w:t>
      </w:r>
      <w:r w:rsidR="00AA0B78" w:rsidRPr="00861D6F">
        <w:rPr>
          <w:rFonts w:ascii="Arial" w:hAnsi="Arial"/>
          <w:sz w:val="24"/>
          <w:vertAlign w:val="superscript"/>
        </w:rPr>
        <w:t>9.2</w:t>
      </w:r>
      <w:r w:rsidRPr="00861D6F">
        <w:rPr>
          <w:rFonts w:ascii="Arial" w:hAnsi="Arial"/>
          <w:sz w:val="24"/>
        </w:rPr>
        <w:t xml:space="preserve"> can be attempted </w:t>
      </w:r>
      <w:r w:rsidR="00021D8D">
        <w:rPr>
          <w:rFonts w:ascii="Arial" w:hAnsi="Arial"/>
          <w:sz w:val="24"/>
        </w:rPr>
        <w:t>or refer the sample out for genotype testing. Genotype testing can be performed in</w:t>
      </w:r>
      <w:r w:rsidR="001407AB">
        <w:rPr>
          <w:rFonts w:ascii="Arial" w:hAnsi="Arial"/>
          <w:sz w:val="24"/>
        </w:rPr>
        <w:t xml:space="preserve"> </w:t>
      </w:r>
      <w:r w:rsidR="00021D8D">
        <w:rPr>
          <w:rFonts w:ascii="Arial" w:hAnsi="Arial"/>
          <w:sz w:val="24"/>
        </w:rPr>
        <w:t>house if available</w:t>
      </w:r>
      <w:r w:rsidR="00442673" w:rsidRPr="00861D6F">
        <w:rPr>
          <w:rFonts w:ascii="Arial" w:hAnsi="Arial"/>
          <w:sz w:val="24"/>
        </w:rPr>
        <w:t>.</w:t>
      </w:r>
    </w:p>
    <w:p w:rsidR="0037060E" w:rsidRDefault="0037060E">
      <w:pPr>
        <w:ind w:left="720"/>
        <w:rPr>
          <w:rFonts w:ascii="Arial" w:hAnsi="Arial"/>
          <w:sz w:val="24"/>
        </w:rPr>
      </w:pPr>
    </w:p>
    <w:p w:rsidR="0037060E" w:rsidRDefault="0037060E" w:rsidP="00B819B6">
      <w:pPr>
        <w:numPr>
          <w:ilvl w:val="0"/>
          <w:numId w:val="1"/>
        </w:numPr>
        <w:rPr>
          <w:rFonts w:ascii="Arial" w:hAnsi="Arial"/>
          <w:b/>
          <w:sz w:val="28"/>
        </w:rPr>
      </w:pPr>
      <w:r>
        <w:rPr>
          <w:rFonts w:ascii="Arial" w:hAnsi="Arial"/>
          <w:b/>
          <w:sz w:val="28"/>
        </w:rPr>
        <w:t>References</w:t>
      </w:r>
    </w:p>
    <w:p w:rsidR="0037060E" w:rsidRDefault="0037060E">
      <w:pPr>
        <w:rPr>
          <w:rFonts w:ascii="Arial" w:hAnsi="Arial"/>
          <w:sz w:val="24"/>
        </w:rPr>
      </w:pPr>
    </w:p>
    <w:p w:rsidR="0037060E" w:rsidRDefault="0055304A" w:rsidP="00B819B6">
      <w:pPr>
        <w:numPr>
          <w:ilvl w:val="1"/>
          <w:numId w:val="1"/>
        </w:numPr>
        <w:rPr>
          <w:rFonts w:ascii="Arial" w:hAnsi="Arial"/>
          <w:sz w:val="24"/>
        </w:rPr>
      </w:pPr>
      <w:r>
        <w:rPr>
          <w:rFonts w:ascii="Arial" w:hAnsi="Arial"/>
          <w:sz w:val="24"/>
        </w:rPr>
        <w:t xml:space="preserve">Standards for Hospital Transfusion Services Version </w:t>
      </w:r>
      <w:r w:rsidR="00AA0B78">
        <w:rPr>
          <w:rFonts w:ascii="Arial" w:hAnsi="Arial"/>
          <w:sz w:val="24"/>
        </w:rPr>
        <w:t>3</w:t>
      </w:r>
      <w:r>
        <w:rPr>
          <w:rFonts w:ascii="Arial" w:hAnsi="Arial"/>
          <w:sz w:val="24"/>
        </w:rPr>
        <w:t xml:space="preserve"> – </w:t>
      </w:r>
      <w:r w:rsidR="00AA0B78">
        <w:rPr>
          <w:rFonts w:ascii="Arial" w:hAnsi="Arial"/>
          <w:sz w:val="24"/>
        </w:rPr>
        <w:t>February 2011</w:t>
      </w:r>
      <w:r>
        <w:rPr>
          <w:rFonts w:ascii="Arial" w:hAnsi="Arial"/>
          <w:sz w:val="24"/>
        </w:rPr>
        <w:t>. Canadian Society for Transfusion Medicine</w:t>
      </w:r>
      <w:r w:rsidR="00934A12">
        <w:rPr>
          <w:rFonts w:ascii="Arial" w:hAnsi="Arial"/>
          <w:sz w:val="24"/>
        </w:rPr>
        <w:t>,5.3.4</w:t>
      </w:r>
    </w:p>
    <w:p w:rsidR="0037060E" w:rsidRDefault="0037060E">
      <w:pPr>
        <w:ind w:left="720"/>
        <w:rPr>
          <w:rFonts w:ascii="Arial" w:hAnsi="Arial"/>
          <w:sz w:val="24"/>
        </w:rPr>
      </w:pPr>
    </w:p>
    <w:p w:rsidR="0037060E" w:rsidRDefault="0055304A" w:rsidP="00B819B6">
      <w:pPr>
        <w:numPr>
          <w:ilvl w:val="1"/>
          <w:numId w:val="1"/>
        </w:numPr>
        <w:rPr>
          <w:rFonts w:ascii="Arial" w:hAnsi="Arial"/>
          <w:sz w:val="24"/>
        </w:rPr>
      </w:pPr>
      <w:r>
        <w:rPr>
          <w:rFonts w:ascii="Arial" w:hAnsi="Arial"/>
          <w:sz w:val="24"/>
        </w:rPr>
        <w:t xml:space="preserve">Roback JD, ed. </w:t>
      </w:r>
      <w:r w:rsidR="00AA0B78">
        <w:rPr>
          <w:rFonts w:ascii="Arial" w:hAnsi="Arial"/>
          <w:sz w:val="24"/>
        </w:rPr>
        <w:t xml:space="preserve">AABB </w:t>
      </w:r>
      <w:r>
        <w:rPr>
          <w:rFonts w:ascii="Arial" w:hAnsi="Arial"/>
          <w:sz w:val="24"/>
        </w:rPr>
        <w:t>Technical Manual, 1</w:t>
      </w:r>
      <w:r w:rsidR="00AA0B78">
        <w:rPr>
          <w:rFonts w:ascii="Arial" w:hAnsi="Arial"/>
          <w:sz w:val="24"/>
        </w:rPr>
        <w:t>7</w:t>
      </w:r>
      <w:r>
        <w:rPr>
          <w:rFonts w:ascii="Arial" w:hAnsi="Arial"/>
          <w:sz w:val="24"/>
          <w:vertAlign w:val="superscript"/>
        </w:rPr>
        <w:t>th</w:t>
      </w:r>
      <w:r>
        <w:rPr>
          <w:rFonts w:ascii="Arial" w:hAnsi="Arial"/>
          <w:sz w:val="24"/>
        </w:rPr>
        <w:t xml:space="preserve"> ed. Bethesda, MD:  American Association of Blood Banks, 20</w:t>
      </w:r>
      <w:r w:rsidR="00AA0B78">
        <w:rPr>
          <w:rFonts w:ascii="Arial" w:hAnsi="Arial"/>
          <w:sz w:val="24"/>
        </w:rPr>
        <w:t>11</w:t>
      </w:r>
      <w:r>
        <w:rPr>
          <w:rFonts w:ascii="Arial" w:hAnsi="Arial"/>
          <w:sz w:val="24"/>
        </w:rPr>
        <w:t>:</w:t>
      </w:r>
      <w:r w:rsidR="00934A12">
        <w:rPr>
          <w:rFonts w:ascii="Arial" w:hAnsi="Arial"/>
          <w:sz w:val="24"/>
        </w:rPr>
        <w:t xml:space="preserve"> 47</w:t>
      </w:r>
      <w:r w:rsidR="00AA0B78">
        <w:rPr>
          <w:rFonts w:ascii="Arial" w:hAnsi="Arial"/>
          <w:sz w:val="24"/>
        </w:rPr>
        <w:t>2,892</w:t>
      </w:r>
      <w:r w:rsidR="0037060E">
        <w:rPr>
          <w:rFonts w:ascii="Arial" w:hAnsi="Arial"/>
          <w:sz w:val="24"/>
        </w:rPr>
        <w:t>.</w:t>
      </w:r>
    </w:p>
    <w:p w:rsidR="00D4624E" w:rsidRDefault="00D4624E" w:rsidP="00D4624E">
      <w:pPr>
        <w:pStyle w:val="ListParagraph"/>
        <w:rPr>
          <w:rFonts w:ascii="Arial" w:hAnsi="Arial"/>
          <w:sz w:val="24"/>
        </w:rPr>
      </w:pPr>
    </w:p>
    <w:p w:rsidR="00D4624E" w:rsidRDefault="00D4624E" w:rsidP="00D4624E">
      <w:pPr>
        <w:pStyle w:val="ListParagraph"/>
        <w:numPr>
          <w:ilvl w:val="0"/>
          <w:numId w:val="1"/>
        </w:numPr>
        <w:rPr>
          <w:rFonts w:ascii="Arial" w:hAnsi="Arial"/>
          <w:b/>
          <w:sz w:val="28"/>
        </w:rPr>
      </w:pPr>
      <w:r w:rsidRPr="00D4624E">
        <w:rPr>
          <w:rFonts w:ascii="Arial" w:hAnsi="Arial"/>
          <w:b/>
          <w:sz w:val="28"/>
        </w:rPr>
        <w:t>Revision History</w:t>
      </w:r>
    </w:p>
    <w:p w:rsidR="00D4624E" w:rsidRDefault="00D4624E" w:rsidP="00D4624E">
      <w:pPr>
        <w:pStyle w:val="ListParagraph"/>
        <w:rPr>
          <w:rFonts w:ascii="Arial" w:hAnsi="Arial"/>
          <w:b/>
          <w:sz w:val="28"/>
        </w:rPr>
      </w:pPr>
    </w:p>
    <w:tbl>
      <w:tblPr>
        <w:tblStyle w:val="TableGrid"/>
        <w:tblW w:w="0" w:type="auto"/>
        <w:tblLook w:val="04A0" w:firstRow="1" w:lastRow="0" w:firstColumn="1" w:lastColumn="0" w:noHBand="0" w:noVBand="1"/>
      </w:tblPr>
      <w:tblGrid>
        <w:gridCol w:w="4428"/>
        <w:gridCol w:w="4428"/>
      </w:tblGrid>
      <w:tr w:rsidR="00D4624E" w:rsidTr="00D4624E">
        <w:tc>
          <w:tcPr>
            <w:tcW w:w="4428" w:type="dxa"/>
            <w:tcBorders>
              <w:top w:val="single" w:sz="4" w:space="0" w:color="auto"/>
              <w:left w:val="single" w:sz="4" w:space="0" w:color="auto"/>
              <w:bottom w:val="single" w:sz="4" w:space="0" w:color="auto"/>
              <w:right w:val="single" w:sz="4" w:space="0" w:color="auto"/>
            </w:tcBorders>
            <w:hideMark/>
          </w:tcPr>
          <w:p w:rsidR="00D4624E" w:rsidRPr="001407AB" w:rsidRDefault="00D4624E">
            <w:pPr>
              <w:pStyle w:val="Header"/>
              <w:tabs>
                <w:tab w:val="left" w:pos="720"/>
              </w:tabs>
              <w:jc w:val="center"/>
              <w:rPr>
                <w:rFonts w:ascii="Arial" w:hAnsi="Arial" w:cs="Arial"/>
                <w:b/>
                <w:sz w:val="22"/>
              </w:rPr>
            </w:pPr>
            <w:r w:rsidRPr="001407AB">
              <w:rPr>
                <w:rFonts w:ascii="Arial" w:hAnsi="Arial" w:cs="Arial"/>
                <w:b/>
                <w:sz w:val="22"/>
              </w:rPr>
              <w:t>Revision Date</w:t>
            </w:r>
          </w:p>
        </w:tc>
        <w:tc>
          <w:tcPr>
            <w:tcW w:w="4428" w:type="dxa"/>
            <w:tcBorders>
              <w:top w:val="single" w:sz="4" w:space="0" w:color="auto"/>
              <w:left w:val="single" w:sz="4" w:space="0" w:color="auto"/>
              <w:bottom w:val="single" w:sz="4" w:space="0" w:color="auto"/>
              <w:right w:val="single" w:sz="4" w:space="0" w:color="auto"/>
            </w:tcBorders>
            <w:hideMark/>
          </w:tcPr>
          <w:p w:rsidR="00D4624E" w:rsidRPr="001407AB" w:rsidRDefault="00D4624E">
            <w:pPr>
              <w:pStyle w:val="Header"/>
              <w:tabs>
                <w:tab w:val="left" w:pos="720"/>
              </w:tabs>
              <w:jc w:val="center"/>
              <w:rPr>
                <w:rFonts w:ascii="Arial" w:hAnsi="Arial" w:cs="Arial"/>
                <w:b/>
                <w:sz w:val="22"/>
              </w:rPr>
            </w:pPr>
            <w:r w:rsidRPr="001407AB">
              <w:rPr>
                <w:rFonts w:ascii="Arial" w:hAnsi="Arial" w:cs="Arial"/>
                <w:b/>
                <w:sz w:val="22"/>
              </w:rPr>
              <w:t>Summary of Revision</w:t>
            </w:r>
          </w:p>
        </w:tc>
      </w:tr>
      <w:tr w:rsidR="00D4624E" w:rsidTr="00D4624E">
        <w:tc>
          <w:tcPr>
            <w:tcW w:w="4428" w:type="dxa"/>
            <w:tcBorders>
              <w:top w:val="single" w:sz="4" w:space="0" w:color="auto"/>
              <w:left w:val="single" w:sz="4" w:space="0" w:color="auto"/>
              <w:bottom w:val="single" w:sz="4" w:space="0" w:color="auto"/>
              <w:right w:val="single" w:sz="4" w:space="0" w:color="auto"/>
            </w:tcBorders>
          </w:tcPr>
          <w:p w:rsidR="00D4624E" w:rsidRPr="001407AB" w:rsidRDefault="001407AB">
            <w:pPr>
              <w:pStyle w:val="Header"/>
              <w:tabs>
                <w:tab w:val="left" w:pos="720"/>
              </w:tabs>
              <w:rPr>
                <w:rFonts w:ascii="Arial" w:hAnsi="Arial" w:cs="Arial"/>
                <w:sz w:val="22"/>
              </w:rPr>
            </w:pPr>
            <w:r>
              <w:rPr>
                <w:rFonts w:ascii="Arial" w:hAnsi="Arial" w:cs="Arial"/>
                <w:sz w:val="22"/>
              </w:rPr>
              <w:t>March 1, 2014</w:t>
            </w:r>
          </w:p>
        </w:tc>
        <w:tc>
          <w:tcPr>
            <w:tcW w:w="4428" w:type="dxa"/>
            <w:tcBorders>
              <w:top w:val="single" w:sz="4" w:space="0" w:color="auto"/>
              <w:left w:val="single" w:sz="4" w:space="0" w:color="auto"/>
              <w:bottom w:val="single" w:sz="4" w:space="0" w:color="auto"/>
              <w:right w:val="single" w:sz="4" w:space="0" w:color="auto"/>
            </w:tcBorders>
          </w:tcPr>
          <w:p w:rsidR="00172FD5" w:rsidRPr="00172FD5" w:rsidRDefault="00172FD5" w:rsidP="001407AB">
            <w:pPr>
              <w:pStyle w:val="Header"/>
              <w:numPr>
                <w:ilvl w:val="0"/>
                <w:numId w:val="31"/>
              </w:numPr>
              <w:tabs>
                <w:tab w:val="left" w:pos="720"/>
              </w:tabs>
              <w:rPr>
                <w:sz w:val="24"/>
              </w:rPr>
            </w:pPr>
            <w:r>
              <w:rPr>
                <w:rFonts w:ascii="Arial" w:hAnsi="Arial" w:cs="Arial"/>
                <w:sz w:val="22"/>
                <w:szCs w:val="22"/>
              </w:rPr>
              <w:t>Revised manual name</w:t>
            </w:r>
          </w:p>
          <w:p w:rsidR="00D4624E" w:rsidRPr="001407AB" w:rsidRDefault="001407AB" w:rsidP="001407AB">
            <w:pPr>
              <w:pStyle w:val="Header"/>
              <w:numPr>
                <w:ilvl w:val="0"/>
                <w:numId w:val="31"/>
              </w:numPr>
              <w:tabs>
                <w:tab w:val="left" w:pos="720"/>
              </w:tabs>
              <w:rPr>
                <w:sz w:val="24"/>
              </w:rPr>
            </w:pPr>
            <w:r>
              <w:rPr>
                <w:rFonts w:ascii="Arial" w:hAnsi="Arial" w:cs="Arial"/>
                <w:sz w:val="22"/>
              </w:rPr>
              <w:t>Renumbered and made minor wording revisions to section 2.0, 6.0 and 7.0</w:t>
            </w:r>
          </w:p>
          <w:p w:rsidR="001407AB" w:rsidRPr="001407AB" w:rsidRDefault="001407AB" w:rsidP="001407AB">
            <w:pPr>
              <w:pStyle w:val="Header"/>
              <w:numPr>
                <w:ilvl w:val="0"/>
                <w:numId w:val="31"/>
              </w:numPr>
              <w:tabs>
                <w:tab w:val="left" w:pos="720"/>
              </w:tabs>
              <w:rPr>
                <w:sz w:val="24"/>
              </w:rPr>
            </w:pPr>
            <w:r>
              <w:rPr>
                <w:rFonts w:ascii="Arial" w:hAnsi="Arial" w:cs="Arial"/>
                <w:sz w:val="22"/>
              </w:rPr>
              <w:t>In section 3.2, clarified “if stored at 1-6ºC</w:t>
            </w:r>
          </w:p>
          <w:p w:rsidR="001407AB" w:rsidRPr="001407AB" w:rsidRDefault="001407AB" w:rsidP="001407AB">
            <w:pPr>
              <w:pStyle w:val="Header"/>
              <w:numPr>
                <w:ilvl w:val="0"/>
                <w:numId w:val="31"/>
              </w:numPr>
              <w:tabs>
                <w:tab w:val="left" w:pos="720"/>
              </w:tabs>
              <w:rPr>
                <w:sz w:val="24"/>
              </w:rPr>
            </w:pPr>
            <w:r>
              <w:rPr>
                <w:rFonts w:ascii="Arial" w:hAnsi="Arial" w:cs="Arial"/>
                <w:sz w:val="22"/>
              </w:rPr>
              <w:t>Revised wording to include “3-5% panel or screening cells” in section 4.0</w:t>
            </w:r>
          </w:p>
          <w:p w:rsidR="001407AB" w:rsidRPr="001407AB" w:rsidRDefault="001407AB" w:rsidP="001407AB">
            <w:pPr>
              <w:pStyle w:val="Header"/>
              <w:numPr>
                <w:ilvl w:val="0"/>
                <w:numId w:val="31"/>
              </w:numPr>
              <w:tabs>
                <w:tab w:val="left" w:pos="720"/>
              </w:tabs>
              <w:rPr>
                <w:sz w:val="24"/>
              </w:rPr>
            </w:pPr>
            <w:r>
              <w:rPr>
                <w:rFonts w:ascii="Arial" w:hAnsi="Arial" w:cs="Arial"/>
                <w:sz w:val="22"/>
              </w:rPr>
              <w:t>Revised wording of section 6.14 to include “Macroscopic agglutination” and “refer to manufacturer instructions”</w:t>
            </w:r>
          </w:p>
          <w:p w:rsidR="001407AB" w:rsidRPr="001407AB" w:rsidRDefault="001407AB" w:rsidP="001407AB">
            <w:pPr>
              <w:pStyle w:val="Header"/>
              <w:numPr>
                <w:ilvl w:val="0"/>
                <w:numId w:val="31"/>
              </w:numPr>
              <w:tabs>
                <w:tab w:val="left" w:pos="720"/>
              </w:tabs>
              <w:rPr>
                <w:sz w:val="24"/>
              </w:rPr>
            </w:pPr>
            <w:r>
              <w:rPr>
                <w:rFonts w:ascii="Arial" w:hAnsi="Arial" w:cs="Arial"/>
                <w:sz w:val="22"/>
              </w:rPr>
              <w:t>Revised wording to include “genotype testing can be performed in house if available” in section 8.2</w:t>
            </w:r>
          </w:p>
          <w:p w:rsidR="001407AB" w:rsidRDefault="001407AB" w:rsidP="001407AB">
            <w:pPr>
              <w:pStyle w:val="Header"/>
              <w:numPr>
                <w:ilvl w:val="0"/>
                <w:numId w:val="31"/>
              </w:numPr>
              <w:tabs>
                <w:tab w:val="left" w:pos="720"/>
              </w:tabs>
              <w:rPr>
                <w:sz w:val="24"/>
              </w:rPr>
            </w:pPr>
            <w:r>
              <w:rPr>
                <w:rFonts w:ascii="Arial" w:hAnsi="Arial" w:cs="Arial"/>
                <w:sz w:val="22"/>
              </w:rPr>
              <w:t xml:space="preserve">Updated list of references to include latest versions/editions </w:t>
            </w:r>
          </w:p>
        </w:tc>
      </w:tr>
    </w:tbl>
    <w:p w:rsidR="00D4624E" w:rsidRPr="00D4624E" w:rsidRDefault="00D4624E" w:rsidP="00D4624E">
      <w:pPr>
        <w:pStyle w:val="ListParagraph"/>
        <w:rPr>
          <w:rFonts w:ascii="Arial" w:hAnsi="Arial"/>
          <w:b/>
          <w:sz w:val="28"/>
        </w:rPr>
      </w:pPr>
    </w:p>
    <w:p w:rsidR="0037060E" w:rsidRDefault="0037060E">
      <w:pPr>
        <w:ind w:left="720"/>
        <w:rPr>
          <w:rFonts w:ascii="Arial" w:hAnsi="Arial"/>
          <w:sz w:val="24"/>
        </w:rPr>
      </w:pPr>
    </w:p>
    <w:p w:rsidR="0037060E" w:rsidRDefault="0037060E"/>
    <w:sectPr w:rsidR="0037060E" w:rsidSect="00FE78A1">
      <w:headerReference w:type="default" r:id="rId8"/>
      <w:footerReference w:type="default" r:id="rId9"/>
      <w:headerReference w:type="first" r:id="rId10"/>
      <w:footerReference w:type="first" r:id="rId11"/>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2BC" w:rsidRDefault="00AC32BC">
      <w:r>
        <w:separator/>
      </w:r>
    </w:p>
  </w:endnote>
  <w:endnote w:type="continuationSeparator" w:id="0">
    <w:p w:rsidR="00AC32BC" w:rsidRDefault="00AC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Lucida Sans"/>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D609D4">
      <w:trPr>
        <w:trHeight w:val="720"/>
      </w:trPr>
      <w:tc>
        <w:tcPr>
          <w:tcW w:w="1368" w:type="dxa"/>
        </w:tcPr>
        <w:p w:rsidR="00D609D4" w:rsidRDefault="00D609D4">
          <w:pPr>
            <w:pStyle w:val="Footer"/>
            <w:jc w:val="center"/>
            <w:rPr>
              <w:sz w:val="8"/>
            </w:rPr>
          </w:pPr>
        </w:p>
        <w:p w:rsidR="00D609D4" w:rsidRDefault="00D609D4">
          <w:pPr>
            <w:pStyle w:val="Footer"/>
            <w:jc w:val="center"/>
            <w:rPr>
              <w:rFonts w:ascii="Verdana" w:hAnsi="Verdana"/>
              <w:sz w:val="8"/>
            </w:rPr>
          </w:pPr>
          <w:r>
            <w:rPr>
              <w:noProof/>
            </w:rPr>
            <w:drawing>
              <wp:inline distT="0" distB="0" distL="0" distR="0">
                <wp:extent cx="654050" cy="444500"/>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444500"/>
                        </a:xfrm>
                        <a:prstGeom prst="rect">
                          <a:avLst/>
                        </a:prstGeom>
                        <a:noFill/>
                        <a:ln>
                          <a:noFill/>
                        </a:ln>
                      </pic:spPr>
                    </pic:pic>
                  </a:graphicData>
                </a:graphic>
              </wp:inline>
            </w:drawing>
          </w:r>
        </w:p>
      </w:tc>
      <w:tc>
        <w:tcPr>
          <w:tcW w:w="5976" w:type="dxa"/>
        </w:tcPr>
        <w:p w:rsidR="00D609D4" w:rsidRDefault="00D609D4">
          <w:pPr>
            <w:pStyle w:val="Footer"/>
            <w:jc w:val="center"/>
            <w:rPr>
              <w:rFonts w:ascii="Arial" w:hAnsi="Arial"/>
              <w:sz w:val="18"/>
            </w:rPr>
          </w:pPr>
        </w:p>
        <w:p w:rsidR="00D609D4" w:rsidRDefault="00D609D4">
          <w:pPr>
            <w:pStyle w:val="Footer"/>
            <w:jc w:val="center"/>
            <w:rPr>
              <w:rFonts w:ascii="Arial" w:hAnsi="Arial"/>
              <w:sz w:val="18"/>
            </w:rPr>
          </w:pPr>
          <w:r>
            <w:rPr>
              <w:rFonts w:ascii="Arial" w:hAnsi="Arial"/>
              <w:sz w:val="18"/>
            </w:rPr>
            <w:t>Ontario Regional Blood Coordinating Network</w:t>
          </w:r>
        </w:p>
        <w:p w:rsidR="00D609D4" w:rsidRDefault="0078214C">
          <w:pPr>
            <w:pStyle w:val="Footer"/>
            <w:jc w:val="center"/>
            <w:rPr>
              <w:rFonts w:ascii="Arial" w:hAnsi="Arial"/>
              <w:sz w:val="18"/>
            </w:rPr>
          </w:pPr>
          <w:r>
            <w:rPr>
              <w:rFonts w:ascii="Arial" w:hAnsi="Arial"/>
              <w:sz w:val="18"/>
            </w:rPr>
            <w:t>Transfusion Technical Resource</w:t>
          </w:r>
          <w:r w:rsidR="00D609D4">
            <w:rPr>
              <w:rFonts w:ascii="Arial" w:hAnsi="Arial"/>
              <w:sz w:val="18"/>
            </w:rPr>
            <w:t xml:space="preserve"> Manual</w:t>
          </w:r>
        </w:p>
        <w:p w:rsidR="00D609D4" w:rsidRDefault="00D609D4">
          <w:pPr>
            <w:pStyle w:val="Footer"/>
            <w:jc w:val="center"/>
            <w:rPr>
              <w:rFonts w:ascii="Arial" w:hAnsi="Arial"/>
              <w:sz w:val="18"/>
            </w:rPr>
          </w:pPr>
        </w:p>
      </w:tc>
      <w:tc>
        <w:tcPr>
          <w:tcW w:w="1494" w:type="dxa"/>
        </w:tcPr>
        <w:p w:rsidR="00D609D4" w:rsidRDefault="00D609D4">
          <w:pPr>
            <w:pStyle w:val="Footer"/>
            <w:jc w:val="right"/>
            <w:rPr>
              <w:rFonts w:ascii="Arial" w:hAnsi="Arial"/>
              <w:sz w:val="18"/>
            </w:rPr>
          </w:pPr>
        </w:p>
        <w:p w:rsidR="00D609D4" w:rsidRDefault="00D609D4">
          <w:pPr>
            <w:pStyle w:val="Footer"/>
            <w:jc w:val="right"/>
            <w:rPr>
              <w:rFonts w:ascii="Arial" w:hAnsi="Arial"/>
              <w:sz w:val="18"/>
            </w:rPr>
          </w:pPr>
          <w:r>
            <w:rPr>
              <w:rFonts w:ascii="Arial" w:hAnsi="Arial"/>
              <w:sz w:val="18"/>
            </w:rPr>
            <w:t>NRT.009</w:t>
          </w:r>
          <w:r>
            <w:rPr>
              <w:rFonts w:ascii="Arial" w:hAnsi="Arial"/>
              <w:sz w:val="18"/>
            </w:rPr>
            <w:br/>
          </w:r>
        </w:p>
        <w:p w:rsidR="00D609D4" w:rsidRDefault="00D609D4">
          <w:pPr>
            <w:pStyle w:val="Footer"/>
            <w:jc w:val="right"/>
            <w:rPr>
              <w:rFonts w:ascii="Arial" w:hAnsi="Arial"/>
              <w:sz w:val="18"/>
            </w:rPr>
          </w:pPr>
          <w:r>
            <w:rPr>
              <w:rFonts w:ascii="Arial" w:hAnsi="Arial"/>
              <w:snapToGrid w:val="0"/>
              <w:sz w:val="18"/>
            </w:rPr>
            <w:t xml:space="preserve">Page </w:t>
          </w:r>
          <w:r w:rsidR="00165A32">
            <w:rPr>
              <w:rFonts w:ascii="Arial" w:hAnsi="Arial"/>
              <w:snapToGrid w:val="0"/>
              <w:sz w:val="18"/>
            </w:rPr>
            <w:fldChar w:fldCharType="begin"/>
          </w:r>
          <w:r>
            <w:rPr>
              <w:rFonts w:ascii="Arial" w:hAnsi="Arial"/>
              <w:snapToGrid w:val="0"/>
              <w:sz w:val="18"/>
            </w:rPr>
            <w:instrText xml:space="preserve"> PAGE </w:instrText>
          </w:r>
          <w:r w:rsidR="00165A32">
            <w:rPr>
              <w:rFonts w:ascii="Arial" w:hAnsi="Arial"/>
              <w:snapToGrid w:val="0"/>
              <w:sz w:val="18"/>
            </w:rPr>
            <w:fldChar w:fldCharType="separate"/>
          </w:r>
          <w:r w:rsidR="00470C8B">
            <w:rPr>
              <w:rFonts w:ascii="Arial" w:hAnsi="Arial"/>
              <w:noProof/>
              <w:snapToGrid w:val="0"/>
              <w:sz w:val="18"/>
            </w:rPr>
            <w:t>6</w:t>
          </w:r>
          <w:r w:rsidR="00165A32">
            <w:rPr>
              <w:rFonts w:ascii="Arial" w:hAnsi="Arial"/>
              <w:snapToGrid w:val="0"/>
              <w:sz w:val="18"/>
            </w:rPr>
            <w:fldChar w:fldCharType="end"/>
          </w:r>
          <w:r>
            <w:rPr>
              <w:rFonts w:ascii="Arial" w:hAnsi="Arial"/>
              <w:snapToGrid w:val="0"/>
              <w:sz w:val="18"/>
            </w:rPr>
            <w:t xml:space="preserve"> of </w:t>
          </w:r>
          <w:r w:rsidR="00165A32">
            <w:rPr>
              <w:rFonts w:ascii="Arial" w:hAnsi="Arial"/>
              <w:snapToGrid w:val="0"/>
              <w:sz w:val="18"/>
            </w:rPr>
            <w:fldChar w:fldCharType="begin"/>
          </w:r>
          <w:r>
            <w:rPr>
              <w:rFonts w:ascii="Arial" w:hAnsi="Arial"/>
              <w:snapToGrid w:val="0"/>
              <w:sz w:val="18"/>
            </w:rPr>
            <w:instrText xml:space="preserve"> NUMPAGES </w:instrText>
          </w:r>
          <w:r w:rsidR="00165A32">
            <w:rPr>
              <w:rFonts w:ascii="Arial" w:hAnsi="Arial"/>
              <w:snapToGrid w:val="0"/>
              <w:sz w:val="18"/>
            </w:rPr>
            <w:fldChar w:fldCharType="separate"/>
          </w:r>
          <w:r w:rsidR="00470C8B">
            <w:rPr>
              <w:rFonts w:ascii="Arial" w:hAnsi="Arial"/>
              <w:noProof/>
              <w:snapToGrid w:val="0"/>
              <w:sz w:val="18"/>
            </w:rPr>
            <w:t>6</w:t>
          </w:r>
          <w:r w:rsidR="00165A32">
            <w:rPr>
              <w:rFonts w:ascii="Arial" w:hAnsi="Arial"/>
              <w:snapToGrid w:val="0"/>
              <w:sz w:val="18"/>
            </w:rPr>
            <w:fldChar w:fldCharType="end"/>
          </w:r>
        </w:p>
      </w:tc>
    </w:tr>
  </w:tbl>
  <w:p w:rsidR="00D609D4" w:rsidRDefault="00D60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D609D4">
      <w:trPr>
        <w:trHeight w:val="720"/>
      </w:trPr>
      <w:tc>
        <w:tcPr>
          <w:tcW w:w="1368" w:type="dxa"/>
        </w:tcPr>
        <w:p w:rsidR="00D609D4" w:rsidRDefault="00D609D4">
          <w:pPr>
            <w:pStyle w:val="Footer"/>
            <w:jc w:val="center"/>
            <w:rPr>
              <w:rFonts w:ascii="Verdana" w:hAnsi="Verdana"/>
              <w:sz w:val="8"/>
            </w:rPr>
          </w:pPr>
        </w:p>
        <w:p w:rsidR="00D609D4" w:rsidRDefault="00D609D4">
          <w:pPr>
            <w:pStyle w:val="Footer"/>
            <w:jc w:val="center"/>
            <w:rPr>
              <w:rFonts w:ascii="Verdana" w:hAnsi="Verdana"/>
              <w:sz w:val="8"/>
            </w:rPr>
          </w:pPr>
          <w:r>
            <w:rPr>
              <w:noProof/>
            </w:rPr>
            <w:drawing>
              <wp:inline distT="0" distB="0" distL="0" distR="0">
                <wp:extent cx="654050" cy="436245"/>
                <wp:effectExtent l="0" t="0" r="0" b="1905"/>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436245"/>
                        </a:xfrm>
                        <a:prstGeom prst="rect">
                          <a:avLst/>
                        </a:prstGeom>
                        <a:noFill/>
                        <a:ln>
                          <a:noFill/>
                        </a:ln>
                      </pic:spPr>
                    </pic:pic>
                  </a:graphicData>
                </a:graphic>
              </wp:inline>
            </w:drawing>
          </w:r>
        </w:p>
      </w:tc>
      <w:tc>
        <w:tcPr>
          <w:tcW w:w="5976" w:type="dxa"/>
        </w:tcPr>
        <w:p w:rsidR="00D609D4" w:rsidRDefault="00D609D4">
          <w:pPr>
            <w:pStyle w:val="Footer"/>
            <w:jc w:val="center"/>
            <w:rPr>
              <w:rFonts w:ascii="Arial" w:hAnsi="Arial"/>
              <w:sz w:val="18"/>
            </w:rPr>
          </w:pPr>
        </w:p>
        <w:p w:rsidR="00D609D4" w:rsidRDefault="00D609D4">
          <w:pPr>
            <w:pStyle w:val="Footer"/>
            <w:jc w:val="center"/>
            <w:rPr>
              <w:rFonts w:ascii="Arial" w:hAnsi="Arial"/>
              <w:sz w:val="18"/>
            </w:rPr>
          </w:pPr>
          <w:r>
            <w:rPr>
              <w:rFonts w:ascii="Arial" w:hAnsi="Arial"/>
              <w:sz w:val="18"/>
            </w:rPr>
            <w:t>Ontario Regional Blood Coordinating Network</w:t>
          </w:r>
        </w:p>
        <w:p w:rsidR="00D609D4" w:rsidRDefault="00D609D4">
          <w:pPr>
            <w:pStyle w:val="Footer"/>
            <w:jc w:val="center"/>
            <w:rPr>
              <w:rFonts w:ascii="Arial" w:hAnsi="Arial"/>
              <w:sz w:val="18"/>
            </w:rPr>
          </w:pPr>
          <w:r>
            <w:rPr>
              <w:rFonts w:ascii="Arial" w:hAnsi="Arial"/>
              <w:sz w:val="18"/>
            </w:rPr>
            <w:t>Transfusion Technical Resource  Manual</w:t>
          </w:r>
        </w:p>
        <w:p w:rsidR="00D609D4" w:rsidRDefault="00D609D4">
          <w:pPr>
            <w:pStyle w:val="Footer"/>
            <w:jc w:val="center"/>
            <w:rPr>
              <w:rFonts w:ascii="Arial" w:hAnsi="Arial"/>
              <w:sz w:val="18"/>
            </w:rPr>
          </w:pPr>
        </w:p>
      </w:tc>
      <w:tc>
        <w:tcPr>
          <w:tcW w:w="1494" w:type="dxa"/>
        </w:tcPr>
        <w:p w:rsidR="00D609D4" w:rsidRDefault="00D609D4">
          <w:pPr>
            <w:pStyle w:val="Footer"/>
            <w:jc w:val="right"/>
            <w:rPr>
              <w:rFonts w:ascii="Arial" w:hAnsi="Arial"/>
              <w:sz w:val="18"/>
            </w:rPr>
          </w:pPr>
        </w:p>
        <w:p w:rsidR="00D609D4" w:rsidRDefault="00D609D4">
          <w:pPr>
            <w:pStyle w:val="Footer"/>
            <w:jc w:val="right"/>
            <w:rPr>
              <w:rFonts w:ascii="Arial" w:hAnsi="Arial"/>
              <w:sz w:val="18"/>
            </w:rPr>
          </w:pPr>
          <w:r>
            <w:rPr>
              <w:rFonts w:ascii="Arial" w:hAnsi="Arial"/>
              <w:sz w:val="18"/>
            </w:rPr>
            <w:t>NRT.009</w:t>
          </w:r>
          <w:r>
            <w:rPr>
              <w:rFonts w:ascii="Arial" w:hAnsi="Arial"/>
              <w:sz w:val="18"/>
            </w:rPr>
            <w:br/>
          </w:r>
        </w:p>
        <w:p w:rsidR="00D609D4" w:rsidRDefault="00D609D4">
          <w:pPr>
            <w:pStyle w:val="Footer"/>
            <w:jc w:val="right"/>
            <w:rPr>
              <w:rFonts w:ascii="Arial" w:hAnsi="Arial"/>
              <w:sz w:val="18"/>
            </w:rPr>
          </w:pPr>
          <w:r>
            <w:rPr>
              <w:rFonts w:ascii="Arial" w:hAnsi="Arial"/>
              <w:snapToGrid w:val="0"/>
              <w:sz w:val="18"/>
            </w:rPr>
            <w:t xml:space="preserve">Page </w:t>
          </w:r>
          <w:r w:rsidR="00165A32">
            <w:rPr>
              <w:rFonts w:ascii="Arial" w:hAnsi="Arial"/>
              <w:snapToGrid w:val="0"/>
              <w:sz w:val="18"/>
            </w:rPr>
            <w:fldChar w:fldCharType="begin"/>
          </w:r>
          <w:r>
            <w:rPr>
              <w:rFonts w:ascii="Arial" w:hAnsi="Arial"/>
              <w:snapToGrid w:val="0"/>
              <w:sz w:val="18"/>
            </w:rPr>
            <w:instrText xml:space="preserve"> PAGE </w:instrText>
          </w:r>
          <w:r w:rsidR="00165A32">
            <w:rPr>
              <w:rFonts w:ascii="Arial" w:hAnsi="Arial"/>
              <w:snapToGrid w:val="0"/>
              <w:sz w:val="18"/>
            </w:rPr>
            <w:fldChar w:fldCharType="separate"/>
          </w:r>
          <w:r w:rsidR="00470C8B">
            <w:rPr>
              <w:rFonts w:ascii="Arial" w:hAnsi="Arial"/>
              <w:noProof/>
              <w:snapToGrid w:val="0"/>
              <w:sz w:val="18"/>
            </w:rPr>
            <w:t>1</w:t>
          </w:r>
          <w:r w:rsidR="00165A32">
            <w:rPr>
              <w:rFonts w:ascii="Arial" w:hAnsi="Arial"/>
              <w:snapToGrid w:val="0"/>
              <w:sz w:val="18"/>
            </w:rPr>
            <w:fldChar w:fldCharType="end"/>
          </w:r>
          <w:r>
            <w:rPr>
              <w:rFonts w:ascii="Arial" w:hAnsi="Arial"/>
              <w:snapToGrid w:val="0"/>
              <w:sz w:val="18"/>
            </w:rPr>
            <w:t xml:space="preserve"> of </w:t>
          </w:r>
          <w:r w:rsidR="00165A32">
            <w:rPr>
              <w:rFonts w:ascii="Arial" w:hAnsi="Arial"/>
              <w:snapToGrid w:val="0"/>
              <w:sz w:val="18"/>
            </w:rPr>
            <w:fldChar w:fldCharType="begin"/>
          </w:r>
          <w:r>
            <w:rPr>
              <w:rFonts w:ascii="Arial" w:hAnsi="Arial"/>
              <w:snapToGrid w:val="0"/>
              <w:sz w:val="18"/>
            </w:rPr>
            <w:instrText xml:space="preserve"> NUMPAGES </w:instrText>
          </w:r>
          <w:r w:rsidR="00165A32">
            <w:rPr>
              <w:rFonts w:ascii="Arial" w:hAnsi="Arial"/>
              <w:snapToGrid w:val="0"/>
              <w:sz w:val="18"/>
            </w:rPr>
            <w:fldChar w:fldCharType="separate"/>
          </w:r>
          <w:r w:rsidR="00470C8B">
            <w:rPr>
              <w:rFonts w:ascii="Arial" w:hAnsi="Arial"/>
              <w:noProof/>
              <w:snapToGrid w:val="0"/>
              <w:sz w:val="18"/>
            </w:rPr>
            <w:t>2</w:t>
          </w:r>
          <w:r w:rsidR="00165A32">
            <w:rPr>
              <w:rFonts w:ascii="Arial" w:hAnsi="Arial"/>
              <w:snapToGrid w:val="0"/>
              <w:sz w:val="18"/>
            </w:rPr>
            <w:fldChar w:fldCharType="end"/>
          </w:r>
        </w:p>
      </w:tc>
    </w:tr>
  </w:tbl>
  <w:p w:rsidR="00D609D4" w:rsidRDefault="00D60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2BC" w:rsidRDefault="00AC32BC">
      <w:r>
        <w:separator/>
      </w:r>
    </w:p>
  </w:footnote>
  <w:footnote w:type="continuationSeparator" w:id="0">
    <w:p w:rsidR="00AC32BC" w:rsidRDefault="00AC3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D4" w:rsidRDefault="00D609D4">
    <w:pPr>
      <w:pStyle w:val="Header"/>
      <w:jc w:val="center"/>
      <w:rPr>
        <w:rFonts w:ascii="Arial" w:hAnsi="Arial"/>
        <w:b/>
        <w:sz w:val="28"/>
      </w:rPr>
    </w:pPr>
    <w:r>
      <w:rPr>
        <w:rFonts w:ascii="Arial" w:hAnsi="Arial"/>
        <w:b/>
        <w:sz w:val="28"/>
      </w:rPr>
      <w:t>Antigen Typing – Direct and Indirect Agglutination</w:t>
    </w:r>
  </w:p>
  <w:p w:rsidR="00D609D4" w:rsidRDefault="00D609D4">
    <w:pPr>
      <w:pStyle w:val="Header"/>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D4" w:rsidRDefault="00D609D4">
    <w:pPr>
      <w:pStyle w:val="Header"/>
      <w:tabs>
        <w:tab w:val="clear" w:pos="8640"/>
        <w:tab w:val="left" w:pos="4783"/>
      </w:tabs>
    </w:pPr>
    <w:r>
      <w:rPr>
        <w:noProof/>
      </w:rPr>
      <w:drawing>
        <wp:inline distT="0" distB="0" distL="0" distR="0">
          <wp:extent cx="1233720" cy="4968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JPG"/>
                  <pic:cNvPicPr/>
                </pic:nvPicPr>
                <pic:blipFill>
                  <a:blip r:embed="rId1">
                    <a:extLst>
                      <a:ext uri="{28A0092B-C50C-407E-A947-70E740481C1C}">
                        <a14:useLocalDpi xmlns:a14="http://schemas.microsoft.com/office/drawing/2010/main" val="0"/>
                      </a:ext>
                    </a:extLst>
                  </a:blip>
                  <a:stretch>
                    <a:fillRect/>
                  </a:stretch>
                </pic:blipFill>
                <pic:spPr>
                  <a:xfrm>
                    <a:off x="0" y="0"/>
                    <a:ext cx="1233720" cy="496800"/>
                  </a:xfrm>
                  <a:prstGeom prst="rect">
                    <a:avLst/>
                  </a:prstGeom>
                </pic:spPr>
              </pic:pic>
            </a:graphicData>
          </a:graphic>
        </wp:inline>
      </w:drawing>
    </w:r>
  </w:p>
  <w:p w:rsidR="00D609D4" w:rsidRDefault="00D609D4">
    <w:pPr>
      <w:pStyle w:val="Header"/>
      <w:tabs>
        <w:tab w:val="clear" w:pos="8640"/>
        <w:tab w:val="left" w:pos="4783"/>
      </w:tabs>
      <w:rPr>
        <w:rFonts w:ascii="Arial" w:hAnsi="Arial" w:cs="Arial"/>
        <w:b/>
        <w:bCs/>
        <w:sz w:val="22"/>
      </w:rPr>
    </w:pPr>
  </w:p>
  <w:p w:rsidR="00D609D4" w:rsidRPr="00C6556D" w:rsidRDefault="00D609D4">
    <w:pPr>
      <w:pStyle w:val="Header"/>
      <w:jc w:val="center"/>
      <w:rPr>
        <w:rFonts w:ascii="Arial" w:hAnsi="Arial" w:cs="Arial"/>
        <w:b/>
        <w:bCs/>
        <w:sz w:val="24"/>
      </w:rPr>
    </w:pPr>
    <w:r w:rsidRPr="00C6556D">
      <w:rPr>
        <w:rFonts w:ascii="Arial" w:hAnsi="Arial" w:cs="Arial"/>
        <w:b/>
        <w:bCs/>
        <w:sz w:val="24"/>
      </w:rPr>
      <w:t>Ontario Regional Blood Coordinating Network</w:t>
    </w:r>
  </w:p>
  <w:p w:rsidR="00D609D4" w:rsidRPr="00C6556D" w:rsidRDefault="00D609D4">
    <w:pPr>
      <w:pStyle w:val="Header"/>
      <w:jc w:val="center"/>
      <w:rPr>
        <w:rFonts w:ascii="Arial" w:hAnsi="Arial" w:cs="Arial"/>
        <w:b/>
        <w:bCs/>
        <w:sz w:val="24"/>
      </w:rPr>
    </w:pPr>
    <w:r w:rsidRPr="00C6556D">
      <w:rPr>
        <w:rFonts w:ascii="Arial" w:hAnsi="Arial" w:cs="Arial"/>
        <w:b/>
        <w:bCs/>
        <w:sz w:val="24"/>
      </w:rPr>
      <w:t>Transfusion Technical Resource Manual</w:t>
    </w:r>
  </w:p>
  <w:p w:rsidR="00D609D4" w:rsidRDefault="00D609D4">
    <w:pPr>
      <w:pStyle w:val="Header"/>
      <w:jc w:val="center"/>
      <w:rPr>
        <w:rFonts w:ascii="Arial" w:hAnsi="Arial"/>
        <w:b/>
        <w:sz w:val="28"/>
      </w:rPr>
    </w:pPr>
  </w:p>
  <w:p w:rsidR="00D609D4" w:rsidRDefault="00D609D4">
    <w:pPr>
      <w:pStyle w:val="Header"/>
      <w:jc w:val="center"/>
      <w:rPr>
        <w:rFonts w:ascii="Arial" w:hAnsi="Arial"/>
        <w:b/>
        <w:sz w:val="28"/>
      </w:rPr>
    </w:pPr>
    <w:r>
      <w:rPr>
        <w:rFonts w:ascii="Arial" w:hAnsi="Arial"/>
        <w:b/>
        <w:sz w:val="28"/>
      </w:rPr>
      <w:t>Antigen Typing – Direct and Indirect Agglutination</w:t>
    </w:r>
  </w:p>
  <w:p w:rsidR="00D609D4" w:rsidRDefault="00D609D4">
    <w:pPr>
      <w:pStyle w:val="Header"/>
      <w:jc w:val="center"/>
      <w:rPr>
        <w:rFonts w:ascii="Arial" w:hAnsi="Arial"/>
        <w:b/>
        <w:sz w:val="28"/>
      </w:rPr>
    </w:pPr>
  </w:p>
  <w:p w:rsidR="00D609D4" w:rsidRDefault="00D609D4">
    <w:pPr>
      <w:pStyle w:val="Header"/>
      <w:tabs>
        <w:tab w:val="left" w:pos="6617"/>
      </w:tabs>
      <w:jc w:val="center"/>
      <w:rPr>
        <w:rFonts w:ascii="Arial" w:hAnsi="Arial" w:cs="Arial"/>
        <w:b/>
        <w:bCs/>
      </w:rPr>
    </w:pPr>
    <w:r>
      <w:rPr>
        <w:rFonts w:ascii="Arial" w:hAnsi="Arial" w:cs="Arial"/>
        <w:b/>
        <w:bCs/>
      </w:rPr>
      <w:tab/>
    </w:r>
    <w:r w:rsidR="00470C8B">
      <w:rPr>
        <w:rFonts w:ascii="Arial" w:hAnsi="Arial" w:cs="Arial"/>
        <w:noProof/>
      </w:rPr>
      <mc:AlternateContent>
        <mc:Choice Requires="wps">
          <w:drawing>
            <wp:anchor distT="4294967295" distB="4294967295" distL="114300" distR="114300" simplePos="0" relativeHeight="251657216" behindDoc="0" locked="0" layoutInCell="1" allowOverlap="1">
              <wp:simplePos x="0" y="0"/>
              <wp:positionH relativeFrom="column">
                <wp:posOffset>-62865</wp:posOffset>
              </wp:positionH>
              <wp:positionV relativeFrom="paragraph">
                <wp:posOffset>20954</wp:posOffset>
              </wp:positionV>
              <wp:extent cx="56007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054D"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2"/>
      <w:gridCol w:w="4318"/>
    </w:tblGrid>
    <w:tr w:rsidR="00D609D4">
      <w:tc>
        <w:tcPr>
          <w:tcW w:w="4428" w:type="dxa"/>
        </w:tcPr>
        <w:p w:rsidR="00D609D4" w:rsidRDefault="00D609D4">
          <w:pPr>
            <w:pStyle w:val="Header"/>
            <w:rPr>
              <w:rFonts w:ascii="Arial" w:hAnsi="Arial" w:cs="Arial"/>
            </w:rPr>
          </w:pPr>
          <w:r>
            <w:rPr>
              <w:rFonts w:ascii="Arial" w:hAnsi="Arial" w:cs="Arial"/>
            </w:rPr>
            <w:t>Approved By:</w:t>
          </w:r>
        </w:p>
      </w:tc>
      <w:tc>
        <w:tcPr>
          <w:tcW w:w="4428" w:type="dxa"/>
        </w:tcPr>
        <w:p w:rsidR="00D609D4" w:rsidRDefault="00D609D4">
          <w:pPr>
            <w:pStyle w:val="Header"/>
            <w:rPr>
              <w:rFonts w:ascii="Arial" w:hAnsi="Arial" w:cs="Arial"/>
            </w:rPr>
          </w:pPr>
          <w:r>
            <w:rPr>
              <w:rFonts w:ascii="Arial" w:hAnsi="Arial" w:cs="Arial"/>
            </w:rPr>
            <w:t>Document No: NRT.009</w:t>
          </w:r>
        </w:p>
      </w:tc>
    </w:tr>
    <w:tr w:rsidR="00D609D4">
      <w:tc>
        <w:tcPr>
          <w:tcW w:w="4428" w:type="dxa"/>
        </w:tcPr>
        <w:p w:rsidR="00D609D4" w:rsidRDefault="00D609D4">
          <w:pPr>
            <w:pStyle w:val="Header"/>
            <w:rPr>
              <w:rFonts w:ascii="Arial" w:hAnsi="Arial" w:cs="Arial"/>
            </w:rPr>
          </w:pPr>
          <w:r>
            <w:rPr>
              <w:rFonts w:ascii="Arial" w:hAnsi="Arial" w:cs="Arial"/>
            </w:rPr>
            <w:t>Date Issued:  2004/04/05</w:t>
          </w:r>
        </w:p>
      </w:tc>
      <w:tc>
        <w:tcPr>
          <w:tcW w:w="4428" w:type="dxa"/>
        </w:tcPr>
        <w:p w:rsidR="00D609D4" w:rsidRDefault="00D609D4">
          <w:pPr>
            <w:pStyle w:val="Header"/>
            <w:rPr>
              <w:rFonts w:ascii="Arial" w:hAnsi="Arial" w:cs="Arial"/>
            </w:rPr>
          </w:pPr>
          <w:r>
            <w:rPr>
              <w:rFonts w:ascii="Arial" w:hAnsi="Arial" w:cs="Arial"/>
            </w:rPr>
            <w:t>Category:  Non-Routine Testing</w:t>
          </w:r>
        </w:p>
      </w:tc>
    </w:tr>
    <w:tr w:rsidR="00D609D4">
      <w:tc>
        <w:tcPr>
          <w:tcW w:w="4428" w:type="dxa"/>
        </w:tcPr>
        <w:p w:rsidR="00D609D4" w:rsidRDefault="00D609D4" w:rsidP="006A6D30">
          <w:pPr>
            <w:pStyle w:val="Header"/>
            <w:rPr>
              <w:rFonts w:ascii="Arial" w:hAnsi="Arial" w:cs="Arial"/>
            </w:rPr>
          </w:pPr>
          <w:r>
            <w:rPr>
              <w:rFonts w:ascii="Arial" w:hAnsi="Arial" w:cs="Arial"/>
            </w:rPr>
            <w:t>Date Revised:  2009/09/01; 2014/0</w:t>
          </w:r>
          <w:r w:rsidR="006A6D30">
            <w:rPr>
              <w:rFonts w:ascii="Arial" w:hAnsi="Arial" w:cs="Arial"/>
            </w:rPr>
            <w:t>3</w:t>
          </w:r>
          <w:r>
            <w:rPr>
              <w:rFonts w:ascii="Arial" w:hAnsi="Arial" w:cs="Arial"/>
            </w:rPr>
            <w:t>/</w:t>
          </w:r>
          <w:r w:rsidR="006A6D30">
            <w:rPr>
              <w:rFonts w:ascii="Arial" w:hAnsi="Arial" w:cs="Arial"/>
            </w:rPr>
            <w:t>0</w:t>
          </w:r>
          <w:r>
            <w:rPr>
              <w:rFonts w:ascii="Arial" w:hAnsi="Arial" w:cs="Arial"/>
            </w:rPr>
            <w:t>1</w:t>
          </w:r>
        </w:p>
      </w:tc>
      <w:tc>
        <w:tcPr>
          <w:tcW w:w="4428" w:type="dxa"/>
        </w:tcPr>
        <w:p w:rsidR="00D609D4" w:rsidRDefault="00D609D4">
          <w:pPr>
            <w:pStyle w:val="Header"/>
            <w:rPr>
              <w:rFonts w:ascii="Arial" w:hAnsi="Arial" w:cs="Arial"/>
            </w:rPr>
          </w:pPr>
          <w:r>
            <w:rPr>
              <w:rFonts w:ascii="Arial" w:hAnsi="Arial" w:cs="Arial"/>
            </w:rPr>
            <w:t xml:space="preserve">Page </w:t>
          </w:r>
          <w:r w:rsidR="00165A32">
            <w:rPr>
              <w:rFonts w:ascii="Arial" w:hAnsi="Arial" w:cs="Arial"/>
            </w:rPr>
            <w:fldChar w:fldCharType="begin"/>
          </w:r>
          <w:r>
            <w:rPr>
              <w:rFonts w:ascii="Arial" w:hAnsi="Arial" w:cs="Arial"/>
            </w:rPr>
            <w:instrText xml:space="preserve"> PAGE </w:instrText>
          </w:r>
          <w:r w:rsidR="00165A32">
            <w:rPr>
              <w:rFonts w:ascii="Arial" w:hAnsi="Arial" w:cs="Arial"/>
            </w:rPr>
            <w:fldChar w:fldCharType="separate"/>
          </w:r>
          <w:r w:rsidR="00470C8B">
            <w:rPr>
              <w:rFonts w:ascii="Arial" w:hAnsi="Arial" w:cs="Arial"/>
              <w:noProof/>
            </w:rPr>
            <w:t>1</w:t>
          </w:r>
          <w:r w:rsidR="00165A32">
            <w:rPr>
              <w:rFonts w:ascii="Arial" w:hAnsi="Arial" w:cs="Arial"/>
            </w:rPr>
            <w:fldChar w:fldCharType="end"/>
          </w:r>
          <w:r>
            <w:rPr>
              <w:rFonts w:ascii="Arial" w:hAnsi="Arial" w:cs="Arial"/>
            </w:rPr>
            <w:t xml:space="preserve"> of </w:t>
          </w:r>
          <w:r w:rsidR="00165A32">
            <w:rPr>
              <w:rFonts w:ascii="Arial" w:hAnsi="Arial" w:cs="Arial"/>
            </w:rPr>
            <w:fldChar w:fldCharType="begin"/>
          </w:r>
          <w:r>
            <w:rPr>
              <w:rFonts w:ascii="Arial" w:hAnsi="Arial" w:cs="Arial"/>
            </w:rPr>
            <w:instrText xml:space="preserve"> NUMPAGES </w:instrText>
          </w:r>
          <w:r w:rsidR="00165A32">
            <w:rPr>
              <w:rFonts w:ascii="Arial" w:hAnsi="Arial" w:cs="Arial"/>
            </w:rPr>
            <w:fldChar w:fldCharType="separate"/>
          </w:r>
          <w:r w:rsidR="00470C8B">
            <w:rPr>
              <w:rFonts w:ascii="Arial" w:hAnsi="Arial" w:cs="Arial"/>
              <w:noProof/>
            </w:rPr>
            <w:t>2</w:t>
          </w:r>
          <w:r w:rsidR="00165A32">
            <w:rPr>
              <w:rFonts w:ascii="Arial" w:hAnsi="Arial" w:cs="Arial"/>
            </w:rPr>
            <w:fldChar w:fldCharType="end"/>
          </w:r>
        </w:p>
      </w:tc>
    </w:tr>
  </w:tbl>
  <w:p w:rsidR="00D609D4" w:rsidRDefault="00470C8B">
    <w:pPr>
      <w:pStyle w:val="Header"/>
    </w:pPr>
    <w:r>
      <w:rPr>
        <w:rFonts w:ascii="Arial" w:hAnsi="Arial" w:cs="Arial"/>
        <w:noProof/>
      </w:rPr>
      <mc:AlternateContent>
        <mc:Choice Requires="wps">
          <w:drawing>
            <wp:anchor distT="4294967295" distB="4294967295" distL="114300" distR="114300" simplePos="0" relativeHeight="251658240" behindDoc="0" locked="0" layoutInCell="1" allowOverlap="1">
              <wp:simplePos x="0" y="0"/>
              <wp:positionH relativeFrom="column">
                <wp:posOffset>-62865</wp:posOffset>
              </wp:positionH>
              <wp:positionV relativeFrom="paragraph">
                <wp:posOffset>122554</wp:posOffset>
              </wp:positionV>
              <wp:extent cx="56007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B295"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D609D4">
      <w:rPr>
        <w:rFonts w:ascii="Arial" w:hAnsi="Arial" w:cs="Arial"/>
      </w:rPr>
      <w:tab/>
    </w:r>
  </w:p>
  <w:p w:rsidR="00D609D4" w:rsidRDefault="00D60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E24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B4733"/>
    <w:multiLevelType w:val="hybridMultilevel"/>
    <w:tmpl w:val="8760F9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844788"/>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3" w15:restartNumberingAfterBreak="0">
    <w:nsid w:val="06EA7F5F"/>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22135B"/>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2D128D"/>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01307C"/>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1AA47C9"/>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47C058B"/>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8CE4BBE"/>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B525DA3"/>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BBF16BC"/>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BD273F6"/>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DD103D3"/>
    <w:multiLevelType w:val="hybridMultilevel"/>
    <w:tmpl w:val="60C84D06"/>
    <w:lvl w:ilvl="0" w:tplc="D486D63C">
      <w:start w:val="1"/>
      <w:numFmt w:val="bullet"/>
      <w:suff w:val="space"/>
      <w:lvlText w:val=""/>
      <w:lvlJc w:val="left"/>
      <w:pPr>
        <w:ind w:left="1447" w:hanging="170"/>
      </w:pPr>
      <w:rPr>
        <w:rFonts w:ascii="Symbol" w:hAnsi="Symbol" w:hint="default"/>
      </w:rPr>
    </w:lvl>
    <w:lvl w:ilvl="1" w:tplc="10090003" w:tentative="1">
      <w:start w:val="1"/>
      <w:numFmt w:val="bullet"/>
      <w:lvlText w:val="o"/>
      <w:lvlJc w:val="left"/>
      <w:pPr>
        <w:ind w:left="2357" w:hanging="360"/>
      </w:pPr>
      <w:rPr>
        <w:rFonts w:ascii="Courier New" w:hAnsi="Courier New" w:cs="Courier New" w:hint="default"/>
      </w:rPr>
    </w:lvl>
    <w:lvl w:ilvl="2" w:tplc="10090005" w:tentative="1">
      <w:start w:val="1"/>
      <w:numFmt w:val="bullet"/>
      <w:lvlText w:val=""/>
      <w:lvlJc w:val="left"/>
      <w:pPr>
        <w:ind w:left="3077" w:hanging="360"/>
      </w:pPr>
      <w:rPr>
        <w:rFonts w:ascii="Wingdings" w:hAnsi="Wingdings" w:hint="default"/>
      </w:rPr>
    </w:lvl>
    <w:lvl w:ilvl="3" w:tplc="10090001" w:tentative="1">
      <w:start w:val="1"/>
      <w:numFmt w:val="bullet"/>
      <w:lvlText w:val=""/>
      <w:lvlJc w:val="left"/>
      <w:pPr>
        <w:ind w:left="3797" w:hanging="360"/>
      </w:pPr>
      <w:rPr>
        <w:rFonts w:ascii="Symbol" w:hAnsi="Symbol" w:hint="default"/>
      </w:rPr>
    </w:lvl>
    <w:lvl w:ilvl="4" w:tplc="10090003" w:tentative="1">
      <w:start w:val="1"/>
      <w:numFmt w:val="bullet"/>
      <w:lvlText w:val="o"/>
      <w:lvlJc w:val="left"/>
      <w:pPr>
        <w:ind w:left="4517" w:hanging="360"/>
      </w:pPr>
      <w:rPr>
        <w:rFonts w:ascii="Courier New" w:hAnsi="Courier New" w:cs="Courier New" w:hint="default"/>
      </w:rPr>
    </w:lvl>
    <w:lvl w:ilvl="5" w:tplc="10090005" w:tentative="1">
      <w:start w:val="1"/>
      <w:numFmt w:val="bullet"/>
      <w:lvlText w:val=""/>
      <w:lvlJc w:val="left"/>
      <w:pPr>
        <w:ind w:left="5237" w:hanging="360"/>
      </w:pPr>
      <w:rPr>
        <w:rFonts w:ascii="Wingdings" w:hAnsi="Wingdings" w:hint="default"/>
      </w:rPr>
    </w:lvl>
    <w:lvl w:ilvl="6" w:tplc="10090001" w:tentative="1">
      <w:start w:val="1"/>
      <w:numFmt w:val="bullet"/>
      <w:lvlText w:val=""/>
      <w:lvlJc w:val="left"/>
      <w:pPr>
        <w:ind w:left="5957" w:hanging="360"/>
      </w:pPr>
      <w:rPr>
        <w:rFonts w:ascii="Symbol" w:hAnsi="Symbol" w:hint="default"/>
      </w:rPr>
    </w:lvl>
    <w:lvl w:ilvl="7" w:tplc="10090003" w:tentative="1">
      <w:start w:val="1"/>
      <w:numFmt w:val="bullet"/>
      <w:lvlText w:val="o"/>
      <w:lvlJc w:val="left"/>
      <w:pPr>
        <w:ind w:left="6677" w:hanging="360"/>
      </w:pPr>
      <w:rPr>
        <w:rFonts w:ascii="Courier New" w:hAnsi="Courier New" w:cs="Courier New" w:hint="default"/>
      </w:rPr>
    </w:lvl>
    <w:lvl w:ilvl="8" w:tplc="10090005" w:tentative="1">
      <w:start w:val="1"/>
      <w:numFmt w:val="bullet"/>
      <w:lvlText w:val=""/>
      <w:lvlJc w:val="left"/>
      <w:pPr>
        <w:ind w:left="7397" w:hanging="360"/>
      </w:pPr>
      <w:rPr>
        <w:rFonts w:ascii="Wingdings" w:hAnsi="Wingdings" w:hint="default"/>
      </w:rPr>
    </w:lvl>
  </w:abstractNum>
  <w:abstractNum w:abstractNumId="14" w15:restartNumberingAfterBreak="0">
    <w:nsid w:val="1F96067D"/>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7A64F36"/>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D985190"/>
    <w:multiLevelType w:val="multilevel"/>
    <w:tmpl w:val="F2B0DEB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8" w15:restartNumberingAfterBreak="0">
    <w:nsid w:val="33AE4F5E"/>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814035B"/>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8276D7D"/>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AFA41D0"/>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B73700E"/>
    <w:multiLevelType w:val="hybridMultilevel"/>
    <w:tmpl w:val="13ECC0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D4C5C85"/>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2C96137"/>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4AF3E7D"/>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26" w15:restartNumberingAfterBreak="0">
    <w:nsid w:val="59351FB4"/>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2EF3E52"/>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56A6D71"/>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29" w15:restartNumberingAfterBreak="0">
    <w:nsid w:val="76520BEA"/>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87E441E"/>
    <w:multiLevelType w:val="multilevel"/>
    <w:tmpl w:val="803610C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2"/>
  </w:num>
  <w:num w:numId="3">
    <w:abstractNumId w:val="28"/>
  </w:num>
  <w:num w:numId="4">
    <w:abstractNumId w:val="25"/>
  </w:num>
  <w:num w:numId="5">
    <w:abstractNumId w:val="17"/>
  </w:num>
  <w:num w:numId="6">
    <w:abstractNumId w:val="0"/>
  </w:num>
  <w:num w:numId="7">
    <w:abstractNumId w:val="23"/>
  </w:num>
  <w:num w:numId="8">
    <w:abstractNumId w:val="24"/>
  </w:num>
  <w:num w:numId="9">
    <w:abstractNumId w:val="19"/>
  </w:num>
  <w:num w:numId="10">
    <w:abstractNumId w:val="20"/>
  </w:num>
  <w:num w:numId="11">
    <w:abstractNumId w:val="11"/>
  </w:num>
  <w:num w:numId="12">
    <w:abstractNumId w:val="5"/>
  </w:num>
  <w:num w:numId="13">
    <w:abstractNumId w:val="10"/>
  </w:num>
  <w:num w:numId="14">
    <w:abstractNumId w:val="30"/>
  </w:num>
  <w:num w:numId="15">
    <w:abstractNumId w:val="29"/>
  </w:num>
  <w:num w:numId="16">
    <w:abstractNumId w:val="9"/>
  </w:num>
  <w:num w:numId="17">
    <w:abstractNumId w:val="21"/>
  </w:num>
  <w:num w:numId="18">
    <w:abstractNumId w:val="27"/>
  </w:num>
  <w:num w:numId="19">
    <w:abstractNumId w:val="13"/>
  </w:num>
  <w:num w:numId="20">
    <w:abstractNumId w:val="18"/>
  </w:num>
  <w:num w:numId="21">
    <w:abstractNumId w:val="15"/>
  </w:num>
  <w:num w:numId="22">
    <w:abstractNumId w:val="7"/>
  </w:num>
  <w:num w:numId="23">
    <w:abstractNumId w:val="26"/>
  </w:num>
  <w:num w:numId="24">
    <w:abstractNumId w:val="8"/>
  </w:num>
  <w:num w:numId="25">
    <w:abstractNumId w:val="12"/>
  </w:num>
  <w:num w:numId="26">
    <w:abstractNumId w:val="6"/>
  </w:num>
  <w:num w:numId="27">
    <w:abstractNumId w:val="14"/>
  </w:num>
  <w:num w:numId="28">
    <w:abstractNumId w:val="3"/>
  </w:num>
  <w:num w:numId="29">
    <w:abstractNumId w:val="4"/>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0E"/>
    <w:rsid w:val="00021D8D"/>
    <w:rsid w:val="001407AB"/>
    <w:rsid w:val="00147E3D"/>
    <w:rsid w:val="001631B9"/>
    <w:rsid w:val="00165A32"/>
    <w:rsid w:val="00172FD5"/>
    <w:rsid w:val="00184F7F"/>
    <w:rsid w:val="001A41C4"/>
    <w:rsid w:val="00273243"/>
    <w:rsid w:val="0037060E"/>
    <w:rsid w:val="00442673"/>
    <w:rsid w:val="00470C8B"/>
    <w:rsid w:val="00497BA0"/>
    <w:rsid w:val="0055304A"/>
    <w:rsid w:val="005F5C84"/>
    <w:rsid w:val="00654FE7"/>
    <w:rsid w:val="006A6D30"/>
    <w:rsid w:val="0078214C"/>
    <w:rsid w:val="00861D6F"/>
    <w:rsid w:val="00934A12"/>
    <w:rsid w:val="00993FD0"/>
    <w:rsid w:val="00A65778"/>
    <w:rsid w:val="00A95D81"/>
    <w:rsid w:val="00AA0B78"/>
    <w:rsid w:val="00AA350C"/>
    <w:rsid w:val="00AC32BC"/>
    <w:rsid w:val="00AE4110"/>
    <w:rsid w:val="00B4054E"/>
    <w:rsid w:val="00B72B17"/>
    <w:rsid w:val="00B819B6"/>
    <w:rsid w:val="00C34973"/>
    <w:rsid w:val="00C6556D"/>
    <w:rsid w:val="00C83B42"/>
    <w:rsid w:val="00C87245"/>
    <w:rsid w:val="00CB6B7F"/>
    <w:rsid w:val="00CC32A8"/>
    <w:rsid w:val="00D04D5E"/>
    <w:rsid w:val="00D35368"/>
    <w:rsid w:val="00D4624E"/>
    <w:rsid w:val="00D609D4"/>
    <w:rsid w:val="00DF6C7C"/>
    <w:rsid w:val="00E0318D"/>
    <w:rsid w:val="00E6553F"/>
    <w:rsid w:val="00E835EA"/>
    <w:rsid w:val="00FE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F35B4C-535E-48B2-A49F-17F9F0B1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5"/>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5"/>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5"/>
      </w:numPr>
      <w:spacing w:after="240"/>
      <w:outlineLvl w:val="2"/>
    </w:pPr>
    <w:rPr>
      <w:rFonts w:ascii="Georgia" w:hAnsi="Georgia"/>
      <w:kern w:val="24"/>
      <w:sz w:val="24"/>
    </w:rPr>
  </w:style>
  <w:style w:type="paragraph" w:styleId="Heading4">
    <w:name w:val="heading 4"/>
    <w:basedOn w:val="Normal"/>
    <w:next w:val="Normal"/>
    <w:qFormat/>
    <w:pPr>
      <w:keepNext/>
      <w:numPr>
        <w:ilvl w:val="3"/>
        <w:numId w:val="5"/>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5"/>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5"/>
      </w:numPr>
      <w:spacing w:after="240"/>
      <w:outlineLvl w:val="5"/>
    </w:pPr>
    <w:rPr>
      <w:rFonts w:ascii="Georgia" w:hAnsi="Georgia"/>
      <w:snapToGrid w:val="0"/>
      <w:kern w:val="24"/>
      <w:sz w:val="24"/>
    </w:rPr>
  </w:style>
  <w:style w:type="paragraph" w:styleId="Heading7">
    <w:name w:val="heading 7"/>
    <w:basedOn w:val="Normal"/>
    <w:next w:val="Normal"/>
    <w:qFormat/>
    <w:pPr>
      <w:keepNext/>
      <w:ind w:left="720"/>
      <w:outlineLvl w:val="6"/>
    </w:pPr>
    <w:rPr>
      <w:rFonts w:ascii="Arial" w:hAnsi="Arial"/>
      <w:b/>
      <w:sz w:val="24"/>
    </w:rPr>
  </w:style>
  <w:style w:type="paragraph" w:styleId="Heading8">
    <w:name w:val="heading 8"/>
    <w:basedOn w:val="Normal"/>
    <w:next w:val="Normal"/>
    <w:qFormat/>
    <w:pPr>
      <w:keepNext/>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link w:val="BalloonTextChar"/>
    <w:rsid w:val="00AA0B78"/>
    <w:rPr>
      <w:rFonts w:ascii="Lucida Grande" w:hAnsi="Lucida Grande"/>
      <w:sz w:val="18"/>
      <w:szCs w:val="18"/>
    </w:rPr>
  </w:style>
  <w:style w:type="character" w:customStyle="1" w:styleId="BalloonTextChar">
    <w:name w:val="Balloon Text Char"/>
    <w:basedOn w:val="DefaultParagraphFont"/>
    <w:link w:val="BalloonText"/>
    <w:rsid w:val="00AA0B78"/>
    <w:rPr>
      <w:rFonts w:ascii="Lucida Grande" w:hAnsi="Lucida Grande"/>
      <w:sz w:val="18"/>
      <w:szCs w:val="18"/>
    </w:rPr>
  </w:style>
  <w:style w:type="character" w:styleId="CommentReference">
    <w:name w:val="annotation reference"/>
    <w:basedOn w:val="DefaultParagraphFont"/>
    <w:rsid w:val="00DF6C7C"/>
    <w:rPr>
      <w:sz w:val="16"/>
      <w:szCs w:val="16"/>
    </w:rPr>
  </w:style>
  <w:style w:type="paragraph" w:styleId="CommentText">
    <w:name w:val="annotation text"/>
    <w:basedOn w:val="Normal"/>
    <w:link w:val="CommentTextChar"/>
    <w:rsid w:val="00DF6C7C"/>
  </w:style>
  <w:style w:type="character" w:customStyle="1" w:styleId="CommentTextChar">
    <w:name w:val="Comment Text Char"/>
    <w:basedOn w:val="DefaultParagraphFont"/>
    <w:link w:val="CommentText"/>
    <w:rsid w:val="00DF6C7C"/>
  </w:style>
  <w:style w:type="paragraph" w:styleId="CommentSubject">
    <w:name w:val="annotation subject"/>
    <w:basedOn w:val="CommentText"/>
    <w:next w:val="CommentText"/>
    <w:link w:val="CommentSubjectChar"/>
    <w:rsid w:val="00DF6C7C"/>
    <w:rPr>
      <w:b/>
      <w:bCs/>
    </w:rPr>
  </w:style>
  <w:style w:type="character" w:customStyle="1" w:styleId="CommentSubjectChar">
    <w:name w:val="Comment Subject Char"/>
    <w:basedOn w:val="CommentTextChar"/>
    <w:link w:val="CommentSubject"/>
    <w:rsid w:val="00DF6C7C"/>
    <w:rPr>
      <w:b/>
      <w:bCs/>
    </w:rPr>
  </w:style>
  <w:style w:type="paragraph" w:styleId="Revision">
    <w:name w:val="Revision"/>
    <w:hidden/>
    <w:uiPriority w:val="71"/>
    <w:rsid w:val="00DF6C7C"/>
  </w:style>
  <w:style w:type="paragraph" w:styleId="ListParagraph">
    <w:name w:val="List Paragraph"/>
    <w:basedOn w:val="Normal"/>
    <w:uiPriority w:val="72"/>
    <w:rsid w:val="00E6553F"/>
    <w:pPr>
      <w:ind w:left="720"/>
      <w:contextualSpacing/>
    </w:pPr>
  </w:style>
  <w:style w:type="character" w:styleId="PlaceholderText">
    <w:name w:val="Placeholder Text"/>
    <w:basedOn w:val="DefaultParagraphFont"/>
    <w:uiPriority w:val="67"/>
    <w:rsid w:val="00E6553F"/>
    <w:rPr>
      <w:color w:val="808080"/>
    </w:rPr>
  </w:style>
  <w:style w:type="table" w:styleId="TableGrid">
    <w:name w:val="Table Grid"/>
    <w:basedOn w:val="TableNormal"/>
    <w:rsid w:val="00C65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4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9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56884-D8F3-409E-A63F-B89EC167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NRT.009 Antigen Typing - Direct and Indirect Agglutination</vt:lpstr>
    </vt:vector>
  </TitlesOfParts>
  <Company>The Ottawa Hospital</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NRT.009 Antigen Typing - Direct and Indirect Agglutination</dc:title>
  <dc:creator>Transfusion Ontario Program Office</dc:creator>
  <cp:lastModifiedBy>Nesrallah, Heather</cp:lastModifiedBy>
  <cp:revision>2</cp:revision>
  <cp:lastPrinted>2002-09-12T15:46:00Z</cp:lastPrinted>
  <dcterms:created xsi:type="dcterms:W3CDTF">2020-08-11T12:31:00Z</dcterms:created>
  <dcterms:modified xsi:type="dcterms:W3CDTF">2020-08-11T12:31:00Z</dcterms:modified>
</cp:coreProperties>
</file>