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C30" w:rsidRDefault="00662C30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  <w:bookmarkStart w:id="0" w:name="_GoBack"/>
      <w:bookmarkEnd w:id="0"/>
    </w:p>
    <w:p w:rsidR="00662C30" w:rsidRDefault="00662C30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Antibody Identification of Cold Reactive Antibodies Checklist</w:t>
      </w: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p w:rsidR="00662C30" w:rsidRDefault="00662C3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</w:p>
    <w:tbl>
      <w:tblPr>
        <w:tblW w:w="83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1041"/>
      </w:tblGrid>
      <w:tr w:rsidR="00662C30">
        <w:trPr>
          <w:cantSplit/>
          <w:jc w:val="right"/>
        </w:trPr>
        <w:tc>
          <w:tcPr>
            <w:tcW w:w="7290" w:type="dxa"/>
            <w:tcBorders>
              <w:bottom w:val="nil"/>
            </w:tcBorders>
          </w:tcPr>
          <w:p w:rsidR="00662C30" w:rsidRDefault="00662C30">
            <w:pPr>
              <w:pStyle w:val="Heading9"/>
            </w:pPr>
            <w:r>
              <w:t>Antibody Identification Checklist</w:t>
            </w:r>
          </w:p>
        </w:tc>
        <w:tc>
          <w:tcPr>
            <w:tcW w:w="1041" w:type="dxa"/>
            <w:tcBorders>
              <w:bottom w:val="nil"/>
            </w:tcBorders>
          </w:tcPr>
          <w:p w:rsidR="00662C30" w:rsidRDefault="00662C30">
            <w:pPr>
              <w:pStyle w:val="Heading4"/>
            </w:pPr>
            <w:r>
              <w:t>Check</w:t>
            </w:r>
          </w:p>
        </w:tc>
      </w:tr>
      <w:tr w:rsidR="00662C30">
        <w:trPr>
          <w:cantSplit/>
          <w:jc w:val="right"/>
        </w:trPr>
        <w:tc>
          <w:tcPr>
            <w:tcW w:w="7290" w:type="dxa"/>
            <w:tcBorders>
              <w:top w:val="single" w:sz="4" w:space="0" w:color="auto"/>
              <w:bottom w:val="dotted" w:sz="4" w:space="0" w:color="auto"/>
            </w:tcBorders>
          </w:tcPr>
          <w:p w:rsidR="00662C30" w:rsidRDefault="00662C30">
            <w:pPr>
              <w:pStyle w:val="List"/>
              <w:widowControl/>
              <w:numPr>
                <w:ilvl w:val="0"/>
                <w:numId w:val="5"/>
              </w:numPr>
              <w:rPr>
                <w:rFonts w:ascii="Arial" w:hAnsi="Arial"/>
                <w:spacing w:val="-2"/>
                <w:kern w:val="24"/>
                <w:lang w:val="en-GB"/>
              </w:rPr>
            </w:pPr>
            <w:r>
              <w:rPr>
                <w:rFonts w:ascii="Arial" w:hAnsi="Arial"/>
                <w:spacing w:val="-2"/>
                <w:kern w:val="24"/>
                <w:lang w:val="en-GB"/>
              </w:rPr>
              <w:t>The antibody exclusion is complete</w:t>
            </w:r>
          </w:p>
          <w:p w:rsidR="00662C30" w:rsidRDefault="00662C30">
            <w:pPr>
              <w:pStyle w:val="List"/>
              <w:widowControl/>
              <w:ind w:left="0" w:firstLine="0"/>
              <w:rPr>
                <w:rFonts w:ascii="Arial" w:hAnsi="Arial"/>
                <w:spacing w:val="-2"/>
                <w:kern w:val="24"/>
                <w:lang w:val="en-GB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dotted" w:sz="4" w:space="0" w:color="auto"/>
            </w:tcBorders>
          </w:tcPr>
          <w:p w:rsidR="00662C30" w:rsidRDefault="00662C30">
            <w:pPr>
              <w:tabs>
                <w:tab w:val="left" w:pos="-720"/>
                <w:tab w:val="left" w:pos="0"/>
              </w:tabs>
              <w:suppressAutoHyphens/>
              <w:jc w:val="both"/>
            </w:pPr>
          </w:p>
        </w:tc>
      </w:tr>
      <w:tr w:rsidR="00662C30">
        <w:trPr>
          <w:cantSplit/>
          <w:jc w:val="right"/>
        </w:trPr>
        <w:tc>
          <w:tcPr>
            <w:tcW w:w="7290" w:type="dxa"/>
          </w:tcPr>
          <w:p w:rsidR="00662C30" w:rsidRDefault="00662C30">
            <w:pPr>
              <w:pStyle w:val="List"/>
              <w:widowControl/>
              <w:numPr>
                <w:ilvl w:val="0"/>
                <w:numId w:val="5"/>
              </w:numPr>
              <w:rPr>
                <w:rFonts w:ascii="Arial" w:hAnsi="Arial"/>
                <w:spacing w:val="-2"/>
                <w:kern w:val="24"/>
                <w:lang w:val="en-GB"/>
              </w:rPr>
            </w:pPr>
            <w:r>
              <w:rPr>
                <w:rFonts w:ascii="Arial" w:hAnsi="Arial"/>
                <w:spacing w:val="-2"/>
                <w:kern w:val="24"/>
                <w:lang w:val="en-GB"/>
              </w:rPr>
              <w:t>Correct cells for positive and negative controls were selected (</w:t>
            </w:r>
            <w:r>
              <w:rPr>
                <w:rFonts w:ascii="Arial" w:hAnsi="Arial"/>
                <w:spacing w:val="-2"/>
                <w:lang w:val="en-GB"/>
              </w:rPr>
              <w:t>the cell selected for positive control has the weakest expression of the antigen)</w:t>
            </w:r>
          </w:p>
          <w:p w:rsidR="00662C30" w:rsidRDefault="00662C30">
            <w:pPr>
              <w:pStyle w:val="List"/>
              <w:widowControl/>
              <w:ind w:left="0" w:firstLine="0"/>
              <w:rPr>
                <w:rFonts w:ascii="Arial" w:hAnsi="Arial"/>
                <w:spacing w:val="-2"/>
                <w:kern w:val="24"/>
                <w:lang w:val="en-GB"/>
              </w:rPr>
            </w:pPr>
          </w:p>
        </w:tc>
        <w:tc>
          <w:tcPr>
            <w:tcW w:w="1041" w:type="dxa"/>
          </w:tcPr>
          <w:p w:rsidR="00662C30" w:rsidRDefault="00662C30">
            <w:pPr>
              <w:tabs>
                <w:tab w:val="left" w:pos="-720"/>
                <w:tab w:val="left" w:pos="0"/>
              </w:tabs>
              <w:suppressAutoHyphens/>
              <w:jc w:val="both"/>
            </w:pPr>
          </w:p>
        </w:tc>
      </w:tr>
      <w:tr w:rsidR="00662C30">
        <w:trPr>
          <w:cantSplit/>
          <w:jc w:val="right"/>
        </w:trPr>
        <w:tc>
          <w:tcPr>
            <w:tcW w:w="7290" w:type="dxa"/>
          </w:tcPr>
          <w:p w:rsidR="00662C30" w:rsidRDefault="00662C30">
            <w:pPr>
              <w:pStyle w:val="List"/>
              <w:widowControl/>
              <w:numPr>
                <w:ilvl w:val="0"/>
                <w:numId w:val="5"/>
              </w:numPr>
              <w:rPr>
                <w:rFonts w:ascii="Arial" w:hAnsi="Arial"/>
                <w:spacing w:val="-2"/>
                <w:kern w:val="24"/>
                <w:lang w:val="en-GB"/>
              </w:rPr>
            </w:pPr>
            <w:r>
              <w:rPr>
                <w:rFonts w:ascii="Arial" w:hAnsi="Arial"/>
                <w:spacing w:val="-2"/>
                <w:kern w:val="24"/>
                <w:lang w:val="en-GB"/>
              </w:rPr>
              <w:t>Clerical work is recorded:</w:t>
            </w:r>
          </w:p>
          <w:p w:rsidR="00662C30" w:rsidRDefault="00662C30">
            <w:pPr>
              <w:ind w:left="72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Antisera lot # and expiry date </w:t>
            </w:r>
          </w:p>
          <w:p w:rsidR="00EC49D4" w:rsidRDefault="00EC49D4">
            <w:pPr>
              <w:ind w:left="72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Identification of any additional cells required</w:t>
            </w:r>
          </w:p>
          <w:p w:rsidR="00662C30" w:rsidRDefault="00662C30">
            <w:pPr>
              <w:ind w:left="72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Initials of the technologist</w:t>
            </w:r>
          </w:p>
          <w:p w:rsidR="00662C30" w:rsidRDefault="00662C30">
            <w:pPr>
              <w:pStyle w:val="BodyTextIndent3"/>
              <w:rPr>
                <w:rFonts w:ascii="Arial" w:hAnsi="Arial"/>
              </w:rPr>
            </w:pPr>
            <w:r>
              <w:rPr>
                <w:rFonts w:ascii="Arial" w:hAnsi="Arial"/>
              </w:rPr>
              <w:t>Incubation time and temperature at which the testing was done</w:t>
            </w:r>
          </w:p>
          <w:p w:rsidR="00662C30" w:rsidRDefault="00662C30">
            <w:pPr>
              <w:ind w:left="72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Date (including the year) the testing was done</w:t>
            </w:r>
          </w:p>
          <w:p w:rsidR="00662C30" w:rsidRDefault="00662C30">
            <w:pPr>
              <w:ind w:left="720"/>
              <w:rPr>
                <w:spacing w:val="-2"/>
                <w:lang w:val="en-GB"/>
              </w:rPr>
            </w:pPr>
          </w:p>
        </w:tc>
        <w:tc>
          <w:tcPr>
            <w:tcW w:w="1041" w:type="dxa"/>
          </w:tcPr>
          <w:p w:rsidR="00662C30" w:rsidRDefault="00662C30">
            <w:pPr>
              <w:tabs>
                <w:tab w:val="left" w:pos="-720"/>
                <w:tab w:val="left" w:pos="0"/>
              </w:tabs>
              <w:suppressAutoHyphens/>
              <w:jc w:val="both"/>
            </w:pPr>
          </w:p>
        </w:tc>
      </w:tr>
      <w:tr w:rsidR="00662C30">
        <w:trPr>
          <w:cantSplit/>
          <w:jc w:val="right"/>
        </w:trPr>
        <w:tc>
          <w:tcPr>
            <w:tcW w:w="7290" w:type="dxa"/>
            <w:tcBorders>
              <w:bottom w:val="nil"/>
            </w:tcBorders>
          </w:tcPr>
          <w:p w:rsidR="00662C30" w:rsidRDefault="00662C30">
            <w:pPr>
              <w:pStyle w:val="List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was phenotyped for the corresponding antigen if not transfused for the past three months</w:t>
            </w:r>
            <w:r w:rsidR="00EC49D4">
              <w:rPr>
                <w:rFonts w:ascii="Arial" w:hAnsi="Arial"/>
              </w:rPr>
              <w:t xml:space="preserve"> and antibody is considered clinically significant</w:t>
            </w:r>
            <w:r>
              <w:rPr>
                <w:rFonts w:ascii="Arial" w:hAnsi="Arial"/>
              </w:rPr>
              <w:t>.</w:t>
            </w:r>
          </w:p>
          <w:p w:rsidR="00662C30" w:rsidRDefault="00662C30">
            <w:pPr>
              <w:pStyle w:val="List"/>
              <w:ind w:left="0" w:firstLine="0"/>
              <w:rPr>
                <w:rFonts w:ascii="Arial" w:hAnsi="Arial"/>
              </w:rPr>
            </w:pPr>
          </w:p>
        </w:tc>
        <w:tc>
          <w:tcPr>
            <w:tcW w:w="1041" w:type="dxa"/>
            <w:tcBorders>
              <w:bottom w:val="nil"/>
            </w:tcBorders>
          </w:tcPr>
          <w:p w:rsidR="00662C30" w:rsidRDefault="00662C30">
            <w:pPr>
              <w:tabs>
                <w:tab w:val="left" w:pos="-720"/>
                <w:tab w:val="left" w:pos="0"/>
              </w:tabs>
              <w:suppressAutoHyphens/>
              <w:jc w:val="both"/>
            </w:pPr>
          </w:p>
        </w:tc>
      </w:tr>
      <w:tr w:rsidR="00662C30">
        <w:trPr>
          <w:cantSplit/>
          <w:jc w:val="right"/>
        </w:trPr>
        <w:tc>
          <w:tcPr>
            <w:tcW w:w="7290" w:type="dxa"/>
            <w:tcBorders>
              <w:bottom w:val="single" w:sz="4" w:space="0" w:color="auto"/>
            </w:tcBorders>
          </w:tcPr>
          <w:p w:rsidR="00662C30" w:rsidRDefault="00662C30">
            <w:pPr>
              <w:pStyle w:val="List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Only compatible units have been made available for issue</w:t>
            </w:r>
          </w:p>
          <w:p w:rsidR="00662C30" w:rsidRDefault="00662C30">
            <w:pPr>
              <w:pStyle w:val="List"/>
              <w:ind w:left="0" w:firstLine="0"/>
              <w:rPr>
                <w:rFonts w:ascii="Arial" w:hAnsi="Arial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62C30" w:rsidRDefault="00662C30">
            <w:pPr>
              <w:tabs>
                <w:tab w:val="left" w:pos="-720"/>
                <w:tab w:val="left" w:pos="0"/>
              </w:tabs>
              <w:suppressAutoHyphens/>
              <w:jc w:val="both"/>
            </w:pPr>
          </w:p>
        </w:tc>
      </w:tr>
    </w:tbl>
    <w:p w:rsidR="00662C30" w:rsidRDefault="00662C30">
      <w:pPr>
        <w:pStyle w:val="Header"/>
        <w:tabs>
          <w:tab w:val="clear" w:pos="4320"/>
          <w:tab w:val="clear" w:pos="8640"/>
        </w:tabs>
      </w:pPr>
    </w:p>
    <w:sectPr w:rsidR="00662C30">
      <w:headerReference w:type="default" r:id="rId7"/>
      <w:footerReference w:type="default" r:id="rId8"/>
      <w:pgSz w:w="12240" w:h="15840"/>
      <w:pgMar w:top="997" w:right="1797" w:bottom="1440" w:left="1797" w:header="72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A0F" w:rsidRDefault="006C0A0F">
      <w:r>
        <w:separator/>
      </w:r>
    </w:p>
  </w:endnote>
  <w:endnote w:type="continuationSeparator" w:id="0">
    <w:p w:rsidR="006C0A0F" w:rsidRDefault="006C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850"/>
      <w:gridCol w:w="1620"/>
    </w:tblGrid>
    <w:tr w:rsidR="00662C30">
      <w:trPr>
        <w:trHeight w:val="720"/>
      </w:trPr>
      <w:tc>
        <w:tcPr>
          <w:tcW w:w="1368" w:type="dxa"/>
          <w:tcBorders>
            <w:top w:val="nil"/>
          </w:tcBorders>
        </w:tcPr>
        <w:p w:rsidR="00662C30" w:rsidRDefault="00662C30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662C30" w:rsidRDefault="008F7D6F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tcBorders>
            <w:top w:val="nil"/>
          </w:tcBorders>
        </w:tcPr>
        <w:p w:rsidR="00662C30" w:rsidRDefault="00662C30">
          <w:pPr>
            <w:pStyle w:val="Footer"/>
            <w:jc w:val="center"/>
            <w:rPr>
              <w:sz w:val="18"/>
            </w:rPr>
          </w:pPr>
        </w:p>
        <w:p w:rsidR="00662C30" w:rsidRDefault="00662C30" w:rsidP="00662C30">
          <w:pPr>
            <w:pStyle w:val="Footer"/>
            <w:jc w:val="center"/>
            <w:rPr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sz w:val="18"/>
                </w:rPr>
                <w:t>Ontario</w:t>
              </w:r>
            </w:smartTag>
          </w:smartTag>
          <w:r>
            <w:rPr>
              <w:sz w:val="18"/>
            </w:rPr>
            <w:t xml:space="preserve"> Regional Blood Coordinating Network </w:t>
          </w:r>
        </w:p>
        <w:p w:rsidR="00662C30" w:rsidRDefault="00EC49D4">
          <w:pPr>
            <w:pStyle w:val="Footer"/>
            <w:jc w:val="center"/>
            <w:rPr>
              <w:sz w:val="18"/>
            </w:rPr>
          </w:pPr>
          <w:r>
            <w:rPr>
              <w:sz w:val="18"/>
            </w:rPr>
            <w:t xml:space="preserve">Transfusion Technical Resource </w:t>
          </w:r>
          <w:r w:rsidR="00662C30">
            <w:rPr>
              <w:sz w:val="18"/>
            </w:rPr>
            <w:t>Manual</w:t>
          </w:r>
        </w:p>
        <w:p w:rsidR="00662C30" w:rsidRDefault="00662C30">
          <w:pPr>
            <w:pStyle w:val="Footer"/>
            <w:jc w:val="center"/>
            <w:rPr>
              <w:sz w:val="18"/>
            </w:rPr>
          </w:pPr>
        </w:p>
      </w:tc>
      <w:tc>
        <w:tcPr>
          <w:tcW w:w="1620" w:type="dxa"/>
          <w:tcBorders>
            <w:top w:val="nil"/>
          </w:tcBorders>
        </w:tcPr>
        <w:p w:rsidR="00662C30" w:rsidRDefault="00662C30">
          <w:pPr>
            <w:pStyle w:val="Footer"/>
            <w:jc w:val="right"/>
            <w:rPr>
              <w:sz w:val="18"/>
            </w:rPr>
          </w:pPr>
        </w:p>
        <w:p w:rsidR="00662C30" w:rsidRDefault="00662C30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t xml:space="preserve">NRT.006F </w:t>
          </w:r>
          <w:r>
            <w:rPr>
              <w:sz w:val="18"/>
            </w:rPr>
            <w:br/>
          </w:r>
        </w:p>
        <w:p w:rsidR="00662C30" w:rsidRDefault="00662C30">
          <w:pPr>
            <w:pStyle w:val="Footer"/>
            <w:jc w:val="right"/>
            <w:rPr>
              <w:sz w:val="18"/>
            </w:rPr>
          </w:pPr>
          <w:r>
            <w:rPr>
              <w:snapToGrid w:val="0"/>
              <w:sz w:val="18"/>
            </w:rPr>
            <w:t xml:space="preserve">Page </w:t>
          </w:r>
          <w:r>
            <w:rPr>
              <w:snapToGrid w:val="0"/>
              <w:sz w:val="18"/>
            </w:rPr>
            <w:fldChar w:fldCharType="begin"/>
          </w:r>
          <w:r>
            <w:rPr>
              <w:snapToGrid w:val="0"/>
              <w:sz w:val="18"/>
            </w:rPr>
            <w:instrText xml:space="preserve"> PAGE </w:instrText>
          </w:r>
          <w:r>
            <w:rPr>
              <w:snapToGrid w:val="0"/>
              <w:sz w:val="18"/>
            </w:rPr>
            <w:fldChar w:fldCharType="separate"/>
          </w:r>
          <w:r w:rsidR="00397567">
            <w:rPr>
              <w:noProof/>
              <w:snapToGrid w:val="0"/>
              <w:sz w:val="18"/>
            </w:rPr>
            <w:t>1</w:t>
          </w:r>
          <w:r>
            <w:rPr>
              <w:snapToGrid w:val="0"/>
              <w:sz w:val="18"/>
            </w:rPr>
            <w:fldChar w:fldCharType="end"/>
          </w:r>
          <w:r>
            <w:rPr>
              <w:snapToGrid w:val="0"/>
              <w:sz w:val="18"/>
            </w:rPr>
            <w:t xml:space="preserve"> of </w:t>
          </w:r>
          <w:r>
            <w:rPr>
              <w:snapToGrid w:val="0"/>
              <w:sz w:val="18"/>
            </w:rPr>
            <w:fldChar w:fldCharType="begin"/>
          </w:r>
          <w:r>
            <w:rPr>
              <w:snapToGrid w:val="0"/>
              <w:sz w:val="18"/>
            </w:rPr>
            <w:instrText xml:space="preserve"> NUMPAGES </w:instrText>
          </w:r>
          <w:r>
            <w:rPr>
              <w:snapToGrid w:val="0"/>
              <w:sz w:val="18"/>
            </w:rPr>
            <w:fldChar w:fldCharType="separate"/>
          </w:r>
          <w:r w:rsidR="00397567">
            <w:rPr>
              <w:noProof/>
              <w:snapToGrid w:val="0"/>
              <w:sz w:val="18"/>
            </w:rPr>
            <w:t>1</w:t>
          </w:r>
          <w:r>
            <w:rPr>
              <w:snapToGrid w:val="0"/>
              <w:sz w:val="18"/>
            </w:rPr>
            <w:fldChar w:fldCharType="end"/>
          </w:r>
        </w:p>
      </w:tc>
    </w:tr>
  </w:tbl>
  <w:p w:rsidR="00662C30" w:rsidRDefault="0066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A0F" w:rsidRDefault="006C0A0F">
      <w:r>
        <w:separator/>
      </w:r>
    </w:p>
  </w:footnote>
  <w:footnote w:type="continuationSeparator" w:id="0">
    <w:p w:rsidR="006C0A0F" w:rsidRDefault="006C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C30" w:rsidRDefault="00662C30">
    <w:pPr>
      <w:pStyle w:val="Header"/>
      <w:jc w:val="center"/>
      <w:rPr>
        <w:b/>
        <w:sz w:val="28"/>
      </w:rPr>
    </w:pPr>
    <w:r>
      <w:rPr>
        <w:b/>
        <w:sz w:val="28"/>
      </w:rPr>
      <w:t>Antibody Identification of Cold Reactive Antibodies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3A1D"/>
    <w:multiLevelType w:val="multilevel"/>
    <w:tmpl w:val="5FB2A2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6"/>
      <w:numFmt w:val="decimal"/>
      <w:pStyle w:val="Heading3"/>
      <w:lvlText w:val="%3.%1.%2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467C4D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9758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9936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F55C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0"/>
    <w:rsid w:val="00175F05"/>
    <w:rsid w:val="00284FD7"/>
    <w:rsid w:val="00313533"/>
    <w:rsid w:val="00397567"/>
    <w:rsid w:val="00436A10"/>
    <w:rsid w:val="00526C64"/>
    <w:rsid w:val="005F51C4"/>
    <w:rsid w:val="00662C30"/>
    <w:rsid w:val="006C0A0F"/>
    <w:rsid w:val="008F7D6F"/>
    <w:rsid w:val="00B64F57"/>
    <w:rsid w:val="00D86EB7"/>
    <w:rsid w:val="00E60789"/>
    <w:rsid w:val="00EC49D4"/>
    <w:rsid w:val="00FC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EEC54-0C46-4556-9FC0-67249EA0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hSpace="187" w:wrap="around" w:vAnchor="page" w:hAnchor="margin" w:xAlign="center" w:yAlign="center"/>
      <w:tabs>
        <w:tab w:val="left" w:pos="-720"/>
        <w:tab w:val="left" w:pos="0"/>
        <w:tab w:val="left" w:pos="432"/>
      </w:tabs>
      <w:suppressAutoHyphens/>
      <w:ind w:right="-360"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framePr w:hSpace="187" w:wrap="around" w:vAnchor="page" w:hAnchor="margin" w:xAlign="center" w:yAlign="center"/>
      <w:tabs>
        <w:tab w:val="left" w:pos="-720"/>
        <w:tab w:val="left" w:pos="0"/>
        <w:tab w:val="left" w:pos="432"/>
      </w:tabs>
      <w:suppressAutoHyphens/>
      <w:ind w:right="-50"/>
      <w:jc w:val="center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framePr w:hSpace="144" w:vSpace="187" w:wrap="around" w:vAnchor="text" w:hAnchor="text" w:y="1"/>
      <w:numPr>
        <w:ilvl w:val="2"/>
        <w:numId w:val="1"/>
      </w:numPr>
      <w:spacing w:after="240"/>
      <w:outlineLvl w:val="2"/>
    </w:pPr>
    <w:rPr>
      <w:rFonts w:ascii="Verdana" w:hAnsi="Verdana"/>
      <w:kern w:val="24"/>
      <w:lang w:val="en-CA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3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kern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widowControl w:val="0"/>
      <w:ind w:left="360" w:hanging="360"/>
    </w:pPr>
    <w:rPr>
      <w:rFonts w:ascii="CG Times" w:hAnsi="CG Times"/>
    </w:rPr>
  </w:style>
  <w:style w:type="paragraph" w:styleId="BodyTextIndent3">
    <w:name w:val="Body Text Indent 3"/>
    <w:basedOn w:val="Normal"/>
    <w:pPr>
      <w:ind w:left="981" w:hanging="283"/>
    </w:pPr>
    <w:rPr>
      <w:rFonts w:ascii="Georgia" w:hAnsi="Georgia"/>
      <w:spacing w:val="-2"/>
      <w:kern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NRT.006F1 Antibody Identification of Cold Reactive Antibodies</vt:lpstr>
    </vt:vector>
  </TitlesOfParts>
  <Company>St. Paul's Hospital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NRT.006F1 Antibody Identification of Cold Reactive Antibodies</dc:title>
  <dc:subject/>
  <dc:creator>Provincial Blood Office</dc:creator>
  <cp:keywords/>
  <cp:lastModifiedBy>Nesrallah, Heather</cp:lastModifiedBy>
  <cp:revision>2</cp:revision>
  <cp:lastPrinted>2003-05-29T12:29:00Z</cp:lastPrinted>
  <dcterms:created xsi:type="dcterms:W3CDTF">2020-08-11T12:26:00Z</dcterms:created>
  <dcterms:modified xsi:type="dcterms:W3CDTF">2020-08-11T12:26:00Z</dcterms:modified>
</cp:coreProperties>
</file>