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identify cold reactive </w:t>
      </w:r>
      <w:r w:rsidR="00665A1F">
        <w:rPr>
          <w:rFonts w:ascii="Arial" w:hAnsi="Arial"/>
          <w:sz w:val="24"/>
        </w:rPr>
        <w:t>allo-</w:t>
      </w:r>
      <w:r>
        <w:rPr>
          <w:rFonts w:ascii="Arial" w:hAnsi="Arial"/>
          <w:sz w:val="24"/>
        </w:rPr>
        <w:t>antibodies</w:t>
      </w:r>
      <w:r w:rsidR="00665A1F">
        <w:rPr>
          <w:rFonts w:ascii="Arial" w:hAnsi="Arial"/>
          <w:sz w:val="24"/>
        </w:rPr>
        <w:t xml:space="preserve"> such as anti-M, anti-Le</w:t>
      </w:r>
      <w:r w:rsidR="00665A1F">
        <w:rPr>
          <w:rFonts w:ascii="Arial" w:hAnsi="Arial"/>
          <w:sz w:val="24"/>
          <w:vertAlign w:val="superscript"/>
        </w:rPr>
        <w:t xml:space="preserve">a </w:t>
      </w:r>
      <w:r w:rsidR="00665A1F">
        <w:rPr>
          <w:rFonts w:ascii="Arial" w:hAnsi="Arial"/>
          <w:sz w:val="24"/>
        </w:rPr>
        <w:t>or anti-P</w:t>
      </w:r>
      <w:r w:rsidR="00665A1F">
        <w:rPr>
          <w:rFonts w:ascii="Arial" w:hAnsi="Arial"/>
          <w:sz w:val="24"/>
          <w:vertAlign w:val="subscript"/>
        </w:rPr>
        <w:t>1</w:t>
      </w:r>
      <w:r w:rsidR="00665A1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.</w:t>
      </w:r>
    </w:p>
    <w:p w:rsidR="007D3413" w:rsidRDefault="00665A1F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Plasma is</w:t>
      </w:r>
      <w:r w:rsidR="007D3413">
        <w:rPr>
          <w:rFonts w:ascii="Arial" w:hAnsi="Arial"/>
          <w:sz w:val="24"/>
        </w:rPr>
        <w:t xml:space="preserve"> tested against a panel of </w:t>
      </w:r>
      <w:r>
        <w:rPr>
          <w:rFonts w:ascii="Arial" w:hAnsi="Arial"/>
          <w:sz w:val="24"/>
        </w:rPr>
        <w:t>eight</w:t>
      </w:r>
      <w:r w:rsidR="007D3413">
        <w:rPr>
          <w:rFonts w:ascii="Arial" w:hAnsi="Arial"/>
          <w:sz w:val="24"/>
        </w:rPr>
        <w:t xml:space="preserve"> or more group O cells of known antigenic composition, in the phase by which the an</w:t>
      </w:r>
      <w:r w:rsidR="00260B87">
        <w:rPr>
          <w:rFonts w:ascii="Arial" w:hAnsi="Arial"/>
          <w:sz w:val="24"/>
        </w:rPr>
        <w:t xml:space="preserve">tibody was initially detected. </w:t>
      </w:r>
      <w:r w:rsidR="007D3413">
        <w:rPr>
          <w:rFonts w:ascii="Arial" w:hAnsi="Arial"/>
          <w:sz w:val="24"/>
        </w:rPr>
        <w:t>Positive reactions are compared to the reaction pattern of the antigens present on the panel</w:t>
      </w:r>
      <w:r w:rsidR="00260B87">
        <w:rPr>
          <w:rFonts w:ascii="Arial" w:hAnsi="Arial"/>
          <w:sz w:val="24"/>
        </w:rPr>
        <w:t xml:space="preserve"> of cells. </w:t>
      </w:r>
      <w:r w:rsidR="007D3413">
        <w:rPr>
          <w:rFonts w:ascii="Arial" w:hAnsi="Arial"/>
          <w:sz w:val="24"/>
        </w:rPr>
        <w:t>These reactions are evaluated to identify the antibody(ies) present.</w:t>
      </w:r>
    </w:p>
    <w:p w:rsidR="00260B87" w:rsidRDefault="00260B87">
      <w:pPr>
        <w:ind w:left="720"/>
        <w:rPr>
          <w:rFonts w:ascii="Arial" w:hAnsi="Arial"/>
          <w:sz w:val="24"/>
        </w:rPr>
      </w:pPr>
    </w:p>
    <w:p w:rsidR="00795204" w:rsidRPr="00665A1F" w:rsidRDefault="00665A1F">
      <w:pPr>
        <w:ind w:left="720"/>
        <w:rPr>
          <w:rFonts w:ascii="Arial" w:hAnsi="Arial"/>
          <w:sz w:val="24"/>
          <w:vertAlign w:val="superscript"/>
        </w:rPr>
      </w:pPr>
      <w:r>
        <w:rPr>
          <w:rFonts w:ascii="Arial" w:hAnsi="Arial"/>
          <w:sz w:val="24"/>
        </w:rPr>
        <w:t xml:space="preserve">This procedure is also used in the identification of cold reactive auto-antibodies. </w:t>
      </w:r>
      <w:r w:rsidR="00753B4F">
        <w:rPr>
          <w:rFonts w:ascii="Arial" w:hAnsi="Arial"/>
          <w:sz w:val="24"/>
        </w:rPr>
        <w:t xml:space="preserve">Many cold reactive autoantibodies </w:t>
      </w:r>
      <w:r w:rsidR="00D7170E">
        <w:rPr>
          <w:rFonts w:ascii="Arial" w:hAnsi="Arial"/>
          <w:sz w:val="24"/>
        </w:rPr>
        <w:t>possess</w:t>
      </w:r>
      <w:r w:rsidR="00FB7EDA">
        <w:rPr>
          <w:rFonts w:ascii="Arial" w:hAnsi="Arial"/>
          <w:sz w:val="24"/>
        </w:rPr>
        <w:t xml:space="preserve"> anti-I or anti-IH </w:t>
      </w:r>
      <w:r w:rsidR="00753B4F">
        <w:rPr>
          <w:rFonts w:ascii="Arial" w:hAnsi="Arial"/>
          <w:sz w:val="24"/>
        </w:rPr>
        <w:t>specificity.</w:t>
      </w:r>
      <w:r w:rsidR="00753B4F">
        <w:rPr>
          <w:rFonts w:ascii="Arial" w:hAnsi="Arial"/>
          <w:sz w:val="24"/>
          <w:vertAlign w:val="superscript"/>
        </w:rPr>
        <w:t>9.2</w:t>
      </w:r>
      <w:r>
        <w:rPr>
          <w:rFonts w:ascii="Arial" w:hAnsi="Arial"/>
          <w:sz w:val="24"/>
          <w:vertAlign w:val="superscript"/>
        </w:rPr>
        <w:t xml:space="preserve">  </w:t>
      </w:r>
      <w:r w:rsidR="00D97690">
        <w:rPr>
          <w:rFonts w:ascii="Arial" w:hAnsi="Arial"/>
          <w:sz w:val="24"/>
        </w:rPr>
        <w:t>I</w:t>
      </w:r>
      <w:r w:rsidR="00795204">
        <w:rPr>
          <w:rFonts w:ascii="Arial" w:hAnsi="Arial"/>
          <w:sz w:val="24"/>
        </w:rPr>
        <w:t>nclude group O adult and cord cells as well as group A</w:t>
      </w:r>
      <w:r w:rsidR="00795204" w:rsidRPr="00795204">
        <w:rPr>
          <w:rFonts w:ascii="Arial" w:hAnsi="Arial"/>
          <w:sz w:val="24"/>
          <w:szCs w:val="24"/>
          <w:vertAlign w:val="subscript"/>
        </w:rPr>
        <w:t>1</w:t>
      </w:r>
      <w:r w:rsidR="00795204">
        <w:rPr>
          <w:rFonts w:ascii="Arial" w:hAnsi="Arial"/>
          <w:sz w:val="24"/>
        </w:rPr>
        <w:t xml:space="preserve"> and A</w:t>
      </w:r>
      <w:r w:rsidR="00795204" w:rsidRPr="00795204">
        <w:rPr>
          <w:rFonts w:ascii="Arial" w:hAnsi="Arial"/>
          <w:sz w:val="24"/>
          <w:szCs w:val="24"/>
          <w:vertAlign w:val="subscript"/>
        </w:rPr>
        <w:t>2</w:t>
      </w:r>
      <w:r w:rsidR="00795204">
        <w:rPr>
          <w:rFonts w:ascii="Arial" w:hAnsi="Arial"/>
          <w:sz w:val="24"/>
        </w:rPr>
        <w:t xml:space="preserve"> cells (if the patient is group A)</w:t>
      </w:r>
      <w:r>
        <w:rPr>
          <w:rFonts w:ascii="Arial" w:hAnsi="Arial"/>
          <w:sz w:val="24"/>
        </w:rPr>
        <w:t xml:space="preserve"> and B cells (if the patient is group B)</w:t>
      </w:r>
      <w:r w:rsidR="00795204">
        <w:rPr>
          <w:rFonts w:ascii="Arial" w:hAnsi="Arial"/>
          <w:sz w:val="24"/>
        </w:rPr>
        <w:t xml:space="preserve"> when identifying cold reactive antibodies.</w:t>
      </w:r>
      <w:r>
        <w:rPr>
          <w:rFonts w:ascii="Arial" w:hAnsi="Arial"/>
          <w:sz w:val="24"/>
          <w:vertAlign w:val="superscript"/>
        </w:rPr>
        <w:t>9.2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Scope and Related Policies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A cold panel is usually done when a cold reactive antibody is suspected.  Examples: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During an investigation of an ABO discrepancy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1F7D6C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positive result(s)</w:t>
      </w:r>
      <w:r w:rsidR="007D3413">
        <w:rPr>
          <w:rFonts w:ascii="Arial" w:hAnsi="Arial"/>
          <w:sz w:val="24"/>
        </w:rPr>
        <w:t xml:space="preserve"> obtained in an i</w:t>
      </w:r>
      <w:r>
        <w:rPr>
          <w:rFonts w:ascii="Arial" w:hAnsi="Arial"/>
          <w:sz w:val="24"/>
        </w:rPr>
        <w:t>mmediate spin crossmatch and</w:t>
      </w:r>
      <w:r w:rsidR="007D3413">
        <w:rPr>
          <w:rFonts w:ascii="Arial" w:hAnsi="Arial"/>
          <w:sz w:val="24"/>
        </w:rPr>
        <w:t xml:space="preserve"> antibody screen was negative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When the results of the panel for warm antibodies are inconclusive (especially when the 37</w:t>
      </w:r>
      <w:r w:rsidR="00795204">
        <w:rPr>
          <w:rFonts w:ascii="Arial" w:hAnsi="Arial" w:cs="Arial"/>
          <w:sz w:val="24"/>
        </w:rPr>
        <w:t>°</w:t>
      </w:r>
      <w:r>
        <w:rPr>
          <w:rFonts w:ascii="Arial" w:hAnsi="Arial"/>
          <w:sz w:val="24"/>
        </w:rPr>
        <w:t>C results are significantly</w:t>
      </w:r>
      <w:r w:rsidR="00795204">
        <w:rPr>
          <w:rFonts w:ascii="Arial" w:hAnsi="Arial"/>
          <w:sz w:val="24"/>
        </w:rPr>
        <w:t xml:space="preserve"> stronger than the IAT results)</w:t>
      </w:r>
    </w:p>
    <w:p w:rsidR="007D3413" w:rsidRDefault="007D3413" w:rsidP="00260B87">
      <w:pPr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Specimens</w:t>
      </w:r>
    </w:p>
    <w:p w:rsidR="007D3413" w:rsidRDefault="007D341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EDTA anticoagulated whole blood</w:t>
      </w:r>
    </w:p>
    <w:p w:rsidR="00260B87" w:rsidRDefault="00260B87">
      <w:pPr>
        <w:ind w:left="720"/>
        <w:rPr>
          <w:rFonts w:ascii="Arial" w:hAnsi="Arial"/>
          <w:sz w:val="24"/>
        </w:rPr>
      </w:pPr>
    </w:p>
    <w:p w:rsidR="007D3413" w:rsidRDefault="007D3413">
      <w:pPr>
        <w:ind w:left="720"/>
        <w:rPr>
          <w:rFonts w:ascii="Arial" w:hAnsi="Arial"/>
        </w:rPr>
      </w:pPr>
    </w:p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Materials</w:t>
      </w:r>
    </w:p>
    <w:p w:rsidR="007D3413" w:rsidRDefault="007D341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Serological centrifuge</w:t>
      </w: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Block for test tubes</w:t>
      </w: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Refrigerator</w:t>
      </w: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Microscope</w:t>
      </w:r>
    </w:p>
    <w:p w:rsidR="00795204" w:rsidRDefault="00795204">
      <w:pPr>
        <w:ind w:left="720"/>
        <w:rPr>
          <w:rFonts w:ascii="Arial" w:hAnsi="Arial"/>
          <w:sz w:val="24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Test tubes – 10 x 75</w:t>
      </w:r>
      <w:r w:rsidR="0079520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mm</w:t>
      </w: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Serologic pipettes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Panel of cells with corresponding antigram sheet</w:t>
      </w:r>
    </w:p>
    <w:p w:rsidR="007D3413" w:rsidRDefault="007D3413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95204">
        <w:rPr>
          <w:rFonts w:ascii="Arial" w:hAnsi="Arial"/>
          <w:sz w:val="24"/>
        </w:rPr>
        <w:t>Normal s</w:t>
      </w:r>
      <w:r>
        <w:rPr>
          <w:rFonts w:ascii="Arial" w:hAnsi="Arial"/>
          <w:sz w:val="24"/>
        </w:rPr>
        <w:t>aline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Quality Control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 w:rsidP="00AD1BF9">
      <w:pPr>
        <w:numPr>
          <w:ilvl w:val="1"/>
          <w:numId w:val="1"/>
        </w:numPr>
        <w:tabs>
          <w:tab w:val="clear" w:pos="1146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An autocontrol should be tested in conjunction with the panel to help differentiate whether antibody(ies) detected are alloantibodies or autoantibodies.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7D3413" w:rsidP="00AD1BF9">
      <w:pPr>
        <w:numPr>
          <w:ilvl w:val="1"/>
          <w:numId w:val="1"/>
        </w:numPr>
        <w:tabs>
          <w:tab w:val="clear" w:pos="1146"/>
          <w:tab w:val="num" w:pos="1440"/>
        </w:tabs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See QCA.001 – Quality Control of Reagent Red Cells and Antisera.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Default="007D341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Procedure</w:t>
      </w:r>
    </w:p>
    <w:p w:rsidR="007D3413" w:rsidRDefault="007D3413">
      <w:pPr>
        <w:rPr>
          <w:rFonts w:ascii="Arial" w:hAnsi="Arial"/>
          <w:sz w:val="24"/>
        </w:rPr>
      </w:pPr>
    </w:p>
    <w:tbl>
      <w:tblPr>
        <w:tblStyle w:val="TableGrid"/>
        <w:tblW w:w="109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7909"/>
        <w:gridCol w:w="63"/>
      </w:tblGrid>
      <w:tr w:rsidR="00687791" w:rsidTr="00EB211F">
        <w:trPr>
          <w:gridAfter w:val="1"/>
          <w:wAfter w:w="63" w:type="dxa"/>
        </w:trPr>
        <w:tc>
          <w:tcPr>
            <w:tcW w:w="2978" w:type="dxa"/>
          </w:tcPr>
          <w:p w:rsidR="00687791" w:rsidRPr="00EB211F" w:rsidRDefault="00687791" w:rsidP="00EB211F">
            <w:pPr>
              <w:pStyle w:val="ListParagraph"/>
              <w:numPr>
                <w:ilvl w:val="1"/>
                <w:numId w:val="1"/>
              </w:numPr>
              <w:tabs>
                <w:tab w:val="clear" w:pos="1146"/>
                <w:tab w:val="num" w:pos="743"/>
              </w:tabs>
              <w:ind w:left="743" w:hanging="743"/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 xml:space="preserve">Check the </w:t>
            </w:r>
            <w:r w:rsidR="00FB7EDA">
              <w:rPr>
                <w:rFonts w:ascii="Arial" w:hAnsi="Arial"/>
                <w:sz w:val="24"/>
              </w:rPr>
              <w:t>suitability of the specimen(s)</w:t>
            </w:r>
            <w:r w:rsidRPr="00EB211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7909" w:type="dxa"/>
          </w:tcPr>
          <w:p w:rsidR="00687791" w:rsidRDefault="00687791" w:rsidP="00032C09">
            <w:pPr>
              <w:numPr>
                <w:ilvl w:val="1"/>
                <w:numId w:val="8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See PA.002 – Determining Specimen Suitability</w:t>
            </w:r>
            <w:r w:rsidR="00AD1BF9">
              <w:rPr>
                <w:rFonts w:ascii="Arial" w:hAnsi="Arial"/>
                <w:sz w:val="24"/>
              </w:rPr>
              <w:t>.</w:t>
            </w:r>
          </w:p>
          <w:p w:rsidR="00687791" w:rsidRDefault="00687791" w:rsidP="00EB211F">
            <w:pPr>
              <w:rPr>
                <w:rFonts w:ascii="Arial" w:hAnsi="Arial"/>
                <w:sz w:val="24"/>
              </w:rPr>
            </w:pPr>
          </w:p>
        </w:tc>
      </w:tr>
      <w:tr w:rsidR="001F7D6C" w:rsidTr="00EB211F">
        <w:trPr>
          <w:gridAfter w:val="1"/>
          <w:wAfter w:w="63" w:type="dxa"/>
          <w:trHeight w:val="370"/>
        </w:trPr>
        <w:tc>
          <w:tcPr>
            <w:tcW w:w="2978" w:type="dxa"/>
            <w:vMerge w:val="restart"/>
          </w:tcPr>
          <w:p w:rsidR="001F7D6C" w:rsidRPr="00F15CD6" w:rsidRDefault="001F7D6C" w:rsidP="00032C09">
            <w:pPr>
              <w:numPr>
                <w:ilvl w:val="1"/>
                <w:numId w:val="9"/>
              </w:numPr>
              <w:rPr>
                <w:rFonts w:ascii="Arial" w:hAnsi="Arial"/>
                <w:sz w:val="24"/>
              </w:rPr>
            </w:pPr>
            <w:r w:rsidRPr="00F15CD6">
              <w:rPr>
                <w:rFonts w:ascii="Arial" w:hAnsi="Arial"/>
                <w:sz w:val="24"/>
              </w:rPr>
              <w:t>Record the following informati</w:t>
            </w:r>
            <w:r w:rsidR="00FB7EDA">
              <w:rPr>
                <w:rFonts w:ascii="Arial" w:hAnsi="Arial"/>
                <w:sz w:val="24"/>
              </w:rPr>
              <w:t>on on the antigram sheet</w:t>
            </w:r>
          </w:p>
          <w:p w:rsidR="001F7D6C" w:rsidRDefault="001F7D6C" w:rsidP="00260B87">
            <w:p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032C09">
            <w:pPr>
              <w:numPr>
                <w:ilvl w:val="2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Transcribe the following information from the </w:t>
            </w:r>
            <w:r w:rsidRPr="00795204">
              <w:rPr>
                <w:rFonts w:ascii="Arial" w:hAnsi="Arial"/>
                <w:sz w:val="24"/>
              </w:rPr>
              <w:t>specimen label:</w:t>
            </w:r>
          </w:p>
          <w:p w:rsidR="001F7D6C" w:rsidRDefault="001F7D6C" w:rsidP="00032C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Patient family and given names</w:t>
            </w:r>
          </w:p>
          <w:p w:rsidR="001F7D6C" w:rsidRDefault="001F7D6C" w:rsidP="00032C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Patient Identification number</w:t>
            </w:r>
          </w:p>
          <w:p w:rsidR="001F7D6C" w:rsidRDefault="001F7D6C" w:rsidP="00032C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of collection (time, optional)</w:t>
            </w:r>
          </w:p>
          <w:p w:rsidR="001F7D6C" w:rsidRPr="00260B87" w:rsidRDefault="001F7D6C" w:rsidP="00032C0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Or, affix a computer label</w:t>
            </w:r>
          </w:p>
        </w:tc>
      </w:tr>
      <w:tr w:rsidR="001F7D6C" w:rsidTr="00EB211F">
        <w:trPr>
          <w:gridAfter w:val="1"/>
          <w:wAfter w:w="63" w:type="dxa"/>
          <w:trHeight w:val="370"/>
        </w:trPr>
        <w:tc>
          <w:tcPr>
            <w:tcW w:w="2978" w:type="dxa"/>
            <w:vMerge/>
          </w:tcPr>
          <w:p w:rsidR="001F7D6C" w:rsidRDefault="001F7D6C" w:rsidP="00032C09">
            <w:pPr>
              <w:numPr>
                <w:ilvl w:val="1"/>
                <w:numId w:val="9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032C09">
            <w:pPr>
              <w:numPr>
                <w:ilvl w:val="2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Date the test is performed.</w:t>
            </w:r>
          </w:p>
        </w:tc>
      </w:tr>
      <w:tr w:rsidR="001F7D6C" w:rsidTr="00EB211F">
        <w:trPr>
          <w:gridAfter w:val="1"/>
          <w:wAfter w:w="63" w:type="dxa"/>
          <w:trHeight w:val="735"/>
        </w:trPr>
        <w:tc>
          <w:tcPr>
            <w:tcW w:w="2978" w:type="dxa"/>
            <w:vMerge/>
          </w:tcPr>
          <w:p w:rsidR="001F7D6C" w:rsidRDefault="001F7D6C" w:rsidP="00032C09">
            <w:pPr>
              <w:numPr>
                <w:ilvl w:val="1"/>
                <w:numId w:val="9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032C09">
            <w:pPr>
              <w:numPr>
                <w:ilvl w:val="2"/>
                <w:numId w:val="9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method used for testing. This information is usually written above the column where the test results will be recorded.</w:t>
            </w:r>
          </w:p>
        </w:tc>
      </w:tr>
      <w:tr w:rsidR="00087C79" w:rsidTr="00EB211F">
        <w:trPr>
          <w:gridAfter w:val="1"/>
          <w:wAfter w:w="63" w:type="dxa"/>
          <w:trHeight w:val="735"/>
        </w:trPr>
        <w:tc>
          <w:tcPr>
            <w:tcW w:w="2978" w:type="dxa"/>
            <w:vMerge/>
          </w:tcPr>
          <w:p w:rsidR="00087C79" w:rsidRDefault="00087C79" w:rsidP="00032C09">
            <w:pPr>
              <w:numPr>
                <w:ilvl w:val="1"/>
                <w:numId w:val="9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087C79" w:rsidRDefault="00087C79" w:rsidP="00032C09">
            <w:pPr>
              <w:numPr>
                <w:ilvl w:val="2"/>
                <w:numId w:val="9"/>
              </w:numPr>
              <w:rPr>
                <w:rFonts w:ascii="Arial" w:hAnsi="Arial"/>
                <w:sz w:val="24"/>
              </w:rPr>
            </w:pPr>
            <w:r w:rsidRPr="007B6FD4">
              <w:rPr>
                <w:rFonts w:ascii="Arial" w:hAnsi="Arial"/>
                <w:sz w:val="24"/>
              </w:rPr>
              <w:t>Record the identification of all cells to be tested e.g. cord cells, A1, A2 or B cells on the antigram sheet as required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1F7D6C" w:rsidTr="00EB211F">
        <w:trPr>
          <w:gridAfter w:val="1"/>
          <w:wAfter w:w="63" w:type="dxa"/>
          <w:trHeight w:val="735"/>
        </w:trPr>
        <w:tc>
          <w:tcPr>
            <w:tcW w:w="2978" w:type="dxa"/>
            <w:vMerge/>
          </w:tcPr>
          <w:p w:rsidR="001F7D6C" w:rsidRDefault="001F7D6C" w:rsidP="00032C09">
            <w:pPr>
              <w:numPr>
                <w:ilvl w:val="1"/>
                <w:numId w:val="9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Pr="007B6FD4" w:rsidRDefault="00087C79" w:rsidP="00032C09">
            <w:pPr>
              <w:pStyle w:val="ListParagraph"/>
              <w:numPr>
                <w:ilvl w:val="2"/>
                <w:numId w:val="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Ensure that the antigram sheet corresponds to the panel of cells by comparing the lot number on the antigram sheet and on the vials of panel cells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EB211F" w:rsidTr="00EB211F">
        <w:trPr>
          <w:gridAfter w:val="1"/>
          <w:wAfter w:w="63" w:type="dxa"/>
          <w:trHeight w:val="480"/>
        </w:trPr>
        <w:tc>
          <w:tcPr>
            <w:tcW w:w="2978" w:type="dxa"/>
            <w:vMerge w:val="restart"/>
          </w:tcPr>
          <w:p w:rsidR="00EB211F" w:rsidRDefault="00EB211F" w:rsidP="00032C09">
            <w:pPr>
              <w:numPr>
                <w:ilvl w:val="1"/>
                <w:numId w:val="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Centrifuge </w:t>
            </w:r>
          </w:p>
        </w:tc>
        <w:tc>
          <w:tcPr>
            <w:tcW w:w="7909" w:type="dxa"/>
          </w:tcPr>
          <w:p w:rsidR="00EB211F" w:rsidRDefault="00EB211F" w:rsidP="00032C09">
            <w:pPr>
              <w:numPr>
                <w:ilvl w:val="0"/>
                <w:numId w:val="10"/>
              </w:numPr>
              <w:ind w:left="743" w:hanging="709"/>
              <w:rPr>
                <w:rFonts w:ascii="Arial" w:eastAsia="Calibri" w:hAnsi="Arial"/>
                <w:sz w:val="24"/>
                <w:szCs w:val="22"/>
              </w:rPr>
            </w:pPr>
            <w:r w:rsidRPr="006529A7">
              <w:rPr>
                <w:rFonts w:ascii="Arial" w:eastAsia="Calibri" w:hAnsi="Arial"/>
                <w:sz w:val="24"/>
                <w:szCs w:val="22"/>
              </w:rPr>
              <w:t>Centrifuge specimen(s) for 5 minutes at 3500 rpm or equivalent</w:t>
            </w:r>
            <w:r w:rsidR="00AD1BF9">
              <w:rPr>
                <w:rFonts w:ascii="Arial" w:eastAsia="Calibri" w:hAnsi="Arial"/>
                <w:sz w:val="24"/>
                <w:szCs w:val="22"/>
              </w:rPr>
              <w:t>.</w:t>
            </w:r>
          </w:p>
          <w:p w:rsidR="00EB211F" w:rsidRPr="00AC0FBC" w:rsidRDefault="00EB211F" w:rsidP="00EB211F">
            <w:pPr>
              <w:ind w:left="34"/>
              <w:rPr>
                <w:rFonts w:ascii="Arial" w:eastAsia="Calibri" w:hAnsi="Arial"/>
                <w:sz w:val="24"/>
                <w:szCs w:val="22"/>
              </w:rPr>
            </w:pPr>
          </w:p>
        </w:tc>
      </w:tr>
      <w:tr w:rsidR="00EB211F" w:rsidTr="00EB211F">
        <w:trPr>
          <w:gridAfter w:val="1"/>
          <w:wAfter w:w="63" w:type="dxa"/>
          <w:trHeight w:val="615"/>
        </w:trPr>
        <w:tc>
          <w:tcPr>
            <w:tcW w:w="2978" w:type="dxa"/>
            <w:vMerge/>
          </w:tcPr>
          <w:p w:rsidR="00EB211F" w:rsidRDefault="00EB211F" w:rsidP="00032C09">
            <w:pPr>
              <w:numPr>
                <w:ilvl w:val="1"/>
                <w:numId w:val="5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EB211F" w:rsidRPr="006529A7" w:rsidRDefault="00EB211F" w:rsidP="00AC0FBC">
            <w:pPr>
              <w:numPr>
                <w:ilvl w:val="0"/>
                <w:numId w:val="10"/>
              </w:numPr>
              <w:ind w:left="743" w:hanging="709"/>
              <w:rPr>
                <w:rFonts w:ascii="Arial" w:eastAsia="Calibri" w:hAnsi="Arial"/>
                <w:sz w:val="24"/>
                <w:szCs w:val="22"/>
              </w:rPr>
            </w:pPr>
            <w:r w:rsidRPr="006529A7">
              <w:rPr>
                <w:rFonts w:ascii="Arial" w:eastAsia="Calibri" w:hAnsi="Arial"/>
                <w:sz w:val="24"/>
                <w:szCs w:val="22"/>
              </w:rPr>
              <w:t>Check the patient’s specimen(s) for abnormal appearance. See PA.002 – Determining Specimen Suitability step 6.5</w:t>
            </w:r>
            <w:r w:rsidR="00AD1BF9">
              <w:rPr>
                <w:rFonts w:ascii="Arial" w:eastAsia="Calibri" w:hAnsi="Arial"/>
                <w:sz w:val="24"/>
                <w:szCs w:val="22"/>
              </w:rPr>
              <w:t>.</w:t>
            </w:r>
          </w:p>
        </w:tc>
      </w:tr>
      <w:tr w:rsidR="00EB211F" w:rsidTr="00EB211F">
        <w:trPr>
          <w:gridAfter w:val="1"/>
          <w:wAfter w:w="63" w:type="dxa"/>
          <w:trHeight w:val="750"/>
        </w:trPr>
        <w:tc>
          <w:tcPr>
            <w:tcW w:w="2978" w:type="dxa"/>
            <w:vMerge/>
          </w:tcPr>
          <w:p w:rsidR="00EB211F" w:rsidRDefault="00EB211F" w:rsidP="00032C09">
            <w:pPr>
              <w:numPr>
                <w:ilvl w:val="1"/>
                <w:numId w:val="5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EB211F" w:rsidRPr="006529A7" w:rsidRDefault="00EB211F" w:rsidP="00AC0FBC">
            <w:pPr>
              <w:numPr>
                <w:ilvl w:val="0"/>
                <w:numId w:val="10"/>
              </w:numPr>
              <w:ind w:left="743" w:hanging="709"/>
              <w:rPr>
                <w:rFonts w:ascii="Arial" w:eastAsia="Calibri" w:hAnsi="Arial"/>
                <w:sz w:val="24"/>
                <w:szCs w:val="22"/>
              </w:rPr>
            </w:pPr>
            <w:r w:rsidRPr="00AC0FBC">
              <w:rPr>
                <w:rFonts w:ascii="Arial" w:eastAsia="Calibri" w:hAnsi="Arial"/>
                <w:sz w:val="24"/>
                <w:szCs w:val="22"/>
              </w:rPr>
              <w:t>Compare the patient name and identification number on all specimens with the corresponding information on the request form or computer screen.</w:t>
            </w:r>
          </w:p>
        </w:tc>
      </w:tr>
      <w:tr w:rsidR="001F7D6C" w:rsidTr="00EB211F">
        <w:trPr>
          <w:gridAfter w:val="1"/>
          <w:wAfter w:w="63" w:type="dxa"/>
          <w:trHeight w:val="207"/>
        </w:trPr>
        <w:tc>
          <w:tcPr>
            <w:tcW w:w="2978" w:type="dxa"/>
            <w:vMerge w:val="restart"/>
          </w:tcPr>
          <w:p w:rsidR="001F7D6C" w:rsidRDefault="00FB7EDA" w:rsidP="00032C09">
            <w:pPr>
              <w:numPr>
                <w:ilvl w:val="1"/>
                <w:numId w:val="5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Prepare a 3%</w:t>
            </w:r>
            <w:r w:rsidR="001F7D6C">
              <w:rPr>
                <w:rFonts w:ascii="Arial" w:hAnsi="Arial"/>
                <w:sz w:val="24"/>
              </w:rPr>
              <w:t xml:space="preserve"> cell suspension</w:t>
            </w:r>
            <w:r>
              <w:rPr>
                <w:rFonts w:ascii="Arial" w:hAnsi="Arial"/>
                <w:sz w:val="24"/>
              </w:rPr>
              <w:t>s (patient and cord, group A or B as required)</w:t>
            </w:r>
            <w:r w:rsidR="001F7D6C">
              <w:rPr>
                <w:rFonts w:ascii="Arial" w:hAnsi="Arial"/>
                <w:sz w:val="24"/>
              </w:rPr>
              <w:t>.</w:t>
            </w:r>
          </w:p>
          <w:p w:rsidR="001F7D6C" w:rsidRDefault="001F7D6C">
            <w:p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Pr="00EB211F" w:rsidRDefault="001F7D6C" w:rsidP="00EB211F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>Label a test tube with the patient’s family name; transcribe the family name from the specimen tube not from the request form. A preprinted label may be used (ensure the information coincides exactly to the specimen label).</w:t>
            </w:r>
          </w:p>
        </w:tc>
      </w:tr>
      <w:tr w:rsidR="001F7D6C" w:rsidTr="00EB211F">
        <w:trPr>
          <w:gridAfter w:val="1"/>
          <w:wAfter w:w="63" w:type="dxa"/>
          <w:trHeight w:val="206"/>
        </w:trPr>
        <w:tc>
          <w:tcPr>
            <w:tcW w:w="2978" w:type="dxa"/>
            <w:vMerge/>
          </w:tcPr>
          <w:p w:rsidR="001F7D6C" w:rsidRDefault="001F7D6C" w:rsidP="00032C09">
            <w:pPr>
              <w:numPr>
                <w:ilvl w:val="1"/>
                <w:numId w:val="6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Pr="00EB211F" w:rsidRDefault="001F7D6C" w:rsidP="00EB211F">
            <w:pPr>
              <w:pStyle w:val="ListParagraph"/>
              <w:numPr>
                <w:ilvl w:val="2"/>
                <w:numId w:val="24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>Dispense 2 drops of whole blood (or equivalent: 1 drop of packed cells) to the labeled tube.</w:t>
            </w:r>
          </w:p>
        </w:tc>
      </w:tr>
      <w:tr w:rsidR="001F7D6C" w:rsidTr="00EB211F">
        <w:trPr>
          <w:gridAfter w:val="1"/>
          <w:wAfter w:w="63" w:type="dxa"/>
          <w:trHeight w:val="206"/>
        </w:trPr>
        <w:tc>
          <w:tcPr>
            <w:tcW w:w="2978" w:type="dxa"/>
            <w:vMerge/>
          </w:tcPr>
          <w:p w:rsidR="001F7D6C" w:rsidRDefault="001F7D6C" w:rsidP="00EB211F">
            <w:pPr>
              <w:numPr>
                <w:ilvl w:val="1"/>
                <w:numId w:val="24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EB211F">
            <w:pPr>
              <w:numPr>
                <w:ilvl w:val="2"/>
                <w:numId w:val="2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0.5 to 1.0 mL of normal saline and mix to resuspend to 3%.</w:t>
            </w:r>
          </w:p>
        </w:tc>
      </w:tr>
      <w:tr w:rsidR="001F7D6C" w:rsidTr="00EB211F">
        <w:trPr>
          <w:gridAfter w:val="1"/>
          <w:wAfter w:w="63" w:type="dxa"/>
          <w:trHeight w:val="413"/>
        </w:trPr>
        <w:tc>
          <w:tcPr>
            <w:tcW w:w="2978" w:type="dxa"/>
            <w:vMerge/>
          </w:tcPr>
          <w:p w:rsidR="001F7D6C" w:rsidRDefault="001F7D6C" w:rsidP="00EB211F">
            <w:pPr>
              <w:numPr>
                <w:ilvl w:val="1"/>
                <w:numId w:val="24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EB211F">
            <w:pPr>
              <w:numPr>
                <w:ilvl w:val="2"/>
                <w:numId w:val="2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Compare with a commercial cell suspension and adjust the strength of the suspension if necessary.</w:t>
            </w:r>
          </w:p>
        </w:tc>
      </w:tr>
      <w:tr w:rsidR="001F7D6C" w:rsidTr="00EB211F">
        <w:trPr>
          <w:gridAfter w:val="1"/>
          <w:wAfter w:w="63" w:type="dxa"/>
          <w:trHeight w:val="412"/>
        </w:trPr>
        <w:tc>
          <w:tcPr>
            <w:tcW w:w="2978" w:type="dxa"/>
            <w:vMerge/>
          </w:tcPr>
          <w:p w:rsidR="001F7D6C" w:rsidRDefault="001F7D6C" w:rsidP="00EB211F">
            <w:pPr>
              <w:numPr>
                <w:ilvl w:val="1"/>
                <w:numId w:val="24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1F7D6C" w:rsidRDefault="001F7D6C" w:rsidP="00EB211F">
            <w:pPr>
              <w:numPr>
                <w:ilvl w:val="2"/>
                <w:numId w:val="24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Prepare 3% suspensions of group O</w:t>
            </w:r>
            <w:r w:rsidR="00665A1F">
              <w:rPr>
                <w:rFonts w:ascii="Arial" w:hAnsi="Arial"/>
                <w:sz w:val="24"/>
              </w:rPr>
              <w:t xml:space="preserve"> cord cells, group A1, </w:t>
            </w:r>
            <w:r>
              <w:rPr>
                <w:rFonts w:ascii="Arial" w:hAnsi="Arial"/>
                <w:sz w:val="24"/>
              </w:rPr>
              <w:t xml:space="preserve">group A2 </w:t>
            </w:r>
            <w:r w:rsidR="00665A1F">
              <w:rPr>
                <w:rFonts w:ascii="Arial" w:hAnsi="Arial"/>
                <w:sz w:val="24"/>
              </w:rPr>
              <w:t xml:space="preserve">and B </w:t>
            </w:r>
            <w:r>
              <w:rPr>
                <w:rFonts w:ascii="Arial" w:hAnsi="Arial"/>
                <w:sz w:val="24"/>
              </w:rPr>
              <w:t>cells as required.</w:t>
            </w:r>
          </w:p>
        </w:tc>
      </w:tr>
      <w:tr w:rsidR="00EB211F" w:rsidTr="00EB211F">
        <w:trPr>
          <w:gridAfter w:val="1"/>
          <w:wAfter w:w="63" w:type="dxa"/>
          <w:trHeight w:val="1170"/>
        </w:trPr>
        <w:tc>
          <w:tcPr>
            <w:tcW w:w="2978" w:type="dxa"/>
            <w:vMerge w:val="restart"/>
          </w:tcPr>
          <w:p w:rsidR="00EB211F" w:rsidRPr="00EB211F" w:rsidRDefault="00EB211F" w:rsidP="00EB211F">
            <w:pPr>
              <w:pStyle w:val="ListParagraph"/>
              <w:numPr>
                <w:ilvl w:val="1"/>
                <w:numId w:val="24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>Label tubes</w:t>
            </w:r>
          </w:p>
        </w:tc>
        <w:tc>
          <w:tcPr>
            <w:tcW w:w="7909" w:type="dxa"/>
          </w:tcPr>
          <w:p w:rsidR="00EB211F" w:rsidRPr="00EB211F" w:rsidRDefault="00EB211F" w:rsidP="00EB211F">
            <w:pPr>
              <w:pStyle w:val="ListParagraph"/>
              <w:numPr>
                <w:ilvl w:val="2"/>
                <w:numId w:val="22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>Label the required number of tubes to be set up with family name and the panel cell /donor unit number or cord cell identification. The family name may be abbreviated to the first three letters. Place the tubes, in numerical order, in the block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EB211F" w:rsidTr="00EB211F">
        <w:trPr>
          <w:gridAfter w:val="1"/>
          <w:wAfter w:w="63" w:type="dxa"/>
          <w:trHeight w:val="480"/>
        </w:trPr>
        <w:tc>
          <w:tcPr>
            <w:tcW w:w="2978" w:type="dxa"/>
            <w:vMerge/>
          </w:tcPr>
          <w:p w:rsidR="00EB211F" w:rsidRDefault="00EB211F" w:rsidP="00EB211F">
            <w:pPr>
              <w:numPr>
                <w:ilvl w:val="1"/>
                <w:numId w:val="2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09" w:type="dxa"/>
          </w:tcPr>
          <w:p w:rsidR="00EB211F" w:rsidRPr="00EB211F" w:rsidRDefault="00EB211F" w:rsidP="00AD1BF9">
            <w:pPr>
              <w:pStyle w:val="ListParagraph"/>
              <w:numPr>
                <w:ilvl w:val="2"/>
                <w:numId w:val="23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 xml:space="preserve">Label one tube with </w:t>
            </w:r>
            <w:r w:rsidR="00FB7EDA">
              <w:rPr>
                <w:rFonts w:ascii="Arial" w:hAnsi="Arial"/>
                <w:sz w:val="24"/>
              </w:rPr>
              <w:t xml:space="preserve">patient’s </w:t>
            </w:r>
            <w:r w:rsidRPr="00EB211F">
              <w:rPr>
                <w:rFonts w:ascii="Arial" w:hAnsi="Arial"/>
                <w:sz w:val="24"/>
              </w:rPr>
              <w:t>family name and “auto</w:t>
            </w:r>
            <w:r w:rsidR="00AD1BF9">
              <w:rPr>
                <w:rFonts w:ascii="Arial" w:hAnsi="Arial"/>
                <w:sz w:val="24"/>
              </w:rPr>
              <w:t>.</w:t>
            </w:r>
            <w:r w:rsidRPr="00EB211F">
              <w:rPr>
                <w:rFonts w:ascii="Arial" w:hAnsi="Arial"/>
                <w:sz w:val="24"/>
              </w:rPr>
              <w:t>” Place the tube in the block.</w:t>
            </w:r>
          </w:p>
        </w:tc>
      </w:tr>
      <w:tr w:rsidR="0071106C" w:rsidTr="00EB211F">
        <w:trPr>
          <w:trHeight w:val="275"/>
        </w:trPr>
        <w:tc>
          <w:tcPr>
            <w:tcW w:w="2978" w:type="dxa"/>
            <w:vMerge w:val="restart"/>
          </w:tcPr>
          <w:p w:rsidR="0071106C" w:rsidRDefault="0071106C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 specimen and cells to the labeled tubes</w:t>
            </w:r>
            <w:r w:rsidR="00FB7EDA">
              <w:rPr>
                <w:rFonts w:ascii="Arial" w:hAnsi="Arial"/>
                <w:sz w:val="24"/>
              </w:rPr>
              <w:t xml:space="preserve"> as follows</w:t>
            </w:r>
            <w:r>
              <w:rPr>
                <w:rFonts w:ascii="Arial" w:hAnsi="Arial"/>
                <w:sz w:val="24"/>
              </w:rPr>
              <w:t>:</w:t>
            </w:r>
          </w:p>
          <w:p w:rsidR="0071106C" w:rsidRDefault="0071106C">
            <w:p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71106C" w:rsidRDefault="0003633B" w:rsidP="00032C09">
            <w:pPr>
              <w:pStyle w:val="ListParagraph"/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Retrieve the specimen and compare the name and identification number on the specimen with the corresponding information on the antigram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03633B" w:rsidTr="00EB211F">
        <w:trPr>
          <w:trHeight w:val="275"/>
        </w:trPr>
        <w:tc>
          <w:tcPr>
            <w:tcW w:w="2978" w:type="dxa"/>
            <w:vMerge/>
          </w:tcPr>
          <w:p w:rsidR="0003633B" w:rsidRDefault="0003633B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Default="0003633B" w:rsidP="00032C09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 w:rsidRPr="0071106C">
              <w:rPr>
                <w:rFonts w:ascii="Arial" w:hAnsi="Arial"/>
                <w:sz w:val="24"/>
              </w:rPr>
              <w:t>2-3</w:t>
            </w:r>
            <w:r w:rsidR="00AD1BF9">
              <w:rPr>
                <w:rFonts w:ascii="Arial" w:hAnsi="Arial"/>
                <w:sz w:val="24"/>
              </w:rPr>
              <w:t xml:space="preserve"> </w:t>
            </w:r>
            <w:r w:rsidRPr="0071106C">
              <w:rPr>
                <w:rFonts w:ascii="Arial" w:hAnsi="Arial"/>
                <w:sz w:val="24"/>
                <w:vertAlign w:val="superscript"/>
              </w:rPr>
              <w:t>9.2</w:t>
            </w:r>
            <w:r w:rsidRPr="0071106C">
              <w:rPr>
                <w:rFonts w:ascii="Arial" w:hAnsi="Arial"/>
                <w:sz w:val="24"/>
              </w:rPr>
              <w:t xml:space="preserve"> drops of plasma into each tube.</w:t>
            </w:r>
          </w:p>
        </w:tc>
      </w:tr>
      <w:tr w:rsidR="0071106C" w:rsidTr="00EB211F">
        <w:trPr>
          <w:trHeight w:val="275"/>
        </w:trPr>
        <w:tc>
          <w:tcPr>
            <w:tcW w:w="2978" w:type="dxa"/>
            <w:vMerge/>
          </w:tcPr>
          <w:p w:rsidR="0071106C" w:rsidRDefault="0071106C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71106C" w:rsidRDefault="0071106C" w:rsidP="00032C09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drop of the patient 3% red cell suspension into the tube labeled “auto</w:t>
            </w:r>
            <w:r w:rsidR="00AD1BF9">
              <w:rPr>
                <w:rFonts w:ascii="Arial" w:hAnsi="Arial"/>
                <w:sz w:val="24"/>
              </w:rPr>
              <w:t>.</w:t>
            </w:r>
            <w:r>
              <w:rPr>
                <w:rFonts w:ascii="Arial" w:hAnsi="Arial"/>
                <w:sz w:val="24"/>
              </w:rPr>
              <w:t>”</w:t>
            </w:r>
          </w:p>
        </w:tc>
      </w:tr>
      <w:tr w:rsidR="0003633B" w:rsidTr="00EB211F">
        <w:trPr>
          <w:trHeight w:val="275"/>
        </w:trPr>
        <w:tc>
          <w:tcPr>
            <w:tcW w:w="2978" w:type="dxa"/>
            <w:vMerge/>
          </w:tcPr>
          <w:p w:rsidR="0003633B" w:rsidRDefault="0003633B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Default="0003633B" w:rsidP="00032C09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drop of the appropriate panel cell into the corresponding labeled tubes.</w:t>
            </w:r>
          </w:p>
        </w:tc>
      </w:tr>
      <w:tr w:rsidR="0071106C" w:rsidTr="00EB211F">
        <w:trPr>
          <w:trHeight w:val="275"/>
        </w:trPr>
        <w:tc>
          <w:tcPr>
            <w:tcW w:w="2978" w:type="dxa"/>
            <w:vMerge/>
          </w:tcPr>
          <w:p w:rsidR="0071106C" w:rsidRDefault="0071106C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71106C" w:rsidRDefault="0003633B" w:rsidP="00032C09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Mix the contents of each tube. Compare each tube for appearance and volume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03633B" w:rsidTr="00EB211F">
        <w:tc>
          <w:tcPr>
            <w:tcW w:w="2978" w:type="dxa"/>
            <w:vMerge w:val="restart"/>
          </w:tcPr>
          <w:p w:rsidR="0003633B" w:rsidRDefault="0003633B" w:rsidP="00032C09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Incubate  and Centrifuge</w:t>
            </w:r>
          </w:p>
        </w:tc>
        <w:tc>
          <w:tcPr>
            <w:tcW w:w="7972" w:type="dxa"/>
            <w:gridSpan w:val="2"/>
          </w:tcPr>
          <w:p w:rsidR="0003633B" w:rsidRPr="00EB211F" w:rsidRDefault="0003633B" w:rsidP="00EB211F">
            <w:pPr>
              <w:pStyle w:val="ListParagraph"/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 w:rsidRPr="00EB211F">
              <w:rPr>
                <w:rFonts w:ascii="Arial" w:hAnsi="Arial"/>
                <w:sz w:val="24"/>
              </w:rPr>
              <w:t xml:space="preserve">Incubate </w:t>
            </w:r>
            <w:r w:rsidR="00FB7EDA">
              <w:rPr>
                <w:rFonts w:ascii="Arial" w:hAnsi="Arial"/>
                <w:sz w:val="24"/>
              </w:rPr>
              <w:t xml:space="preserve">at </w:t>
            </w:r>
            <w:r w:rsidRPr="00EB211F">
              <w:rPr>
                <w:rFonts w:ascii="Arial" w:hAnsi="Arial"/>
                <w:sz w:val="24"/>
              </w:rPr>
              <w:t>room temperature (RT), approximately 20-22</w:t>
            </w:r>
            <w:r w:rsidRPr="00EB211F">
              <w:rPr>
                <w:rFonts w:ascii="Arial" w:hAnsi="Arial" w:cs="Arial"/>
                <w:sz w:val="24"/>
              </w:rPr>
              <w:t>°</w:t>
            </w:r>
            <w:r w:rsidRPr="00EB211F">
              <w:rPr>
                <w:rFonts w:ascii="Arial" w:hAnsi="Arial"/>
                <w:sz w:val="24"/>
              </w:rPr>
              <w:t>C, for 30 minutes.</w:t>
            </w:r>
          </w:p>
        </w:tc>
      </w:tr>
      <w:tr w:rsidR="0003633B" w:rsidTr="00EB211F">
        <w:trPr>
          <w:trHeight w:val="141"/>
        </w:trPr>
        <w:tc>
          <w:tcPr>
            <w:tcW w:w="2978" w:type="dxa"/>
            <w:vMerge/>
          </w:tcPr>
          <w:p w:rsidR="0003633B" w:rsidRDefault="0003633B" w:rsidP="0003633B">
            <w:pPr>
              <w:ind w:left="525"/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Pr="00420F2E" w:rsidRDefault="00EB211F" w:rsidP="00420F2E">
            <w:pPr>
              <w:pStyle w:val="ListParagraph"/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 w:rsidRPr="00420F2E">
              <w:rPr>
                <w:rFonts w:ascii="Arial" w:hAnsi="Arial"/>
                <w:sz w:val="24"/>
              </w:rPr>
              <w:t>Centrifuge tubes in a</w:t>
            </w:r>
            <w:r w:rsidR="0003633B" w:rsidRPr="00420F2E">
              <w:rPr>
                <w:rFonts w:ascii="Arial" w:hAnsi="Arial"/>
                <w:sz w:val="24"/>
              </w:rPr>
              <w:t xml:space="preserve"> serologic centrifuge at 3400 rpm for 15 seconds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03633B" w:rsidTr="00EB211F">
        <w:trPr>
          <w:trHeight w:val="138"/>
        </w:trPr>
        <w:tc>
          <w:tcPr>
            <w:tcW w:w="2978" w:type="dxa"/>
            <w:vMerge/>
          </w:tcPr>
          <w:p w:rsidR="0003633B" w:rsidRDefault="0003633B" w:rsidP="00032C09">
            <w:pPr>
              <w:numPr>
                <w:ilvl w:val="1"/>
                <w:numId w:val="14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Pr="00420F2E" w:rsidRDefault="0003633B" w:rsidP="00420F2E">
            <w:pPr>
              <w:pStyle w:val="ListParagraph"/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 w:rsidRPr="00420F2E">
              <w:rPr>
                <w:rFonts w:ascii="Arial" w:hAnsi="Arial"/>
                <w:sz w:val="24"/>
              </w:rPr>
              <w:t>Examine fo</w:t>
            </w:r>
            <w:r w:rsidR="00420F2E">
              <w:rPr>
                <w:rFonts w:ascii="Arial" w:hAnsi="Arial"/>
                <w:sz w:val="24"/>
              </w:rPr>
              <w:t xml:space="preserve">r hemolysis, resuspend and </w:t>
            </w:r>
            <w:r w:rsidRPr="00420F2E">
              <w:rPr>
                <w:rFonts w:ascii="Arial" w:hAnsi="Arial"/>
                <w:sz w:val="24"/>
              </w:rPr>
              <w:t>read macroscopically.</w:t>
            </w:r>
          </w:p>
        </w:tc>
      </w:tr>
      <w:tr w:rsidR="0003633B" w:rsidTr="00EB211F">
        <w:trPr>
          <w:trHeight w:val="138"/>
        </w:trPr>
        <w:tc>
          <w:tcPr>
            <w:tcW w:w="2978" w:type="dxa"/>
            <w:vMerge/>
          </w:tcPr>
          <w:p w:rsidR="0003633B" w:rsidRDefault="0003633B" w:rsidP="00420F2E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Default="0003633B" w:rsidP="00420F2E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Grade and re</w:t>
            </w:r>
            <w:r w:rsidR="00420F2E">
              <w:rPr>
                <w:rFonts w:ascii="Arial" w:hAnsi="Arial"/>
                <w:sz w:val="24"/>
              </w:rPr>
              <w:t xml:space="preserve">cord results on the antigram </w:t>
            </w:r>
            <w:r>
              <w:rPr>
                <w:rFonts w:ascii="Arial" w:hAnsi="Arial"/>
                <w:sz w:val="24"/>
              </w:rPr>
              <w:t xml:space="preserve">sheet. See </w:t>
            </w:r>
            <w:r w:rsidR="00420F2E">
              <w:rPr>
                <w:rFonts w:ascii="Arial" w:hAnsi="Arial"/>
                <w:sz w:val="24"/>
              </w:rPr>
              <w:t>RT. 001 –</w:t>
            </w:r>
            <w:r w:rsidRPr="0071106C">
              <w:rPr>
                <w:rFonts w:ascii="Arial" w:hAnsi="Arial"/>
                <w:sz w:val="24"/>
              </w:rPr>
              <w:t>Reading a</w:t>
            </w:r>
            <w:r w:rsidR="00420F2E">
              <w:rPr>
                <w:rFonts w:ascii="Arial" w:hAnsi="Arial"/>
                <w:sz w:val="24"/>
              </w:rPr>
              <w:t xml:space="preserve">nd </w:t>
            </w:r>
            <w:r>
              <w:rPr>
                <w:rFonts w:ascii="Arial" w:hAnsi="Arial"/>
                <w:sz w:val="24"/>
              </w:rPr>
              <w:t xml:space="preserve">Recording Hemagglutination </w:t>
            </w:r>
            <w:r w:rsidRPr="0071106C">
              <w:rPr>
                <w:rFonts w:ascii="Arial" w:hAnsi="Arial"/>
                <w:sz w:val="24"/>
              </w:rPr>
              <w:t>Reactions.</w:t>
            </w:r>
          </w:p>
        </w:tc>
      </w:tr>
      <w:tr w:rsidR="0003633B" w:rsidTr="00EB211F">
        <w:trPr>
          <w:trHeight w:val="138"/>
        </w:trPr>
        <w:tc>
          <w:tcPr>
            <w:tcW w:w="2978" w:type="dxa"/>
            <w:vMerge/>
          </w:tcPr>
          <w:p w:rsidR="0003633B" w:rsidRDefault="0003633B" w:rsidP="00420F2E">
            <w:pPr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03633B" w:rsidRPr="006D0E4A" w:rsidRDefault="0003633B" w:rsidP="00420F2E">
            <w:pPr>
              <w:numPr>
                <w:ilvl w:val="2"/>
                <w:numId w:val="1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 all panel ce</w:t>
            </w:r>
            <w:r w:rsidR="00420F2E">
              <w:rPr>
                <w:rFonts w:ascii="Arial" w:hAnsi="Arial"/>
                <w:sz w:val="24"/>
              </w:rPr>
              <w:t>lls are negative, report as</w:t>
            </w:r>
            <w:r w:rsidR="00FB7EDA">
              <w:rPr>
                <w:rFonts w:ascii="Arial" w:hAnsi="Arial"/>
                <w:sz w:val="24"/>
              </w:rPr>
              <w:t xml:space="preserve"> 7.0</w:t>
            </w:r>
            <w:r>
              <w:rPr>
                <w:rFonts w:ascii="Arial" w:hAnsi="Arial"/>
                <w:sz w:val="24"/>
              </w:rPr>
              <w:t xml:space="preserve"> – Reporting.</w:t>
            </w:r>
          </w:p>
        </w:tc>
      </w:tr>
      <w:tr w:rsidR="0003633B" w:rsidTr="00EB211F">
        <w:tc>
          <w:tcPr>
            <w:tcW w:w="2978" w:type="dxa"/>
          </w:tcPr>
          <w:p w:rsidR="0003633B" w:rsidRPr="00FB7EDA" w:rsidRDefault="0003633B" w:rsidP="00FB7EDA">
            <w:pPr>
              <w:pStyle w:val="ListParagraph"/>
              <w:numPr>
                <w:ilvl w:val="1"/>
                <w:numId w:val="12"/>
              </w:numPr>
              <w:rPr>
                <w:rFonts w:ascii="Arial" w:hAnsi="Arial"/>
                <w:sz w:val="24"/>
              </w:rPr>
            </w:pPr>
            <w:r w:rsidRPr="00FB7EDA">
              <w:rPr>
                <w:rFonts w:ascii="Arial" w:hAnsi="Arial"/>
                <w:sz w:val="24"/>
              </w:rPr>
              <w:t>Interpret Results</w:t>
            </w:r>
          </w:p>
        </w:tc>
        <w:tc>
          <w:tcPr>
            <w:tcW w:w="7972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5514"/>
            </w:tblGrid>
            <w:tr w:rsidR="0003633B" w:rsidTr="00AD1BF9">
              <w:tc>
                <w:tcPr>
                  <w:tcW w:w="2413" w:type="dxa"/>
                  <w:shd w:val="clear" w:color="auto" w:fill="F2F2F2" w:themeFill="background1" w:themeFillShade="F2"/>
                </w:tcPr>
                <w:p w:rsidR="0003633B" w:rsidRPr="00AC0FBC" w:rsidRDefault="0003633B" w:rsidP="0003633B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AC0FBC">
                    <w:rPr>
                      <w:rFonts w:ascii="Arial" w:hAnsi="Arial"/>
                      <w:b/>
                      <w:i/>
                      <w:sz w:val="24"/>
                    </w:rPr>
                    <w:t>If</w:t>
                  </w:r>
                </w:p>
              </w:tc>
              <w:tc>
                <w:tcPr>
                  <w:tcW w:w="5514" w:type="dxa"/>
                  <w:shd w:val="clear" w:color="auto" w:fill="F2F2F2" w:themeFill="background1" w:themeFillShade="F2"/>
                </w:tcPr>
                <w:p w:rsidR="0003633B" w:rsidRPr="00AC0FBC" w:rsidRDefault="0003633B" w:rsidP="0003633B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AC0FBC">
                    <w:rPr>
                      <w:rFonts w:ascii="Arial" w:hAnsi="Arial"/>
                      <w:b/>
                      <w:i/>
                      <w:sz w:val="24"/>
                    </w:rPr>
                    <w:t>then</w:t>
                  </w:r>
                </w:p>
              </w:tc>
            </w:tr>
            <w:tr w:rsidR="0003633B" w:rsidTr="00690FF2">
              <w:tc>
                <w:tcPr>
                  <w:tcW w:w="2413" w:type="dxa"/>
                </w:tcPr>
                <w:p w:rsidR="0003633B" w:rsidRPr="0003633B" w:rsidRDefault="00FB7EDA" w:rsidP="0003633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p</w:t>
                  </w:r>
                  <w:r w:rsidR="0003633B">
                    <w:rPr>
                      <w:rFonts w:ascii="Arial" w:hAnsi="Arial"/>
                      <w:sz w:val="24"/>
                    </w:rPr>
                    <w:t>anel cells are reactive but the autocontrol is negative</w:t>
                  </w:r>
                </w:p>
              </w:tc>
              <w:tc>
                <w:tcPr>
                  <w:tcW w:w="5514" w:type="dxa"/>
                </w:tcPr>
                <w:p w:rsidR="0003633B" w:rsidRDefault="00FB7EDA" w:rsidP="0003633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p</w:t>
                  </w:r>
                  <w:r w:rsidR="0003633B">
                    <w:rPr>
                      <w:rFonts w:ascii="Arial" w:hAnsi="Arial"/>
                      <w:sz w:val="24"/>
                    </w:rPr>
                    <w:t>erform the antibody exclusion.  See NRT.008 – Exclusion of Antibodies</w:t>
                  </w:r>
                  <w:r>
                    <w:rPr>
                      <w:rFonts w:ascii="Arial" w:hAnsi="Arial"/>
                      <w:sz w:val="24"/>
                    </w:rPr>
                    <w:t>.</w:t>
                  </w:r>
                </w:p>
                <w:p w:rsidR="0003633B" w:rsidRDefault="0003633B" w:rsidP="0003633B">
                  <w:pPr>
                    <w:rPr>
                      <w:rFonts w:ascii="Arial" w:hAnsi="Arial"/>
                      <w:sz w:val="24"/>
                    </w:rPr>
                  </w:pPr>
                </w:p>
                <w:p w:rsidR="0003633B" w:rsidRPr="0003633B" w:rsidRDefault="0003633B" w:rsidP="0003633B">
                  <w:pPr>
                    <w:rPr>
                      <w:rFonts w:ascii="Arial" w:hAnsi="Arial"/>
                      <w:sz w:val="24"/>
                    </w:rPr>
                  </w:pPr>
                  <w:r w:rsidRPr="006D0E4A">
                    <w:rPr>
                      <w:rFonts w:ascii="Arial" w:hAnsi="Arial"/>
                      <w:sz w:val="24"/>
                    </w:rPr>
                    <w:t>When there is no discernible</w:t>
                  </w:r>
                  <w:r>
                    <w:rPr>
                      <w:rFonts w:ascii="Arial" w:hAnsi="Arial"/>
                      <w:sz w:val="24"/>
                    </w:rPr>
                    <w:t xml:space="preserve"> specificity, consider reasons </w:t>
                  </w:r>
                  <w:r w:rsidRPr="006D0E4A">
                    <w:rPr>
                      <w:rFonts w:ascii="Arial" w:hAnsi="Arial"/>
                      <w:sz w:val="24"/>
                    </w:rPr>
                    <w:t>such as antigen variability and dosage.</w:t>
                  </w:r>
                  <w:r>
                    <w:rPr>
                      <w:rFonts w:ascii="Arial" w:hAnsi="Arial"/>
                      <w:sz w:val="24"/>
                    </w:rPr>
                    <w:t xml:space="preserve"> Some antigens</w:t>
                  </w:r>
                  <w:r w:rsidRPr="006D0E4A">
                    <w:rPr>
                      <w:rFonts w:ascii="Arial" w:hAnsi="Arial"/>
                      <w:sz w:val="24"/>
                    </w:rPr>
                    <w:t xml:space="preserve"> (e.g., I, P</w:t>
                  </w:r>
                  <w:r w:rsidRPr="006D0E4A">
                    <w:rPr>
                      <w:rFonts w:ascii="Arial" w:hAnsi="Arial"/>
                      <w:sz w:val="24"/>
                      <w:vertAlign w:val="subscript"/>
                    </w:rPr>
                    <w:t>1</w:t>
                  </w:r>
                  <w:r w:rsidRPr="006D0E4A">
                    <w:rPr>
                      <w:rFonts w:ascii="Arial" w:hAnsi="Arial"/>
                      <w:sz w:val="24"/>
                    </w:rPr>
                    <w:t>, Le</w:t>
                  </w:r>
                  <w:r w:rsidRPr="006D0E4A">
                    <w:rPr>
                      <w:rFonts w:ascii="Arial" w:hAnsi="Arial"/>
                      <w:sz w:val="24"/>
                      <w:vertAlign w:val="superscript"/>
                    </w:rPr>
                    <w:t>a</w:t>
                  </w:r>
                  <w:r w:rsidRPr="006D0E4A">
                    <w:rPr>
                      <w:rFonts w:ascii="Arial" w:hAnsi="Arial"/>
                      <w:sz w:val="24"/>
                    </w:rPr>
                    <w:t>, Sd</w:t>
                  </w:r>
                  <w:r w:rsidRPr="006D0E4A">
                    <w:rPr>
                      <w:rFonts w:ascii="Arial" w:hAnsi="Arial"/>
                      <w:sz w:val="24"/>
                      <w:vertAlign w:val="superscript"/>
                    </w:rPr>
                    <w:t>a</w:t>
                  </w:r>
                  <w:r w:rsidRPr="006D0E4A">
                    <w:rPr>
                      <w:rFonts w:ascii="Arial" w:hAnsi="Arial"/>
                      <w:sz w:val="24"/>
                    </w:rPr>
                    <w:t>) are expressed in varying degrees on red cells from different adult donors. Red cells from individuals heterozygous fo</w:t>
                  </w:r>
                  <w:r>
                    <w:rPr>
                      <w:rFonts w:ascii="Arial" w:hAnsi="Arial"/>
                      <w:sz w:val="24"/>
                    </w:rPr>
                    <w:t xml:space="preserve">r the gene that determines the </w:t>
                  </w:r>
                  <w:r w:rsidRPr="006D0E4A">
                    <w:rPr>
                      <w:rFonts w:ascii="Arial" w:hAnsi="Arial"/>
                      <w:sz w:val="24"/>
                    </w:rPr>
                    <w:t>antigen may express less a</w:t>
                  </w:r>
                  <w:r>
                    <w:rPr>
                      <w:rFonts w:ascii="Arial" w:hAnsi="Arial"/>
                      <w:sz w:val="24"/>
                    </w:rPr>
                    <w:t xml:space="preserve">ntigen and may react weakly or </w:t>
                  </w:r>
                  <w:r w:rsidRPr="006D0E4A">
                    <w:rPr>
                      <w:rFonts w:ascii="Arial" w:hAnsi="Arial"/>
                      <w:sz w:val="24"/>
                    </w:rPr>
                    <w:t xml:space="preserve">be non-reactive. Consider the possibility </w:t>
                  </w:r>
                  <w:r>
                    <w:rPr>
                      <w:rFonts w:ascii="Arial" w:hAnsi="Arial"/>
                      <w:sz w:val="24"/>
                    </w:rPr>
                    <w:t xml:space="preserve">of an antibody to a </w:t>
                  </w:r>
                  <w:r w:rsidRPr="006D0E4A">
                    <w:rPr>
                      <w:rFonts w:ascii="Arial" w:hAnsi="Arial"/>
                      <w:sz w:val="24"/>
                    </w:rPr>
                    <w:t>low incidence antigen</w:t>
                  </w:r>
                </w:p>
              </w:tc>
            </w:tr>
            <w:tr w:rsidR="0003633B" w:rsidTr="00690FF2">
              <w:tc>
                <w:tcPr>
                  <w:tcW w:w="2413" w:type="dxa"/>
                </w:tcPr>
                <w:p w:rsidR="0003633B" w:rsidRPr="0003633B" w:rsidRDefault="00FB7EDA" w:rsidP="0003633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</w:t>
                  </w:r>
                  <w:r w:rsidR="00690FF2">
                    <w:rPr>
                      <w:rFonts w:ascii="Arial" w:hAnsi="Arial"/>
                      <w:sz w:val="24"/>
                    </w:rPr>
                    <w:t>ll group O cells including the autocontrol are positive</w:t>
                  </w:r>
                </w:p>
              </w:tc>
              <w:tc>
                <w:tcPr>
                  <w:tcW w:w="5514" w:type="dxa"/>
                </w:tcPr>
                <w:p w:rsidR="0003633B" w:rsidRPr="0003633B" w:rsidRDefault="00FB7EDA" w:rsidP="0003633B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</w:t>
                  </w:r>
                  <w:r w:rsidR="00690FF2" w:rsidRPr="006D0E4A">
                    <w:rPr>
                      <w:rFonts w:ascii="Arial" w:hAnsi="Arial"/>
                      <w:sz w:val="24"/>
                    </w:rPr>
                    <w:t>etermine specificity if possible with the use of cord cells and/or A</w:t>
                  </w:r>
                  <w:r w:rsidR="00690FF2" w:rsidRPr="006D0E4A">
                    <w:rPr>
                      <w:rFonts w:ascii="Arial" w:hAnsi="Arial"/>
                      <w:sz w:val="24"/>
                      <w:szCs w:val="24"/>
                      <w:vertAlign w:val="subscript"/>
                    </w:rPr>
                    <w:t>1</w:t>
                  </w:r>
                  <w:r w:rsidR="00690FF2">
                    <w:rPr>
                      <w:rFonts w:ascii="Arial" w:hAnsi="Arial"/>
                      <w:sz w:val="24"/>
                    </w:rPr>
                    <w:t>,</w:t>
                  </w:r>
                  <w:r w:rsidR="00690FF2" w:rsidRPr="006D0E4A">
                    <w:rPr>
                      <w:rFonts w:ascii="Arial" w:hAnsi="Arial"/>
                      <w:sz w:val="24"/>
                    </w:rPr>
                    <w:t xml:space="preserve"> A</w:t>
                  </w:r>
                  <w:r w:rsidR="00690FF2" w:rsidRPr="006D0E4A">
                    <w:rPr>
                      <w:rFonts w:ascii="Arial" w:hAnsi="Arial"/>
                      <w:sz w:val="24"/>
                      <w:szCs w:val="24"/>
                      <w:vertAlign w:val="subscript"/>
                    </w:rPr>
                    <w:t>2</w:t>
                  </w:r>
                  <w:r w:rsidR="00690FF2">
                    <w:rPr>
                      <w:rFonts w:ascii="Arial" w:hAnsi="Arial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="00690FF2">
                    <w:rPr>
                      <w:rFonts w:ascii="Arial" w:hAnsi="Arial"/>
                      <w:sz w:val="24"/>
                      <w:szCs w:val="24"/>
                    </w:rPr>
                    <w:t>or B</w:t>
                  </w:r>
                  <w:r w:rsidR="00690FF2" w:rsidRPr="006D0E4A">
                    <w:rPr>
                      <w:rFonts w:ascii="Arial" w:hAnsi="Arial"/>
                      <w:sz w:val="24"/>
                    </w:rPr>
                    <w:t xml:space="preserve"> cells if applicable.</w:t>
                  </w:r>
                  <w:r w:rsidR="00690FF2" w:rsidRPr="006D0E4A">
                    <w:rPr>
                      <w:rFonts w:ascii="Arial" w:hAnsi="Arial"/>
                      <w:sz w:val="24"/>
                      <w:szCs w:val="24"/>
                      <w:vertAlign w:val="superscript"/>
                    </w:rPr>
                    <w:t>9.1</w:t>
                  </w:r>
                  <w:r w:rsidR="00690FF2" w:rsidRPr="006D0E4A">
                    <w:rPr>
                      <w:rFonts w:ascii="Arial" w:hAnsi="Arial"/>
                      <w:sz w:val="24"/>
                      <w:szCs w:val="24"/>
                    </w:rPr>
                    <w:t xml:space="preserve"> See Procedural Notes 8.2</w:t>
                  </w:r>
                  <w:r w:rsidR="00AD1BF9">
                    <w:rPr>
                      <w:rFonts w:ascii="Arial" w:hAnsi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3633B" w:rsidRPr="00690FF2" w:rsidRDefault="0003633B" w:rsidP="00690FF2">
            <w:pPr>
              <w:rPr>
                <w:rFonts w:ascii="Arial" w:hAnsi="Arial"/>
                <w:sz w:val="24"/>
              </w:rPr>
            </w:pPr>
          </w:p>
        </w:tc>
      </w:tr>
      <w:tr w:rsidR="00260B87" w:rsidTr="00EB211F">
        <w:tc>
          <w:tcPr>
            <w:tcW w:w="2978" w:type="dxa"/>
          </w:tcPr>
          <w:p w:rsidR="006D0E4A" w:rsidRDefault="00690FF2" w:rsidP="00032C09">
            <w:pPr>
              <w:numPr>
                <w:ilvl w:val="1"/>
                <w:numId w:val="16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Review history</w:t>
            </w:r>
          </w:p>
          <w:p w:rsidR="00260B87" w:rsidRDefault="00260B87" w:rsidP="006D0E4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260B87" w:rsidRPr="00FB7EDA" w:rsidRDefault="00690FF2" w:rsidP="00FB7EDA">
            <w:pPr>
              <w:pStyle w:val="ListParagraph"/>
              <w:numPr>
                <w:ilvl w:val="2"/>
                <w:numId w:val="27"/>
              </w:numPr>
              <w:rPr>
                <w:rFonts w:ascii="Arial" w:hAnsi="Arial"/>
                <w:sz w:val="24"/>
              </w:rPr>
            </w:pPr>
            <w:r w:rsidRPr="00FB7EDA">
              <w:rPr>
                <w:rFonts w:ascii="Arial" w:hAnsi="Arial"/>
                <w:sz w:val="24"/>
              </w:rPr>
              <w:t xml:space="preserve">Review transfusion and pregnancy history (and drug therapy if auto control or DAT is positive). Record the history on the antigram </w:t>
            </w:r>
            <w:r w:rsidR="00F47624" w:rsidRPr="00FB7EDA">
              <w:rPr>
                <w:rFonts w:ascii="Arial" w:hAnsi="Arial"/>
                <w:sz w:val="24"/>
              </w:rPr>
              <w:t>s</w:t>
            </w:r>
            <w:r w:rsidRPr="00FB7EDA">
              <w:rPr>
                <w:rFonts w:ascii="Arial" w:hAnsi="Arial"/>
                <w:sz w:val="24"/>
              </w:rPr>
              <w:t>heet</w:t>
            </w:r>
            <w:r w:rsidR="00FB7EDA">
              <w:rPr>
                <w:rFonts w:ascii="Arial" w:hAnsi="Arial"/>
                <w:sz w:val="24"/>
              </w:rPr>
              <w:t>.</w:t>
            </w:r>
          </w:p>
          <w:p w:rsidR="00690FF2" w:rsidRDefault="00690FF2" w:rsidP="00690FF2">
            <w:pPr>
              <w:pStyle w:val="ListParagraph"/>
              <w:rPr>
                <w:rFonts w:ascii="Arial" w:hAnsi="Arial"/>
                <w:sz w:val="24"/>
              </w:rPr>
            </w:pPr>
          </w:p>
          <w:tbl>
            <w:tblPr>
              <w:tblStyle w:val="TableGrid"/>
              <w:tblpPr w:leftFromText="180" w:rightFromText="180" w:vertAnchor="text" w:horzAnchor="margin" w:tblpX="137" w:tblpY="-183"/>
              <w:tblOverlap w:val="never"/>
              <w:tblW w:w="793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961"/>
            </w:tblGrid>
            <w:tr w:rsidR="00690FF2" w:rsidTr="00AD1BF9">
              <w:tc>
                <w:tcPr>
                  <w:tcW w:w="2972" w:type="dxa"/>
                  <w:shd w:val="clear" w:color="auto" w:fill="F2F2F2" w:themeFill="background1" w:themeFillShade="F2"/>
                </w:tcPr>
                <w:p w:rsidR="00690FF2" w:rsidRPr="00AC0FBC" w:rsidRDefault="00690FF2" w:rsidP="00AC0FBC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 w:rsidRPr="00AC0FBC">
                    <w:rPr>
                      <w:rFonts w:ascii="Arial" w:hAnsi="Arial"/>
                      <w:b/>
                      <w:i/>
                      <w:sz w:val="24"/>
                    </w:rPr>
                    <w:t>If</w:t>
                  </w:r>
                </w:p>
              </w:tc>
              <w:tc>
                <w:tcPr>
                  <w:tcW w:w="4961" w:type="dxa"/>
                  <w:shd w:val="clear" w:color="auto" w:fill="F2F2F2" w:themeFill="background1" w:themeFillShade="F2"/>
                </w:tcPr>
                <w:p w:rsidR="00690FF2" w:rsidRPr="00AC0FBC" w:rsidRDefault="00AC0FBC" w:rsidP="00AC0FBC">
                  <w:pPr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sz w:val="24"/>
                    </w:rPr>
                    <w:t>t</w:t>
                  </w:r>
                  <w:r w:rsidR="00690FF2" w:rsidRPr="00AC0FBC">
                    <w:rPr>
                      <w:rFonts w:ascii="Arial" w:hAnsi="Arial"/>
                      <w:b/>
                      <w:i/>
                      <w:sz w:val="24"/>
                    </w:rPr>
                    <w:t>hen</w:t>
                  </w:r>
                </w:p>
              </w:tc>
            </w:tr>
            <w:tr w:rsidR="00690FF2" w:rsidTr="00AC0FBC">
              <w:tc>
                <w:tcPr>
                  <w:tcW w:w="2972" w:type="dxa"/>
                </w:tcPr>
                <w:p w:rsidR="00690FF2" w:rsidRDefault="00FB7EDA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he patient </w:t>
                  </w:r>
                  <w:r w:rsidR="00690FF2" w:rsidRPr="00795204">
                    <w:rPr>
                      <w:rFonts w:ascii="Arial" w:hAnsi="Arial"/>
                      <w:sz w:val="24"/>
                    </w:rPr>
                    <w:t>has not been transfused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 in the last three months</w:t>
                  </w:r>
                </w:p>
              </w:tc>
              <w:tc>
                <w:tcPr>
                  <w:tcW w:w="4961" w:type="dxa"/>
                </w:tcPr>
                <w:p w:rsidR="00690FF2" w:rsidRDefault="00FB7EDA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c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onfirm the antibody identified by phenotyping the patient cells for the corresponding antigen. The patient’s cells should type negative for the antigen to which the patient has the corresponding alloantibody. </w:t>
                  </w:r>
                </w:p>
                <w:p w:rsidR="00690FF2" w:rsidRDefault="00690FF2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See Procedural Notes 8.1</w:t>
                  </w:r>
                  <w:r w:rsidR="00AD1BF9">
                    <w:rPr>
                      <w:rFonts w:ascii="Arial" w:hAnsi="Arial"/>
                      <w:sz w:val="24"/>
                    </w:rPr>
                    <w:t>.</w:t>
                  </w:r>
                </w:p>
              </w:tc>
            </w:tr>
            <w:tr w:rsidR="00690FF2" w:rsidTr="00AC0FBC">
              <w:tc>
                <w:tcPr>
                  <w:tcW w:w="2972" w:type="dxa"/>
                </w:tcPr>
                <w:p w:rsidR="00690FF2" w:rsidRDefault="00FB7EDA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he patient </w:t>
                  </w:r>
                  <w:r w:rsidR="00690FF2" w:rsidRPr="00D31F68">
                    <w:rPr>
                      <w:rFonts w:ascii="Arial" w:hAnsi="Arial"/>
                      <w:sz w:val="24"/>
                    </w:rPr>
                    <w:t>has been transfused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 in the last three months</w:t>
                  </w:r>
                </w:p>
              </w:tc>
              <w:tc>
                <w:tcPr>
                  <w:tcW w:w="4961" w:type="dxa"/>
                </w:tcPr>
                <w:p w:rsidR="00690FF2" w:rsidRDefault="00FB7EDA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o not perform the phenotype testing on the </w:t>
                  </w:r>
                  <w:r w:rsidR="00690FF2" w:rsidRPr="00D31F68">
                    <w:rPr>
                      <w:rFonts w:ascii="Arial" w:hAnsi="Arial"/>
                      <w:sz w:val="24"/>
                    </w:rPr>
                    <w:t>current</w:t>
                  </w:r>
                  <w:r w:rsidR="00690FF2">
                    <w:rPr>
                      <w:rFonts w:ascii="Arial" w:hAnsi="Arial"/>
                      <w:sz w:val="24"/>
                    </w:rPr>
                    <w:t xml:space="preserve"> specimen. Phenotype testing should only be done if a pre-transfusion specimen is available</w:t>
                  </w:r>
                  <w:r w:rsidR="00AD1BF9">
                    <w:rPr>
                      <w:rFonts w:ascii="Arial" w:hAnsi="Arial"/>
                      <w:sz w:val="24"/>
                    </w:rPr>
                    <w:t>.</w:t>
                  </w:r>
                </w:p>
              </w:tc>
            </w:tr>
            <w:tr w:rsidR="00690FF2" w:rsidTr="00AC0FBC">
              <w:tc>
                <w:tcPr>
                  <w:tcW w:w="2972" w:type="dxa"/>
                </w:tcPr>
                <w:p w:rsidR="00690FF2" w:rsidRDefault="00FB7EDA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t</w:t>
                  </w:r>
                  <w:r w:rsidR="00690FF2">
                    <w:rPr>
                      <w:rFonts w:ascii="Arial" w:hAnsi="Arial"/>
                      <w:sz w:val="24"/>
                    </w:rPr>
                    <w:t>he specificity of the antibody is not considered clinically significant</w:t>
                  </w:r>
                </w:p>
              </w:tc>
              <w:tc>
                <w:tcPr>
                  <w:tcW w:w="4961" w:type="dxa"/>
                </w:tcPr>
                <w:p w:rsidR="00690FF2" w:rsidRDefault="00690FF2" w:rsidP="00690FF2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antigen typing of the patient’s cells or donor units is not required</w:t>
                  </w:r>
                  <w:r w:rsidR="00AD1BF9">
                    <w:rPr>
                      <w:rFonts w:ascii="Arial" w:hAnsi="Arial"/>
                      <w:sz w:val="24"/>
                    </w:rPr>
                    <w:t>.</w:t>
                  </w:r>
                </w:p>
              </w:tc>
            </w:tr>
          </w:tbl>
          <w:p w:rsidR="00690FF2" w:rsidRDefault="00690FF2" w:rsidP="00690FF2">
            <w:pPr>
              <w:pStyle w:val="ListParagraph"/>
              <w:rPr>
                <w:rFonts w:ascii="Arial" w:hAnsi="Arial"/>
                <w:sz w:val="24"/>
              </w:rPr>
            </w:pPr>
          </w:p>
        </w:tc>
      </w:tr>
      <w:tr w:rsidR="00260B87" w:rsidTr="00EB211F">
        <w:tc>
          <w:tcPr>
            <w:tcW w:w="2978" w:type="dxa"/>
          </w:tcPr>
          <w:p w:rsidR="00260B87" w:rsidRDefault="00690FF2" w:rsidP="00032C09">
            <w:pPr>
              <w:numPr>
                <w:ilvl w:val="1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Report Results</w:t>
            </w:r>
          </w:p>
        </w:tc>
        <w:tc>
          <w:tcPr>
            <w:tcW w:w="7972" w:type="dxa"/>
            <w:gridSpan w:val="2"/>
          </w:tcPr>
          <w:p w:rsidR="00260B87" w:rsidRDefault="00690FF2" w:rsidP="00032C09">
            <w:pPr>
              <w:pStyle w:val="ListParagraph"/>
              <w:numPr>
                <w:ilvl w:val="2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Report the result of the a</w:t>
            </w:r>
            <w:r w:rsidR="00FB7EDA">
              <w:rPr>
                <w:rFonts w:ascii="Arial" w:hAnsi="Arial"/>
                <w:sz w:val="24"/>
              </w:rPr>
              <w:t>ntibody identification. See</w:t>
            </w:r>
            <w:r>
              <w:rPr>
                <w:rFonts w:ascii="Arial" w:hAnsi="Arial"/>
                <w:sz w:val="24"/>
              </w:rPr>
              <w:t xml:space="preserve"> 7.0 – Reporting.</w:t>
            </w:r>
          </w:p>
        </w:tc>
      </w:tr>
      <w:tr w:rsidR="00F47624" w:rsidTr="00F47624">
        <w:trPr>
          <w:trHeight w:val="855"/>
        </w:trPr>
        <w:tc>
          <w:tcPr>
            <w:tcW w:w="2978" w:type="dxa"/>
            <w:vMerge w:val="restart"/>
          </w:tcPr>
          <w:p w:rsidR="00F47624" w:rsidRDefault="00F47624" w:rsidP="00032C09">
            <w:pPr>
              <w:numPr>
                <w:ilvl w:val="1"/>
                <w:numId w:val="17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Cross</w:t>
            </w:r>
          </w:p>
          <w:p w:rsidR="00F47624" w:rsidRDefault="00F47624" w:rsidP="00032C09">
            <w:pPr>
              <w:ind w:left="52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Matching </w:t>
            </w:r>
          </w:p>
          <w:p w:rsidR="00F47624" w:rsidRDefault="00F47624" w:rsidP="001A0D08">
            <w:pPr>
              <w:ind w:left="720"/>
              <w:rPr>
                <w:rFonts w:ascii="Arial" w:hAnsi="Arial"/>
                <w:sz w:val="24"/>
              </w:rPr>
            </w:pPr>
          </w:p>
          <w:p w:rsidR="00F47624" w:rsidRDefault="00F47624" w:rsidP="001A0D08">
            <w:pPr>
              <w:ind w:left="720"/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F47624" w:rsidRPr="00690FF2" w:rsidRDefault="00F47624" w:rsidP="00032C09">
            <w:pPr>
              <w:pStyle w:val="ListParagraph"/>
              <w:numPr>
                <w:ilvl w:val="0"/>
                <w:numId w:val="18"/>
              </w:numPr>
              <w:ind w:left="703" w:hanging="709"/>
              <w:rPr>
                <w:rFonts w:ascii="Arial" w:hAnsi="Arial"/>
                <w:sz w:val="24"/>
              </w:rPr>
            </w:pPr>
            <w:r w:rsidRPr="00690FF2">
              <w:rPr>
                <w:rFonts w:ascii="Arial" w:hAnsi="Arial"/>
                <w:sz w:val="24"/>
              </w:rPr>
              <w:t>Donor units should be crossmatched using an antiglobulin test; donor units that are compatible may be transfused. A prewarm technique may be useful to obtain compatible donor units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F47624" w:rsidTr="00F47624">
        <w:trPr>
          <w:trHeight w:val="570"/>
        </w:trPr>
        <w:tc>
          <w:tcPr>
            <w:tcW w:w="2978" w:type="dxa"/>
            <w:vMerge/>
          </w:tcPr>
          <w:p w:rsidR="00F47624" w:rsidRDefault="00F47624" w:rsidP="00032C09">
            <w:pPr>
              <w:numPr>
                <w:ilvl w:val="1"/>
                <w:numId w:val="17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F47624" w:rsidRPr="00690FF2" w:rsidRDefault="00F47624" w:rsidP="00032C09">
            <w:pPr>
              <w:pStyle w:val="ListParagraph"/>
              <w:numPr>
                <w:ilvl w:val="0"/>
                <w:numId w:val="18"/>
              </w:numPr>
              <w:ind w:left="703" w:hanging="709"/>
              <w:rPr>
                <w:rFonts w:ascii="Arial" w:hAnsi="Arial"/>
                <w:sz w:val="24"/>
              </w:rPr>
            </w:pPr>
            <w:r w:rsidRPr="00690FF2">
              <w:rPr>
                <w:rFonts w:ascii="Arial" w:hAnsi="Arial"/>
                <w:sz w:val="24"/>
              </w:rPr>
              <w:t>If crossmatch compatible donor units cannot be found by prewarm technique, antigen negative blood should be crossmatched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F47624" w:rsidTr="00EB211F">
        <w:trPr>
          <w:trHeight w:val="795"/>
        </w:trPr>
        <w:tc>
          <w:tcPr>
            <w:tcW w:w="2978" w:type="dxa"/>
            <w:vMerge/>
          </w:tcPr>
          <w:p w:rsidR="00F47624" w:rsidRDefault="00F47624" w:rsidP="00032C09">
            <w:pPr>
              <w:numPr>
                <w:ilvl w:val="1"/>
                <w:numId w:val="17"/>
              </w:numPr>
              <w:rPr>
                <w:rFonts w:ascii="Arial" w:hAnsi="Arial"/>
                <w:sz w:val="24"/>
              </w:rPr>
            </w:pPr>
          </w:p>
        </w:tc>
        <w:tc>
          <w:tcPr>
            <w:tcW w:w="7972" w:type="dxa"/>
            <w:gridSpan w:val="2"/>
          </w:tcPr>
          <w:p w:rsidR="00F47624" w:rsidRPr="00690FF2" w:rsidRDefault="00F47624" w:rsidP="00032C09">
            <w:pPr>
              <w:pStyle w:val="ListParagraph"/>
              <w:numPr>
                <w:ilvl w:val="0"/>
                <w:numId w:val="18"/>
              </w:numPr>
              <w:ind w:left="703" w:hanging="709"/>
              <w:rPr>
                <w:rFonts w:ascii="Arial" w:hAnsi="Arial"/>
                <w:sz w:val="24"/>
              </w:rPr>
            </w:pPr>
            <w:r w:rsidRPr="00690FF2">
              <w:rPr>
                <w:rFonts w:ascii="Arial" w:hAnsi="Arial"/>
                <w:sz w:val="24"/>
              </w:rPr>
              <w:t>Example of clinically insignificant cold/reactive antibodies: anti-HI, anti-P</w:t>
            </w:r>
            <w:r w:rsidRPr="00690FF2">
              <w:rPr>
                <w:rFonts w:ascii="Arial" w:hAnsi="Arial"/>
                <w:sz w:val="24"/>
                <w:vertAlign w:val="subscript"/>
              </w:rPr>
              <w:t>1</w:t>
            </w:r>
            <w:r w:rsidRPr="00690FF2">
              <w:rPr>
                <w:rFonts w:ascii="Arial" w:hAnsi="Arial"/>
                <w:sz w:val="24"/>
              </w:rPr>
              <w:t>, anti-Le</w:t>
            </w:r>
            <w:r w:rsidRPr="00690FF2">
              <w:rPr>
                <w:rFonts w:ascii="Arial" w:hAnsi="Arial"/>
                <w:sz w:val="24"/>
                <w:vertAlign w:val="superscript"/>
              </w:rPr>
              <w:t>a</w:t>
            </w:r>
            <w:r w:rsidRPr="00690FF2">
              <w:rPr>
                <w:rFonts w:ascii="Arial" w:hAnsi="Arial"/>
                <w:sz w:val="24"/>
              </w:rPr>
              <w:t>, anti-M, anti-N, anti-Lu</w:t>
            </w:r>
            <w:r w:rsidRPr="00690FF2">
              <w:rPr>
                <w:rFonts w:ascii="Arial" w:hAnsi="Arial"/>
                <w:sz w:val="24"/>
                <w:vertAlign w:val="superscript"/>
              </w:rPr>
              <w:t>a</w:t>
            </w:r>
            <w:r w:rsidRPr="00690FF2">
              <w:rPr>
                <w:rFonts w:ascii="Arial" w:hAnsi="Arial"/>
                <w:sz w:val="24"/>
              </w:rPr>
              <w:t>, anti-Bg, anti-Sd</w:t>
            </w:r>
            <w:r w:rsidRPr="00690FF2">
              <w:rPr>
                <w:rFonts w:ascii="Arial" w:hAnsi="Arial"/>
                <w:sz w:val="24"/>
                <w:vertAlign w:val="superscript"/>
              </w:rPr>
              <w:t>a</w:t>
            </w:r>
            <w:r w:rsidRPr="00690FF2">
              <w:rPr>
                <w:rFonts w:ascii="Arial" w:hAnsi="Arial"/>
                <w:sz w:val="24"/>
              </w:rPr>
              <w:t>, most examples of anti-Le</w:t>
            </w:r>
            <w:r w:rsidRPr="00690FF2">
              <w:rPr>
                <w:rFonts w:ascii="Arial" w:hAnsi="Arial"/>
                <w:sz w:val="24"/>
                <w:vertAlign w:val="superscript"/>
              </w:rPr>
              <w:t>b</w:t>
            </w:r>
            <w:r w:rsidRPr="00690FF2">
              <w:rPr>
                <w:rFonts w:ascii="Arial" w:hAnsi="Arial"/>
                <w:sz w:val="24"/>
              </w:rPr>
              <w:t xml:space="preserve"> and anti-A</w:t>
            </w:r>
            <w:r w:rsidRPr="00690FF2">
              <w:rPr>
                <w:rFonts w:ascii="Arial" w:hAnsi="Arial"/>
                <w:sz w:val="24"/>
                <w:vertAlign w:val="subscript"/>
              </w:rPr>
              <w:t>1</w:t>
            </w:r>
            <w:r w:rsidRPr="00690FF2">
              <w:rPr>
                <w:rFonts w:ascii="Arial" w:hAnsi="Arial"/>
                <w:sz w:val="24"/>
              </w:rPr>
              <w:t>.</w:t>
            </w:r>
          </w:p>
        </w:tc>
      </w:tr>
      <w:tr w:rsidR="00F47624" w:rsidTr="00AD1BF9">
        <w:trPr>
          <w:trHeight w:val="495"/>
        </w:trPr>
        <w:tc>
          <w:tcPr>
            <w:tcW w:w="2978" w:type="dxa"/>
            <w:vMerge w:val="restart"/>
          </w:tcPr>
          <w:p w:rsidR="00F47624" w:rsidRDefault="00F47624" w:rsidP="00032C09">
            <w:pPr>
              <w:pStyle w:val="ListParagraph"/>
              <w:numPr>
                <w:ilvl w:val="1"/>
                <w:numId w:val="17"/>
              </w:numPr>
              <w:rPr>
                <w:rFonts w:ascii="Arial" w:hAnsi="Arial"/>
                <w:sz w:val="24"/>
              </w:rPr>
            </w:pPr>
            <w:r w:rsidRPr="00041D1D">
              <w:rPr>
                <w:rFonts w:ascii="Arial" w:eastAsia="Calibri" w:hAnsi="Arial"/>
                <w:sz w:val="24"/>
                <w:szCs w:val="22"/>
              </w:rPr>
              <w:t xml:space="preserve">Perform </w:t>
            </w:r>
            <w:r w:rsidRPr="00041D1D">
              <w:rPr>
                <w:rFonts w:ascii="Arial" w:eastAsia="Calibri" w:hAnsi="Arial"/>
                <w:sz w:val="24"/>
                <w:szCs w:val="22"/>
                <w:lang w:val="en-CA"/>
              </w:rPr>
              <w:t>a clerical check.</w:t>
            </w:r>
          </w:p>
        </w:tc>
        <w:tc>
          <w:tcPr>
            <w:tcW w:w="7972" w:type="dxa"/>
            <w:gridSpan w:val="2"/>
          </w:tcPr>
          <w:p w:rsidR="00F47624" w:rsidRPr="00F47624" w:rsidRDefault="00F47624" w:rsidP="00F47624">
            <w:pPr>
              <w:pStyle w:val="ListParagraph"/>
              <w:numPr>
                <w:ilvl w:val="2"/>
                <w:numId w:val="26"/>
              </w:numPr>
              <w:rPr>
                <w:rFonts w:ascii="Arial" w:hAnsi="Arial"/>
                <w:sz w:val="24"/>
              </w:rPr>
            </w:pPr>
            <w:r w:rsidRPr="00F47624">
              <w:rPr>
                <w:rFonts w:ascii="Arial" w:hAnsi="Arial"/>
                <w:sz w:val="24"/>
              </w:rPr>
              <w:t>Complete the following checklist to ensure all areas have been completed: See Form NRT.006F</w:t>
            </w:r>
            <w:r w:rsidR="00AD1BF9">
              <w:rPr>
                <w:rFonts w:ascii="Arial" w:hAnsi="Arial"/>
                <w:sz w:val="24"/>
              </w:rPr>
              <w:t>.</w:t>
            </w:r>
          </w:p>
        </w:tc>
      </w:tr>
      <w:tr w:rsidR="00AD1BF9" w:rsidTr="00F47624">
        <w:trPr>
          <w:trHeight w:val="600"/>
        </w:trPr>
        <w:tc>
          <w:tcPr>
            <w:tcW w:w="2978" w:type="dxa"/>
            <w:vMerge/>
          </w:tcPr>
          <w:p w:rsidR="00AD1BF9" w:rsidRPr="00041D1D" w:rsidRDefault="00AD1BF9" w:rsidP="00032C09">
            <w:pPr>
              <w:pStyle w:val="ListParagraph"/>
              <w:numPr>
                <w:ilvl w:val="1"/>
                <w:numId w:val="17"/>
              </w:num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972" w:type="dxa"/>
            <w:gridSpan w:val="2"/>
          </w:tcPr>
          <w:p w:rsidR="00AD1BF9" w:rsidRPr="00F47624" w:rsidRDefault="00AD1BF9" w:rsidP="00F47624">
            <w:pPr>
              <w:pStyle w:val="ListParagraph"/>
              <w:numPr>
                <w:ilvl w:val="2"/>
                <w:numId w:val="26"/>
              </w:numPr>
              <w:rPr>
                <w:rFonts w:ascii="Arial" w:hAnsi="Arial"/>
                <w:sz w:val="24"/>
              </w:rPr>
            </w:pPr>
            <w:r w:rsidRPr="00F47624">
              <w:rPr>
                <w:rFonts w:ascii="Arial" w:hAnsi="Arial"/>
                <w:sz w:val="24"/>
              </w:rPr>
              <w:t>Prepare an “antibody file” or card (for internal files) if it is considered clinically significant.</w:t>
            </w:r>
          </w:p>
        </w:tc>
      </w:tr>
      <w:tr w:rsidR="00F47624" w:rsidTr="00F47624">
        <w:trPr>
          <w:trHeight w:val="450"/>
        </w:trPr>
        <w:tc>
          <w:tcPr>
            <w:tcW w:w="2978" w:type="dxa"/>
            <w:vMerge/>
          </w:tcPr>
          <w:p w:rsidR="00F47624" w:rsidRPr="00041D1D" w:rsidRDefault="00F47624" w:rsidP="00032C09">
            <w:pPr>
              <w:pStyle w:val="ListParagraph"/>
              <w:numPr>
                <w:ilvl w:val="1"/>
                <w:numId w:val="17"/>
              </w:num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972" w:type="dxa"/>
            <w:gridSpan w:val="2"/>
          </w:tcPr>
          <w:p w:rsidR="00F47624" w:rsidRPr="00F47624" w:rsidRDefault="00F47624" w:rsidP="00AD1BF9">
            <w:pPr>
              <w:pStyle w:val="ListParagraph"/>
              <w:numPr>
                <w:ilvl w:val="2"/>
                <w:numId w:val="26"/>
              </w:numPr>
              <w:rPr>
                <w:rFonts w:ascii="Arial" w:hAnsi="Arial"/>
                <w:sz w:val="24"/>
              </w:rPr>
            </w:pPr>
            <w:r w:rsidRPr="00F47624">
              <w:rPr>
                <w:rFonts w:ascii="Arial" w:hAnsi="Arial"/>
                <w:sz w:val="24"/>
              </w:rPr>
              <w:t>Keep al</w:t>
            </w:r>
            <w:r>
              <w:rPr>
                <w:rFonts w:ascii="Arial" w:hAnsi="Arial"/>
                <w:sz w:val="24"/>
              </w:rPr>
              <w:t>l worksheets (i.e. antigram,</w:t>
            </w:r>
            <w:r w:rsidRPr="00F47624">
              <w:rPr>
                <w:rFonts w:ascii="Arial" w:hAnsi="Arial"/>
                <w:sz w:val="24"/>
              </w:rPr>
              <w:t xml:space="preserve"> phenotype sheets, etc.) as required by provincial regulations.</w:t>
            </w:r>
          </w:p>
        </w:tc>
      </w:tr>
      <w:tr w:rsidR="00F47624" w:rsidTr="00F47624">
        <w:trPr>
          <w:trHeight w:val="437"/>
        </w:trPr>
        <w:tc>
          <w:tcPr>
            <w:tcW w:w="2978" w:type="dxa"/>
            <w:vMerge/>
          </w:tcPr>
          <w:p w:rsidR="00F47624" w:rsidRPr="00041D1D" w:rsidRDefault="00F47624" w:rsidP="00032C09">
            <w:pPr>
              <w:pStyle w:val="ListParagraph"/>
              <w:numPr>
                <w:ilvl w:val="1"/>
                <w:numId w:val="17"/>
              </w:numPr>
              <w:rPr>
                <w:rFonts w:ascii="Arial" w:eastAsia="Calibri" w:hAnsi="Arial"/>
                <w:sz w:val="24"/>
                <w:szCs w:val="22"/>
              </w:rPr>
            </w:pPr>
          </w:p>
        </w:tc>
        <w:tc>
          <w:tcPr>
            <w:tcW w:w="7972" w:type="dxa"/>
            <w:gridSpan w:val="2"/>
          </w:tcPr>
          <w:p w:rsidR="00F47624" w:rsidRPr="00F47624" w:rsidRDefault="00F47624" w:rsidP="00F47624">
            <w:pPr>
              <w:pStyle w:val="ListParagraph"/>
              <w:numPr>
                <w:ilvl w:val="2"/>
                <w:numId w:val="26"/>
              </w:numPr>
              <w:rPr>
                <w:rFonts w:ascii="Arial" w:hAnsi="Arial"/>
                <w:sz w:val="24"/>
              </w:rPr>
            </w:pPr>
            <w:r w:rsidRPr="00F47624">
              <w:rPr>
                <w:rFonts w:ascii="Arial" w:hAnsi="Arial"/>
                <w:sz w:val="24"/>
              </w:rPr>
              <w:t>Report the antibody on the request form or in the computer.</w:t>
            </w:r>
          </w:p>
        </w:tc>
      </w:tr>
    </w:tbl>
    <w:p w:rsidR="007D3413" w:rsidRDefault="007D3413">
      <w:pPr>
        <w:rPr>
          <w:rFonts w:ascii="Arial" w:hAnsi="Arial"/>
          <w:b/>
          <w:sz w:val="28"/>
        </w:rPr>
      </w:pPr>
    </w:p>
    <w:p w:rsidR="007D3413" w:rsidRPr="007A180F" w:rsidRDefault="007D3413" w:rsidP="007A180F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 w:rsidRPr="007A180F">
        <w:rPr>
          <w:rFonts w:ascii="Arial" w:hAnsi="Arial"/>
          <w:b/>
          <w:sz w:val="28"/>
        </w:rPr>
        <w:t>Reporting</w:t>
      </w:r>
    </w:p>
    <w:p w:rsidR="007D3413" w:rsidRDefault="007D3413">
      <w:pPr>
        <w:rPr>
          <w:rFonts w:ascii="Arial" w:hAnsi="Arial"/>
          <w:sz w:val="24"/>
        </w:rPr>
      </w:pPr>
    </w:p>
    <w:p w:rsidR="007D3413" w:rsidRDefault="007D3413" w:rsidP="00AD1BF9">
      <w:pPr>
        <w:numPr>
          <w:ilvl w:val="1"/>
          <w:numId w:val="1"/>
        </w:numPr>
        <w:tabs>
          <w:tab w:val="clear" w:pos="1146"/>
          <w:tab w:val="num" w:pos="1440"/>
        </w:tabs>
        <w:ind w:left="1440"/>
        <w:rPr>
          <w:rFonts w:ascii="Arial" w:hAnsi="Arial"/>
          <w:sz w:val="24"/>
        </w:rPr>
      </w:pPr>
      <w:r w:rsidRPr="00753B4F">
        <w:rPr>
          <w:rFonts w:ascii="Arial" w:hAnsi="Arial"/>
          <w:sz w:val="24"/>
        </w:rPr>
        <w:t>For all antibody(ies) report</w:t>
      </w:r>
      <w:r w:rsidR="00D31F68" w:rsidRPr="00753B4F">
        <w:rPr>
          <w:rFonts w:ascii="Arial" w:hAnsi="Arial"/>
          <w:sz w:val="24"/>
        </w:rPr>
        <w:t xml:space="preserve"> the name of the antibody(ies) identified</w:t>
      </w:r>
      <w:r w:rsidR="00F15CD6">
        <w:rPr>
          <w:rFonts w:ascii="Arial" w:hAnsi="Arial"/>
          <w:sz w:val="24"/>
        </w:rPr>
        <w:t xml:space="preserve"> and indicate if it is or is not considered clinically significant</w:t>
      </w:r>
      <w:r w:rsidR="00D31F68" w:rsidRPr="00753B4F">
        <w:rPr>
          <w:rFonts w:ascii="Arial" w:hAnsi="Arial"/>
          <w:sz w:val="24"/>
        </w:rPr>
        <w:t xml:space="preserve">. </w:t>
      </w:r>
    </w:p>
    <w:p w:rsidR="007D3413" w:rsidRDefault="00260B87" w:rsidP="00260B87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7D3413" w:rsidRPr="007A180F" w:rsidRDefault="007D3413" w:rsidP="00AD1BF9">
      <w:pPr>
        <w:pStyle w:val="ListParagraph"/>
        <w:numPr>
          <w:ilvl w:val="1"/>
          <w:numId w:val="7"/>
        </w:numPr>
        <w:ind w:left="720" w:hanging="720"/>
        <w:rPr>
          <w:rFonts w:ascii="Arial" w:hAnsi="Arial"/>
          <w:b/>
          <w:sz w:val="28"/>
        </w:rPr>
      </w:pPr>
      <w:r w:rsidRPr="007A180F">
        <w:rPr>
          <w:rFonts w:ascii="Arial" w:hAnsi="Arial"/>
          <w:b/>
          <w:sz w:val="28"/>
        </w:rPr>
        <w:t>Procedural Notes</w:t>
      </w:r>
    </w:p>
    <w:p w:rsidR="007D3413" w:rsidRDefault="007D3413">
      <w:pPr>
        <w:rPr>
          <w:rFonts w:ascii="Arial" w:hAnsi="Arial"/>
          <w:sz w:val="24"/>
        </w:rPr>
      </w:pPr>
    </w:p>
    <w:p w:rsidR="00CA655A" w:rsidRDefault="00F15CD6" w:rsidP="00AD1BF9">
      <w:pPr>
        <w:pStyle w:val="ListParagraph"/>
        <w:numPr>
          <w:ilvl w:val="1"/>
          <w:numId w:val="7"/>
        </w:numPr>
        <w:ind w:left="1440" w:hanging="708"/>
        <w:rPr>
          <w:rFonts w:ascii="Arial" w:hAnsi="Arial"/>
          <w:sz w:val="24"/>
        </w:rPr>
      </w:pPr>
      <w:r w:rsidRPr="007B6FD4">
        <w:rPr>
          <w:rFonts w:ascii="Arial" w:hAnsi="Arial"/>
          <w:sz w:val="24"/>
        </w:rPr>
        <w:t xml:space="preserve">It is not necessary to antigen type the patient if the antibody is not considered to be clinically significant. </w:t>
      </w:r>
    </w:p>
    <w:p w:rsidR="00F47624" w:rsidRPr="00F47624" w:rsidRDefault="00F47624" w:rsidP="00F47624">
      <w:pPr>
        <w:pStyle w:val="ListParagraph"/>
        <w:rPr>
          <w:rFonts w:ascii="Arial" w:hAnsi="Arial"/>
          <w:sz w:val="24"/>
        </w:rPr>
      </w:pPr>
    </w:p>
    <w:p w:rsidR="00F47624" w:rsidRDefault="007D3413" w:rsidP="00AD1BF9">
      <w:pPr>
        <w:pStyle w:val="ListParagraph"/>
        <w:numPr>
          <w:ilvl w:val="2"/>
          <w:numId w:val="7"/>
        </w:numPr>
        <w:ind w:left="2160"/>
        <w:rPr>
          <w:rFonts w:ascii="Arial" w:hAnsi="Arial"/>
          <w:sz w:val="24"/>
        </w:rPr>
      </w:pPr>
      <w:r w:rsidRPr="00F47624">
        <w:rPr>
          <w:rFonts w:ascii="Arial" w:hAnsi="Arial"/>
          <w:sz w:val="24"/>
        </w:rPr>
        <w:t>Some facilities choose to phenotype for the corresponding and antithetical antigens</w:t>
      </w:r>
      <w:r w:rsidR="00CA655A" w:rsidRPr="00F47624">
        <w:rPr>
          <w:rFonts w:ascii="Arial" w:hAnsi="Arial"/>
          <w:sz w:val="24"/>
        </w:rPr>
        <w:t xml:space="preserve"> if the antibody is considered clinically significant</w:t>
      </w:r>
      <w:r w:rsidRPr="00F47624">
        <w:rPr>
          <w:rFonts w:ascii="Arial" w:hAnsi="Arial"/>
          <w:sz w:val="24"/>
        </w:rPr>
        <w:t>. Although desirable in some circumstances (patient will be chronically transfused), it is not necessary for antibody identification. See NRT.009 – Antigen Typing – Direct and Indirect Agglutination.</w:t>
      </w:r>
    </w:p>
    <w:p w:rsidR="00F47624" w:rsidRDefault="00F47624" w:rsidP="00F47624">
      <w:pPr>
        <w:pStyle w:val="ListParagraph"/>
        <w:ind w:left="2422"/>
        <w:rPr>
          <w:rFonts w:ascii="Arial" w:hAnsi="Arial"/>
          <w:sz w:val="24"/>
        </w:rPr>
      </w:pPr>
    </w:p>
    <w:p w:rsidR="007D3413" w:rsidRPr="00F47624" w:rsidRDefault="007D3413" w:rsidP="00AD1BF9">
      <w:pPr>
        <w:pStyle w:val="ListParagraph"/>
        <w:numPr>
          <w:ilvl w:val="2"/>
          <w:numId w:val="7"/>
        </w:numPr>
        <w:ind w:left="2160"/>
        <w:rPr>
          <w:rFonts w:ascii="Arial" w:hAnsi="Arial"/>
          <w:sz w:val="24"/>
        </w:rPr>
      </w:pPr>
      <w:r w:rsidRPr="00F47624">
        <w:rPr>
          <w:rFonts w:ascii="Arial" w:hAnsi="Arial"/>
          <w:sz w:val="24"/>
        </w:rPr>
        <w:t>Phenotyping for Le</w:t>
      </w:r>
      <w:r w:rsidRPr="00F47624">
        <w:rPr>
          <w:rFonts w:ascii="Arial" w:hAnsi="Arial"/>
          <w:sz w:val="24"/>
          <w:vertAlign w:val="superscript"/>
        </w:rPr>
        <w:t>a</w:t>
      </w:r>
      <w:r w:rsidRPr="00F47624">
        <w:rPr>
          <w:rFonts w:ascii="Arial" w:hAnsi="Arial"/>
          <w:sz w:val="24"/>
        </w:rPr>
        <w:t xml:space="preserve"> and Le</w:t>
      </w:r>
      <w:r w:rsidRPr="00F47624">
        <w:rPr>
          <w:rFonts w:ascii="Arial" w:hAnsi="Arial"/>
          <w:sz w:val="24"/>
          <w:vertAlign w:val="superscript"/>
        </w:rPr>
        <w:t>b</w:t>
      </w:r>
      <w:r w:rsidRPr="00F47624">
        <w:rPr>
          <w:rFonts w:ascii="Arial" w:hAnsi="Arial"/>
          <w:sz w:val="24"/>
        </w:rPr>
        <w:t xml:space="preserve"> antigens may be performed if either an anti-Le</w:t>
      </w:r>
      <w:r w:rsidRPr="00F47624">
        <w:rPr>
          <w:rFonts w:ascii="Arial" w:hAnsi="Arial"/>
          <w:sz w:val="24"/>
          <w:vertAlign w:val="superscript"/>
        </w:rPr>
        <w:t>a</w:t>
      </w:r>
      <w:r w:rsidRPr="00F47624">
        <w:rPr>
          <w:rFonts w:ascii="Arial" w:hAnsi="Arial"/>
          <w:sz w:val="24"/>
        </w:rPr>
        <w:t xml:space="preserve"> or anti-Le</w:t>
      </w:r>
      <w:r w:rsidRPr="00F47624">
        <w:rPr>
          <w:rFonts w:ascii="Arial" w:hAnsi="Arial"/>
          <w:sz w:val="24"/>
          <w:vertAlign w:val="superscript"/>
        </w:rPr>
        <w:t>b</w:t>
      </w:r>
      <w:r w:rsidRPr="00F47624">
        <w:rPr>
          <w:rFonts w:ascii="Arial" w:hAnsi="Arial"/>
          <w:sz w:val="24"/>
        </w:rPr>
        <w:t xml:space="preserve"> have been identified. Patients with one Lewis system antibody will type as Le (a-b-) except when the patient is pregnant. Lewis antigen typing is not reported during pregnancy due to weakened or missing expression.</w:t>
      </w:r>
    </w:p>
    <w:p w:rsidR="00F15CD6" w:rsidRDefault="00F15CD6" w:rsidP="00F15CD6">
      <w:pPr>
        <w:ind w:left="1418"/>
        <w:rPr>
          <w:rFonts w:ascii="Arial" w:hAnsi="Arial"/>
          <w:sz w:val="24"/>
        </w:rPr>
      </w:pPr>
    </w:p>
    <w:p w:rsidR="00D97690" w:rsidRPr="00F47624" w:rsidRDefault="00D97690" w:rsidP="00AD1BF9">
      <w:pPr>
        <w:pStyle w:val="ListParagraph"/>
        <w:numPr>
          <w:ilvl w:val="1"/>
          <w:numId w:val="7"/>
        </w:numPr>
        <w:ind w:left="1440" w:hanging="708"/>
        <w:rPr>
          <w:rFonts w:ascii="Arial" w:hAnsi="Arial"/>
          <w:sz w:val="24"/>
        </w:rPr>
      </w:pPr>
      <w:r w:rsidRPr="00F47624">
        <w:rPr>
          <w:rFonts w:ascii="Arial" w:hAnsi="Arial"/>
          <w:sz w:val="24"/>
        </w:rPr>
        <w:t xml:space="preserve">If all cells are reactive (equal strength), including the auto control, the </w:t>
      </w:r>
      <w:r w:rsidR="00CA655A" w:rsidRPr="00F47624">
        <w:rPr>
          <w:rFonts w:ascii="Arial" w:hAnsi="Arial"/>
          <w:sz w:val="24"/>
        </w:rPr>
        <w:t>specificity could be anti-Pr. E</w:t>
      </w:r>
      <w:r w:rsidRPr="00F47624">
        <w:rPr>
          <w:rFonts w:ascii="Arial" w:hAnsi="Arial"/>
          <w:sz w:val="24"/>
        </w:rPr>
        <w:t xml:space="preserve">nzyme treated cells should be non-reactive if anti-Pr is present. </w:t>
      </w:r>
      <w:r w:rsidRPr="00F47624">
        <w:rPr>
          <w:rFonts w:ascii="Arial" w:hAnsi="Arial"/>
          <w:sz w:val="24"/>
          <w:vertAlign w:val="superscript"/>
        </w:rPr>
        <w:t>9.1</w:t>
      </w:r>
    </w:p>
    <w:p w:rsidR="007D3413" w:rsidRDefault="007D3413">
      <w:pPr>
        <w:ind w:left="1440"/>
        <w:rPr>
          <w:rFonts w:ascii="Arial" w:hAnsi="Arial"/>
          <w:sz w:val="24"/>
        </w:rPr>
      </w:pPr>
    </w:p>
    <w:p w:rsidR="007D3413" w:rsidRPr="007A180F" w:rsidRDefault="007A180F" w:rsidP="007A180F">
      <w:pPr>
        <w:pStyle w:val="ListParagraph"/>
        <w:numPr>
          <w:ilvl w:val="0"/>
          <w:numId w:val="2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</w:t>
      </w:r>
      <w:r w:rsidR="007D3413" w:rsidRPr="007A180F">
        <w:rPr>
          <w:rFonts w:ascii="Arial" w:hAnsi="Arial"/>
          <w:b/>
          <w:sz w:val="28"/>
        </w:rPr>
        <w:t>eferences</w:t>
      </w:r>
    </w:p>
    <w:p w:rsidR="007D3413" w:rsidRDefault="007D3413">
      <w:pPr>
        <w:rPr>
          <w:rFonts w:ascii="Arial" w:hAnsi="Arial"/>
          <w:sz w:val="24"/>
        </w:rPr>
      </w:pPr>
    </w:p>
    <w:p w:rsidR="007D3413" w:rsidRPr="007A180F" w:rsidRDefault="00D31F68" w:rsidP="007A180F">
      <w:pPr>
        <w:pStyle w:val="ListParagraph"/>
        <w:numPr>
          <w:ilvl w:val="1"/>
          <w:numId w:val="21"/>
        </w:numPr>
        <w:rPr>
          <w:rFonts w:ascii="Arial" w:hAnsi="Arial"/>
          <w:sz w:val="24"/>
        </w:rPr>
      </w:pPr>
      <w:r w:rsidRPr="007A180F">
        <w:rPr>
          <w:rFonts w:ascii="Arial" w:hAnsi="Arial"/>
          <w:sz w:val="24"/>
        </w:rPr>
        <w:t xml:space="preserve">Roback JD, ed. </w:t>
      </w:r>
      <w:r w:rsidR="00753B4F" w:rsidRPr="007A180F">
        <w:rPr>
          <w:rFonts w:ascii="Arial" w:hAnsi="Arial"/>
          <w:sz w:val="24"/>
        </w:rPr>
        <w:t xml:space="preserve">AABB </w:t>
      </w:r>
      <w:r w:rsidRPr="007A180F">
        <w:rPr>
          <w:rFonts w:ascii="Arial" w:hAnsi="Arial"/>
          <w:sz w:val="24"/>
        </w:rPr>
        <w:t>Technical Manual, 1</w:t>
      </w:r>
      <w:r w:rsidR="00753B4F" w:rsidRPr="007A180F">
        <w:rPr>
          <w:rFonts w:ascii="Arial" w:hAnsi="Arial"/>
          <w:sz w:val="24"/>
        </w:rPr>
        <w:t>7</w:t>
      </w:r>
      <w:r w:rsidRPr="007A180F">
        <w:rPr>
          <w:rFonts w:ascii="Arial" w:hAnsi="Arial"/>
          <w:sz w:val="24"/>
          <w:vertAlign w:val="superscript"/>
        </w:rPr>
        <w:t>th</w:t>
      </w:r>
      <w:r w:rsidRPr="007A180F">
        <w:rPr>
          <w:rFonts w:ascii="Arial" w:hAnsi="Arial"/>
          <w:sz w:val="24"/>
        </w:rPr>
        <w:t xml:space="preserve"> ed. Bethesda, MD:  American </w:t>
      </w:r>
      <w:r w:rsidR="00FB7EDA">
        <w:rPr>
          <w:rFonts w:ascii="Arial" w:hAnsi="Arial"/>
          <w:sz w:val="24"/>
        </w:rPr>
        <w:t>Association of Blood Banks, 2011</w:t>
      </w:r>
      <w:r w:rsidRPr="007A180F">
        <w:rPr>
          <w:rFonts w:ascii="Arial" w:hAnsi="Arial"/>
          <w:sz w:val="24"/>
        </w:rPr>
        <w:t>: 923</w:t>
      </w:r>
      <w:r w:rsidR="007D3413" w:rsidRPr="007A180F">
        <w:rPr>
          <w:rFonts w:ascii="Arial" w:hAnsi="Arial"/>
          <w:sz w:val="24"/>
        </w:rPr>
        <w:t>.</w:t>
      </w:r>
    </w:p>
    <w:p w:rsidR="007D3413" w:rsidRDefault="007D3413">
      <w:pPr>
        <w:ind w:left="720"/>
        <w:rPr>
          <w:rFonts w:ascii="Arial" w:hAnsi="Arial"/>
          <w:sz w:val="24"/>
        </w:rPr>
      </w:pPr>
    </w:p>
    <w:p w:rsidR="007D3413" w:rsidRPr="008A3249" w:rsidRDefault="007D3413" w:rsidP="007A180F">
      <w:pPr>
        <w:numPr>
          <w:ilvl w:val="1"/>
          <w:numId w:val="21"/>
        </w:numPr>
        <w:rPr>
          <w:rFonts w:ascii="Arial" w:hAnsi="Arial"/>
          <w:sz w:val="24"/>
        </w:rPr>
      </w:pPr>
      <w:r w:rsidRPr="008A3249">
        <w:rPr>
          <w:rFonts w:ascii="Arial" w:hAnsi="Arial"/>
          <w:sz w:val="24"/>
        </w:rPr>
        <w:t xml:space="preserve">Judd WJ.  Methods in </w:t>
      </w:r>
      <w:r w:rsidR="00753B4F">
        <w:rPr>
          <w:rFonts w:ascii="Arial" w:hAnsi="Arial"/>
          <w:sz w:val="24"/>
        </w:rPr>
        <w:t>I</w:t>
      </w:r>
      <w:r w:rsidRPr="008A3249">
        <w:rPr>
          <w:rFonts w:ascii="Arial" w:hAnsi="Arial"/>
          <w:sz w:val="24"/>
        </w:rPr>
        <w:t xml:space="preserve">mmunohematology, </w:t>
      </w:r>
      <w:r w:rsidR="00753B4F" w:rsidRPr="00E64CA6">
        <w:rPr>
          <w:rFonts w:ascii="Arial" w:hAnsi="Arial"/>
          <w:sz w:val="24"/>
        </w:rPr>
        <w:t>3</w:t>
      </w:r>
      <w:r w:rsidR="00753B4F">
        <w:rPr>
          <w:rFonts w:ascii="Arial" w:hAnsi="Arial"/>
          <w:sz w:val="24"/>
          <w:vertAlign w:val="superscript"/>
        </w:rPr>
        <w:t>rd</w:t>
      </w:r>
      <w:r w:rsidR="00E64CA6">
        <w:rPr>
          <w:rFonts w:ascii="Arial" w:hAnsi="Arial"/>
          <w:sz w:val="24"/>
        </w:rPr>
        <w:t xml:space="preserve"> ed.</w:t>
      </w:r>
      <w:r w:rsidRPr="008A3249">
        <w:rPr>
          <w:rFonts w:ascii="Arial" w:hAnsi="Arial"/>
          <w:sz w:val="24"/>
        </w:rPr>
        <w:t>, 199</w:t>
      </w:r>
      <w:r w:rsidR="00753B4F">
        <w:rPr>
          <w:rFonts w:ascii="Arial" w:hAnsi="Arial"/>
          <w:sz w:val="24"/>
        </w:rPr>
        <w:t>8</w:t>
      </w:r>
      <w:r w:rsidRPr="008A3249">
        <w:rPr>
          <w:rFonts w:ascii="Arial" w:hAnsi="Arial"/>
          <w:sz w:val="24"/>
        </w:rPr>
        <w:t xml:space="preserve">: </w:t>
      </w:r>
      <w:r w:rsidR="00753B4F">
        <w:rPr>
          <w:rFonts w:ascii="Arial" w:hAnsi="Arial"/>
          <w:sz w:val="24"/>
        </w:rPr>
        <w:t>68-70</w:t>
      </w:r>
      <w:r w:rsidRPr="008A3249">
        <w:rPr>
          <w:rFonts w:ascii="Arial" w:hAnsi="Arial"/>
          <w:sz w:val="24"/>
        </w:rPr>
        <w:t>.</w:t>
      </w:r>
    </w:p>
    <w:p w:rsidR="007D3413" w:rsidRDefault="007D3413">
      <w:pPr>
        <w:rPr>
          <w:rFonts w:ascii="Arial" w:hAnsi="Arial"/>
          <w:sz w:val="24"/>
        </w:rPr>
      </w:pPr>
    </w:p>
    <w:p w:rsidR="007D3413" w:rsidRPr="00A87E02" w:rsidRDefault="00A87E02" w:rsidP="007A180F">
      <w:pPr>
        <w:pStyle w:val="ListParagraph"/>
        <w:numPr>
          <w:ilvl w:val="0"/>
          <w:numId w:val="21"/>
        </w:numPr>
        <w:rPr>
          <w:rFonts w:ascii="Arial" w:hAnsi="Arial"/>
          <w:b/>
          <w:sz w:val="28"/>
        </w:rPr>
      </w:pPr>
      <w:r w:rsidRPr="00A87E02">
        <w:rPr>
          <w:rFonts w:ascii="Arial" w:hAnsi="Arial"/>
          <w:b/>
          <w:sz w:val="28"/>
        </w:rPr>
        <w:t>Revision History</w:t>
      </w:r>
    </w:p>
    <w:p w:rsidR="007D3413" w:rsidRDefault="007D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A87E02" w:rsidTr="0098463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7E02" w:rsidRDefault="00A87E0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Revision Date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87E02" w:rsidRDefault="00A87E02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Summary of Revision</w:t>
            </w:r>
          </w:p>
        </w:tc>
      </w:tr>
      <w:tr w:rsidR="00A87E02" w:rsidTr="00984639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2" w:rsidRPr="003F1079" w:rsidRDefault="00A57166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3F1079">
              <w:rPr>
                <w:rFonts w:ascii="Arial" w:hAnsi="Arial" w:cs="Arial"/>
                <w:sz w:val="24"/>
              </w:rPr>
              <w:t>March 1, 2014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2" w:rsidRDefault="003F1079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3F1079">
              <w:rPr>
                <w:rFonts w:ascii="Arial" w:hAnsi="Arial" w:cs="Arial"/>
                <w:sz w:val="24"/>
              </w:rPr>
              <w:t>Revised name of manual</w:t>
            </w:r>
          </w:p>
          <w:p w:rsidR="003B3C3C" w:rsidRDefault="003B3C3C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Revised name of procedure</w:t>
            </w:r>
          </w:p>
          <w:p w:rsidR="003F1079" w:rsidRDefault="003F1079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Revised wording in section 1.0 </w:t>
            </w:r>
            <w:r w:rsidRPr="003F1079">
              <w:rPr>
                <w:rFonts w:ascii="Arial" w:hAnsi="Arial" w:cs="Arial"/>
                <w:sz w:val="24"/>
              </w:rPr>
              <w:t xml:space="preserve">to include “many cold </w:t>
            </w:r>
            <w:r>
              <w:rPr>
                <w:rFonts w:ascii="Arial" w:hAnsi="Arial" w:cs="Arial"/>
                <w:sz w:val="24"/>
              </w:rPr>
              <w:t>reactive autoantibodies posse</w:t>
            </w:r>
            <w:r w:rsidR="00FB7EDA">
              <w:rPr>
                <w:rFonts w:ascii="Arial" w:hAnsi="Arial" w:cs="Arial"/>
                <w:sz w:val="24"/>
              </w:rPr>
              <w:t xml:space="preserve">ss anti-I or anti-IH </w:t>
            </w:r>
            <w:r w:rsidR="007B6FD4">
              <w:rPr>
                <w:rFonts w:ascii="Arial" w:hAnsi="Arial" w:cs="Arial"/>
                <w:sz w:val="24"/>
              </w:rPr>
              <w:t>specificity</w:t>
            </w:r>
            <w:r>
              <w:rPr>
                <w:rFonts w:ascii="Arial" w:hAnsi="Arial" w:cs="Arial"/>
                <w:sz w:val="24"/>
              </w:rPr>
              <w:t>”</w:t>
            </w:r>
            <w:r w:rsidR="007B6FD4">
              <w:rPr>
                <w:rFonts w:ascii="Arial" w:hAnsi="Arial" w:cs="Arial"/>
                <w:sz w:val="24"/>
              </w:rPr>
              <w:t xml:space="preserve"> and list examples of cold reactive allo-antibodies.</w:t>
            </w:r>
          </w:p>
          <w:p w:rsidR="00602B50" w:rsidRDefault="00602B50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Renumbered sections 6.0 and 8.0 and made minor revisions to wording</w:t>
            </w:r>
          </w:p>
          <w:p w:rsidR="003F1079" w:rsidRDefault="007B6FD4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Added </w:t>
            </w:r>
            <w:r w:rsidR="00602B50">
              <w:rPr>
                <w:rFonts w:ascii="Arial" w:hAnsi="Arial" w:cs="Arial"/>
                <w:sz w:val="24"/>
              </w:rPr>
              <w:t xml:space="preserve">sections </w:t>
            </w:r>
            <w:r w:rsidR="00FB7EDA">
              <w:rPr>
                <w:rFonts w:ascii="Arial" w:hAnsi="Arial" w:cs="Arial"/>
                <w:sz w:val="24"/>
              </w:rPr>
              <w:t>6.2.4 and 6.4.5</w:t>
            </w:r>
          </w:p>
          <w:p w:rsidR="00602B50" w:rsidRPr="00602B50" w:rsidRDefault="007B6FD4" w:rsidP="00602B50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 </w:t>
            </w:r>
            <w:r w:rsidR="00602B50">
              <w:rPr>
                <w:rFonts w:ascii="Arial" w:hAnsi="Arial" w:cs="Arial"/>
                <w:sz w:val="24"/>
              </w:rPr>
              <w:t xml:space="preserve">section </w:t>
            </w:r>
            <w:r>
              <w:rPr>
                <w:rFonts w:ascii="Arial" w:hAnsi="Arial" w:cs="Arial"/>
                <w:sz w:val="24"/>
              </w:rPr>
              <w:t>6.6, added donor unit and cord cell</w:t>
            </w:r>
            <w:r w:rsidR="00602B50">
              <w:rPr>
                <w:rFonts w:ascii="Arial" w:hAnsi="Arial" w:cs="Arial"/>
                <w:sz w:val="24"/>
              </w:rPr>
              <w:t xml:space="preserve"> and specified 2-3 drops of plasma according to the reference cited</w:t>
            </w:r>
          </w:p>
          <w:p w:rsidR="007B6FD4" w:rsidRDefault="00602B50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B6FD4">
              <w:rPr>
                <w:rFonts w:ascii="Arial" w:hAnsi="Arial" w:cs="Arial"/>
                <w:sz w:val="24"/>
              </w:rPr>
              <w:t>dded “if antibody is not clinically significant then antigen typing is not required</w:t>
            </w:r>
            <w:r w:rsidR="00FB7EDA">
              <w:rPr>
                <w:rFonts w:ascii="Arial" w:hAnsi="Arial" w:cs="Arial"/>
                <w:sz w:val="24"/>
              </w:rPr>
              <w:t>” in section 6.9</w:t>
            </w:r>
          </w:p>
          <w:p w:rsidR="007B6FD4" w:rsidRDefault="00602B50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B6FD4">
              <w:rPr>
                <w:rFonts w:ascii="Arial" w:hAnsi="Arial" w:cs="Arial"/>
                <w:sz w:val="24"/>
              </w:rPr>
              <w:t>dded “or is not considered to be clinically significant”</w:t>
            </w:r>
            <w:r>
              <w:rPr>
                <w:rFonts w:ascii="Arial" w:hAnsi="Arial" w:cs="Arial"/>
                <w:sz w:val="24"/>
              </w:rPr>
              <w:t xml:space="preserve"> in section 7.1</w:t>
            </w:r>
          </w:p>
          <w:p w:rsidR="007B6FD4" w:rsidRDefault="00602B50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="007B6FD4">
              <w:rPr>
                <w:rFonts w:ascii="Arial" w:hAnsi="Arial" w:cs="Arial"/>
                <w:sz w:val="24"/>
              </w:rPr>
              <w:t>dded “it is not necessary to antigen type if the antibody is not considered to be clinically significant</w:t>
            </w:r>
            <w:r>
              <w:rPr>
                <w:rFonts w:ascii="Arial" w:hAnsi="Arial" w:cs="Arial"/>
                <w:sz w:val="24"/>
              </w:rPr>
              <w:t>” in section 8.1</w:t>
            </w:r>
          </w:p>
          <w:p w:rsidR="00602B50" w:rsidRPr="003F1079" w:rsidRDefault="00602B50" w:rsidP="00032C09">
            <w:pPr>
              <w:pStyle w:val="Header"/>
              <w:numPr>
                <w:ilvl w:val="0"/>
                <w:numId w:val="4"/>
              </w:numPr>
              <w:tabs>
                <w:tab w:val="left" w:pos="720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Updated list of references to include latest versions/editions</w:t>
            </w:r>
          </w:p>
        </w:tc>
      </w:tr>
    </w:tbl>
    <w:p w:rsidR="00A87E02" w:rsidRDefault="00A87E02"/>
    <w:sectPr w:rsidR="00A87E02" w:rsidSect="00942A1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468" w:rsidRDefault="00817468">
      <w:r>
        <w:separator/>
      </w:r>
    </w:p>
  </w:endnote>
  <w:endnote w:type="continuationSeparator" w:id="0">
    <w:p w:rsidR="00817468" w:rsidRDefault="0081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C0FBC">
      <w:trPr>
        <w:trHeight w:val="720"/>
        <w:jc w:val="center"/>
      </w:trPr>
      <w:tc>
        <w:tcPr>
          <w:tcW w:w="1368" w:type="dxa"/>
        </w:tcPr>
        <w:p w:rsidR="00AC0FBC" w:rsidRDefault="00AC0FB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C0FBC" w:rsidRDefault="00AC0FB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9525" b="9525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NRT.006</w:t>
          </w:r>
          <w:r>
            <w:rPr>
              <w:rFonts w:ascii="Arial" w:hAnsi="Arial"/>
              <w:sz w:val="18"/>
            </w:rPr>
            <w:br/>
          </w:r>
        </w:p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406FE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06FEB">
            <w:rPr>
              <w:rFonts w:ascii="Arial" w:hAnsi="Arial"/>
              <w:snapToGrid w:val="0"/>
              <w:sz w:val="18"/>
            </w:rPr>
            <w:fldChar w:fldCharType="separate"/>
          </w:r>
          <w:r w:rsidR="00D77436">
            <w:rPr>
              <w:rFonts w:ascii="Arial" w:hAnsi="Arial"/>
              <w:noProof/>
              <w:snapToGrid w:val="0"/>
              <w:sz w:val="18"/>
            </w:rPr>
            <w:t>6</w:t>
          </w:r>
          <w:r w:rsidR="00406FEB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406FE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06FEB">
            <w:rPr>
              <w:rFonts w:ascii="Arial" w:hAnsi="Arial"/>
              <w:snapToGrid w:val="0"/>
              <w:sz w:val="18"/>
            </w:rPr>
            <w:fldChar w:fldCharType="separate"/>
          </w:r>
          <w:r w:rsidR="00D77436">
            <w:rPr>
              <w:rFonts w:ascii="Arial" w:hAnsi="Arial"/>
              <w:noProof/>
              <w:snapToGrid w:val="0"/>
              <w:sz w:val="18"/>
            </w:rPr>
            <w:t>6</w:t>
          </w:r>
          <w:r w:rsidR="00406FE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C0FBC" w:rsidRDefault="00AC0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AC0FBC">
      <w:trPr>
        <w:trHeight w:val="720"/>
        <w:jc w:val="center"/>
      </w:trPr>
      <w:tc>
        <w:tcPr>
          <w:tcW w:w="1368" w:type="dxa"/>
        </w:tcPr>
        <w:p w:rsidR="00AC0FBC" w:rsidRDefault="00AC0FB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AC0FBC" w:rsidRDefault="00AC0FBC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38175" cy="447675"/>
                <wp:effectExtent l="0" t="0" r="9525" b="9525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Ontario Regional Blood Coordinating Network</w:t>
          </w: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 Manual</w:t>
          </w:r>
        </w:p>
        <w:p w:rsidR="00AC0FBC" w:rsidRDefault="00AC0FB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NRT.006</w:t>
          </w:r>
          <w:r>
            <w:rPr>
              <w:rFonts w:ascii="Arial" w:hAnsi="Arial"/>
              <w:sz w:val="18"/>
            </w:rPr>
            <w:br/>
          </w:r>
        </w:p>
        <w:p w:rsidR="00AC0FBC" w:rsidRDefault="00AC0FB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 w:rsidR="00406FE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406FEB">
            <w:rPr>
              <w:rFonts w:ascii="Arial" w:hAnsi="Arial"/>
              <w:snapToGrid w:val="0"/>
              <w:sz w:val="18"/>
            </w:rPr>
            <w:fldChar w:fldCharType="separate"/>
          </w:r>
          <w:r w:rsidR="00D77436">
            <w:rPr>
              <w:rFonts w:ascii="Arial" w:hAnsi="Arial"/>
              <w:noProof/>
              <w:snapToGrid w:val="0"/>
              <w:sz w:val="18"/>
            </w:rPr>
            <w:t>1</w:t>
          </w:r>
          <w:r w:rsidR="00406FEB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 w:rsidR="00406FEB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406FEB">
            <w:rPr>
              <w:rFonts w:ascii="Arial" w:hAnsi="Arial"/>
              <w:snapToGrid w:val="0"/>
              <w:sz w:val="18"/>
            </w:rPr>
            <w:fldChar w:fldCharType="separate"/>
          </w:r>
          <w:r w:rsidR="00D77436">
            <w:rPr>
              <w:rFonts w:ascii="Arial" w:hAnsi="Arial"/>
              <w:noProof/>
              <w:snapToGrid w:val="0"/>
              <w:sz w:val="18"/>
            </w:rPr>
            <w:t>3</w:t>
          </w:r>
          <w:r w:rsidR="00406FEB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AC0FBC" w:rsidRDefault="00AC0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468" w:rsidRDefault="00817468">
      <w:r>
        <w:separator/>
      </w:r>
    </w:p>
  </w:footnote>
  <w:footnote w:type="continuationSeparator" w:id="0">
    <w:p w:rsidR="00817468" w:rsidRDefault="0081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FBC" w:rsidRDefault="00AC0FB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Antibody Identification of Cold Reactive Antibodies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FBC" w:rsidRDefault="00AC0FBC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 wp14:anchorId="6BDF43C4" wp14:editId="6F37AEAF">
          <wp:extent cx="1323120" cy="53280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BC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2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FBC" w:rsidRDefault="00AC0FB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AC0FBC" w:rsidRPr="00260B87" w:rsidRDefault="00AC0FBC">
    <w:pPr>
      <w:pStyle w:val="Header"/>
      <w:jc w:val="center"/>
      <w:rPr>
        <w:rFonts w:ascii="Arial" w:hAnsi="Arial" w:cs="Arial"/>
        <w:b/>
        <w:bCs/>
        <w:sz w:val="24"/>
      </w:rPr>
    </w:pPr>
    <w:r w:rsidRPr="00260B87">
      <w:rPr>
        <w:rFonts w:ascii="Arial" w:hAnsi="Arial" w:cs="Arial"/>
        <w:b/>
        <w:bCs/>
        <w:sz w:val="24"/>
      </w:rPr>
      <w:t xml:space="preserve">Ontario Regional Blood Coordinating Network </w:t>
    </w:r>
  </w:p>
  <w:p w:rsidR="00AC0FBC" w:rsidRPr="00260B87" w:rsidRDefault="00AC0FBC">
    <w:pPr>
      <w:pStyle w:val="Header"/>
      <w:jc w:val="center"/>
      <w:rPr>
        <w:rFonts w:ascii="Arial" w:hAnsi="Arial" w:cs="Arial"/>
        <w:b/>
        <w:bCs/>
        <w:sz w:val="24"/>
      </w:rPr>
    </w:pPr>
    <w:r w:rsidRPr="00260B87">
      <w:rPr>
        <w:rFonts w:ascii="Arial" w:hAnsi="Arial" w:cs="Arial"/>
        <w:b/>
        <w:bCs/>
        <w:sz w:val="24"/>
      </w:rPr>
      <w:t>Transfusion Technical Resource Manual</w:t>
    </w:r>
  </w:p>
  <w:p w:rsidR="00AC0FBC" w:rsidRDefault="00AC0FBC">
    <w:pPr>
      <w:pStyle w:val="Header"/>
      <w:jc w:val="center"/>
      <w:rPr>
        <w:rFonts w:ascii="Arial" w:hAnsi="Arial" w:cs="Arial"/>
        <w:b/>
        <w:bCs/>
        <w:sz w:val="22"/>
      </w:rPr>
    </w:pPr>
  </w:p>
  <w:p w:rsidR="00AC0FBC" w:rsidRDefault="00AC0FBC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Identification of Cold Reactive Antibodies</w:t>
    </w:r>
  </w:p>
  <w:p w:rsidR="00AC0FBC" w:rsidRDefault="00AC0FBC">
    <w:pPr>
      <w:pStyle w:val="Header"/>
      <w:jc w:val="center"/>
      <w:rPr>
        <w:rFonts w:ascii="Arial" w:hAnsi="Arial"/>
        <w:b/>
        <w:sz w:val="28"/>
      </w:rPr>
    </w:pPr>
  </w:p>
  <w:p w:rsidR="00AC0FBC" w:rsidRDefault="00AC0FBC">
    <w:pPr>
      <w:pStyle w:val="Header"/>
      <w:tabs>
        <w:tab w:val="left" w:pos="661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D77436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20954</wp:posOffset>
              </wp:positionV>
              <wp:extent cx="5600700" cy="0"/>
              <wp:effectExtent l="0" t="0" r="19050" b="190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BA296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2"/>
      <w:gridCol w:w="4318"/>
    </w:tblGrid>
    <w:tr w:rsidR="00AC0FBC">
      <w:tc>
        <w:tcPr>
          <w:tcW w:w="4428" w:type="dxa"/>
        </w:tcPr>
        <w:p w:rsidR="00AC0FBC" w:rsidRDefault="00AC0FBC" w:rsidP="00D9769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 </w:t>
          </w:r>
        </w:p>
      </w:tc>
      <w:tc>
        <w:tcPr>
          <w:tcW w:w="4428" w:type="dxa"/>
        </w:tcPr>
        <w:p w:rsidR="00AC0FBC" w:rsidRDefault="00AC0F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NRT.006</w:t>
          </w:r>
        </w:p>
      </w:tc>
    </w:tr>
    <w:tr w:rsidR="00AC0FBC">
      <w:tc>
        <w:tcPr>
          <w:tcW w:w="4428" w:type="dxa"/>
        </w:tcPr>
        <w:p w:rsidR="00AC0FBC" w:rsidRDefault="00AC0F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Issued:  2004/04/05</w:t>
          </w:r>
        </w:p>
      </w:tc>
      <w:tc>
        <w:tcPr>
          <w:tcW w:w="4428" w:type="dxa"/>
        </w:tcPr>
        <w:p w:rsidR="00AC0FBC" w:rsidRDefault="00AC0F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Non-Routine Testing</w:t>
          </w:r>
        </w:p>
      </w:tc>
    </w:tr>
    <w:tr w:rsidR="00AC0FBC">
      <w:tc>
        <w:tcPr>
          <w:tcW w:w="4428" w:type="dxa"/>
        </w:tcPr>
        <w:p w:rsidR="00AC0FBC" w:rsidRDefault="00AC0F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</w:t>
          </w:r>
          <w:r w:rsidR="00EB211F">
            <w:rPr>
              <w:rFonts w:ascii="Arial" w:hAnsi="Arial" w:cs="Arial"/>
            </w:rPr>
            <w:t>te Revised:  2009/09/01; 2014/03/</w:t>
          </w:r>
          <w:r>
            <w:rPr>
              <w:rFonts w:ascii="Arial" w:hAnsi="Arial" w:cs="Arial"/>
            </w:rPr>
            <w:t>0</w:t>
          </w:r>
          <w:r w:rsidR="00EB211F">
            <w:rPr>
              <w:rFonts w:ascii="Arial" w:hAnsi="Arial" w:cs="Arial"/>
            </w:rPr>
            <w:t>1</w:t>
          </w:r>
        </w:p>
      </w:tc>
      <w:tc>
        <w:tcPr>
          <w:tcW w:w="4428" w:type="dxa"/>
        </w:tcPr>
        <w:p w:rsidR="00AC0FBC" w:rsidRDefault="00AC0FBC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 w:rsidR="00406FEB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 w:rsidR="00406FEB">
            <w:rPr>
              <w:rFonts w:ascii="Arial" w:hAnsi="Arial" w:cs="Arial"/>
            </w:rPr>
            <w:fldChar w:fldCharType="separate"/>
          </w:r>
          <w:r w:rsidR="00D77436">
            <w:rPr>
              <w:rFonts w:ascii="Arial" w:hAnsi="Arial" w:cs="Arial"/>
              <w:noProof/>
            </w:rPr>
            <w:t>1</w:t>
          </w:r>
          <w:r w:rsidR="00406FEB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 w:rsidR="00406FEB"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 w:rsidR="00406FEB">
            <w:rPr>
              <w:rFonts w:ascii="Arial" w:hAnsi="Arial" w:cs="Arial"/>
            </w:rPr>
            <w:fldChar w:fldCharType="separate"/>
          </w:r>
          <w:r w:rsidR="00D77436">
            <w:rPr>
              <w:rFonts w:ascii="Arial" w:hAnsi="Arial" w:cs="Arial"/>
              <w:noProof/>
            </w:rPr>
            <w:t>3</w:t>
          </w:r>
          <w:r w:rsidR="00406FEB">
            <w:rPr>
              <w:rFonts w:ascii="Arial" w:hAnsi="Arial" w:cs="Arial"/>
            </w:rPr>
            <w:fldChar w:fldCharType="end"/>
          </w:r>
        </w:p>
      </w:tc>
    </w:tr>
  </w:tbl>
  <w:p w:rsidR="00AC0FBC" w:rsidRDefault="00D77436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122554</wp:posOffset>
              </wp:positionV>
              <wp:extent cx="56007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04419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AC0FBC">
      <w:rPr>
        <w:rFonts w:ascii="Arial" w:hAnsi="Arial" w:cs="Arial"/>
      </w:rPr>
      <w:tab/>
    </w:r>
  </w:p>
  <w:p w:rsidR="00AC0FBC" w:rsidRDefault="00AC0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878"/>
    <w:multiLevelType w:val="multilevel"/>
    <w:tmpl w:val="494EB15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6.9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925DB1"/>
    <w:multiLevelType w:val="multilevel"/>
    <w:tmpl w:val="135E3B5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AA3358"/>
    <w:multiLevelType w:val="multilevel"/>
    <w:tmpl w:val="EA36D2A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565F03"/>
    <w:multiLevelType w:val="multilevel"/>
    <w:tmpl w:val="78D4BD0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1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5479F8"/>
    <w:multiLevelType w:val="multilevel"/>
    <w:tmpl w:val="C578483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5D1EED"/>
    <w:multiLevelType w:val="multilevel"/>
    <w:tmpl w:val="814E0F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6.8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65E78"/>
    <w:multiLevelType w:val="hybridMultilevel"/>
    <w:tmpl w:val="F8B25A0C"/>
    <w:lvl w:ilvl="0" w:tplc="E934FDB2">
      <w:start w:val="1"/>
      <w:numFmt w:val="decimal"/>
      <w:lvlText w:val="6.1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66E32"/>
    <w:multiLevelType w:val="multilevel"/>
    <w:tmpl w:val="7276742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1B1272"/>
    <w:multiLevelType w:val="multilevel"/>
    <w:tmpl w:val="B010ED6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6.8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646DD"/>
    <w:multiLevelType w:val="multilevel"/>
    <w:tmpl w:val="B1BAB63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6.6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C3144E"/>
    <w:multiLevelType w:val="multilevel"/>
    <w:tmpl w:val="F16E97A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D961069"/>
    <w:multiLevelType w:val="multilevel"/>
    <w:tmpl w:val="9CC6CED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E17D8A"/>
    <w:multiLevelType w:val="multilevel"/>
    <w:tmpl w:val="B07E88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6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920339E"/>
    <w:multiLevelType w:val="multilevel"/>
    <w:tmpl w:val="D200038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D6F075A"/>
    <w:multiLevelType w:val="multilevel"/>
    <w:tmpl w:val="E390B50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6.1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D6394"/>
    <w:multiLevelType w:val="multilevel"/>
    <w:tmpl w:val="78D4BD06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1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2F3D6E"/>
    <w:multiLevelType w:val="multilevel"/>
    <w:tmpl w:val="B9A8037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521BD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903119"/>
    <w:multiLevelType w:val="multilevel"/>
    <w:tmpl w:val="A14C5FB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6.12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6.10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AC1900"/>
    <w:multiLevelType w:val="multilevel"/>
    <w:tmpl w:val="892CD36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35F4D"/>
    <w:multiLevelType w:val="multilevel"/>
    <w:tmpl w:val="44A8730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151D43"/>
    <w:multiLevelType w:val="hybridMultilevel"/>
    <w:tmpl w:val="02665E44"/>
    <w:lvl w:ilvl="0" w:tplc="FFB694C6">
      <w:start w:val="1"/>
      <w:numFmt w:val="decimal"/>
      <w:lvlText w:val="6.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D316C"/>
    <w:multiLevelType w:val="multilevel"/>
    <w:tmpl w:val="956A7BDE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6FB84671"/>
    <w:multiLevelType w:val="hybridMultilevel"/>
    <w:tmpl w:val="20B627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4B282C"/>
    <w:multiLevelType w:val="hybridMultilevel"/>
    <w:tmpl w:val="D3D63E22"/>
    <w:lvl w:ilvl="0" w:tplc="1FB4A2D2">
      <w:start w:val="1"/>
      <w:numFmt w:val="bullet"/>
      <w:suff w:val="space"/>
      <w:lvlText w:val=""/>
      <w:lvlJc w:val="left"/>
      <w:pPr>
        <w:ind w:left="1077" w:hanging="22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D7E0F"/>
    <w:multiLevelType w:val="multilevel"/>
    <w:tmpl w:val="3492370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33071C"/>
    <w:multiLevelType w:val="multilevel"/>
    <w:tmpl w:val="83C6D0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24"/>
  </w:num>
  <w:num w:numId="4">
    <w:abstractNumId w:val="23"/>
  </w:num>
  <w:num w:numId="5">
    <w:abstractNumId w:val="25"/>
  </w:num>
  <w:num w:numId="6">
    <w:abstractNumId w:val="7"/>
  </w:num>
  <w:num w:numId="7">
    <w:abstractNumId w:val="26"/>
  </w:num>
  <w:num w:numId="8">
    <w:abstractNumId w:val="10"/>
  </w:num>
  <w:num w:numId="9">
    <w:abstractNumId w:val="12"/>
  </w:num>
  <w:num w:numId="10">
    <w:abstractNumId w:val="21"/>
  </w:num>
  <w:num w:numId="11">
    <w:abstractNumId w:val="9"/>
  </w:num>
  <w:num w:numId="12">
    <w:abstractNumId w:val="20"/>
  </w:num>
  <w:num w:numId="13">
    <w:abstractNumId w:val="5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6"/>
  </w:num>
  <w:num w:numId="19">
    <w:abstractNumId w:val="18"/>
  </w:num>
  <w:num w:numId="20">
    <w:abstractNumId w:val="15"/>
  </w:num>
  <w:num w:numId="21">
    <w:abstractNumId w:val="22"/>
  </w:num>
  <w:num w:numId="22">
    <w:abstractNumId w:val="2"/>
  </w:num>
  <w:num w:numId="23">
    <w:abstractNumId w:val="13"/>
  </w:num>
  <w:num w:numId="24">
    <w:abstractNumId w:val="16"/>
  </w:num>
  <w:num w:numId="25">
    <w:abstractNumId w:val="4"/>
  </w:num>
  <w:num w:numId="26">
    <w:abstractNumId w:val="11"/>
  </w:num>
  <w:num w:numId="2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13"/>
    <w:rsid w:val="00032C09"/>
    <w:rsid w:val="0003633B"/>
    <w:rsid w:val="00087C79"/>
    <w:rsid w:val="000915F2"/>
    <w:rsid w:val="000E1785"/>
    <w:rsid w:val="0017289B"/>
    <w:rsid w:val="00194472"/>
    <w:rsid w:val="001A0D08"/>
    <w:rsid w:val="001F7D6C"/>
    <w:rsid w:val="00260B87"/>
    <w:rsid w:val="002A41B1"/>
    <w:rsid w:val="003B3C3C"/>
    <w:rsid w:val="003F1079"/>
    <w:rsid w:val="00406FEB"/>
    <w:rsid w:val="00420F2E"/>
    <w:rsid w:val="00472B07"/>
    <w:rsid w:val="004854E2"/>
    <w:rsid w:val="00573AAE"/>
    <w:rsid w:val="005C271E"/>
    <w:rsid w:val="00602B50"/>
    <w:rsid w:val="00665A1F"/>
    <w:rsid w:val="00687791"/>
    <w:rsid w:val="00690FF2"/>
    <w:rsid w:val="006D0E4A"/>
    <w:rsid w:val="0071106C"/>
    <w:rsid w:val="00753B4F"/>
    <w:rsid w:val="00795204"/>
    <w:rsid w:val="007A180F"/>
    <w:rsid w:val="007B6FD4"/>
    <w:rsid w:val="007D3413"/>
    <w:rsid w:val="007E3663"/>
    <w:rsid w:val="00817468"/>
    <w:rsid w:val="008A3249"/>
    <w:rsid w:val="00942A14"/>
    <w:rsid w:val="00984639"/>
    <w:rsid w:val="009E48DF"/>
    <w:rsid w:val="00A57166"/>
    <w:rsid w:val="00A87E02"/>
    <w:rsid w:val="00AB2A61"/>
    <w:rsid w:val="00AC0FBC"/>
    <w:rsid w:val="00AC5E97"/>
    <w:rsid w:val="00AD1BF9"/>
    <w:rsid w:val="00B36C2B"/>
    <w:rsid w:val="00CA655A"/>
    <w:rsid w:val="00D31F68"/>
    <w:rsid w:val="00D7170E"/>
    <w:rsid w:val="00D77436"/>
    <w:rsid w:val="00D97690"/>
    <w:rsid w:val="00E245AD"/>
    <w:rsid w:val="00E54BCA"/>
    <w:rsid w:val="00E64026"/>
    <w:rsid w:val="00E64CA6"/>
    <w:rsid w:val="00EB211F"/>
    <w:rsid w:val="00F15CD6"/>
    <w:rsid w:val="00F23824"/>
    <w:rsid w:val="00F47624"/>
    <w:rsid w:val="00F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4D7902-BE89-4AAC-90F9-0D193606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1F68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kern w:val="24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widowControl w:val="0"/>
      <w:ind w:left="360" w:hanging="360"/>
    </w:pPr>
    <w:rPr>
      <w:rFonts w:ascii="CG Times" w:hAnsi="CG Times"/>
      <w:sz w:val="24"/>
    </w:rPr>
  </w:style>
  <w:style w:type="paragraph" w:styleId="BodyTextIndent3">
    <w:name w:val="Body Text Indent 3"/>
    <w:basedOn w:val="Normal"/>
    <w:pPr>
      <w:ind w:left="981" w:hanging="283"/>
    </w:pPr>
    <w:rPr>
      <w:rFonts w:ascii="Georgia" w:hAnsi="Georgia"/>
      <w:spacing w:val="-2"/>
      <w:kern w:val="24"/>
      <w:sz w:val="24"/>
      <w:lang w:val="en-GB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753B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3B4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D71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70E"/>
  </w:style>
  <w:style w:type="character" w:customStyle="1" w:styleId="CommentTextChar">
    <w:name w:val="Comment Text Char"/>
    <w:basedOn w:val="DefaultParagraphFont"/>
    <w:link w:val="CommentText"/>
    <w:rsid w:val="00D7170E"/>
  </w:style>
  <w:style w:type="paragraph" w:styleId="CommentSubject">
    <w:name w:val="annotation subject"/>
    <w:basedOn w:val="CommentText"/>
    <w:next w:val="CommentText"/>
    <w:link w:val="CommentSubjectChar"/>
    <w:rsid w:val="00D71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70E"/>
    <w:rPr>
      <w:b/>
      <w:bCs/>
    </w:rPr>
  </w:style>
  <w:style w:type="paragraph" w:styleId="Revision">
    <w:name w:val="Revision"/>
    <w:hidden/>
    <w:uiPriority w:val="71"/>
    <w:rsid w:val="00D7170E"/>
  </w:style>
  <w:style w:type="table" w:styleId="TableGrid">
    <w:name w:val="Table Grid"/>
    <w:basedOn w:val="TableNormal"/>
    <w:rsid w:val="0026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260B8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8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A9F5-23E2-4440-A35C-C80A6D53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NRT.006 Antibody Identification of Cold Reactive Antibodies</vt:lpstr>
    </vt:vector>
  </TitlesOfParts>
  <Company>The Ottawa Hospital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NRT.006 Antibody Identification of Cold Reactive Antibodies</dc:title>
  <dc:creator>Transfusion Ontario Program Office</dc:creator>
  <cp:lastModifiedBy>Nesrallah, Heather</cp:lastModifiedBy>
  <cp:revision>2</cp:revision>
  <cp:lastPrinted>2004-03-25T00:05:00Z</cp:lastPrinted>
  <dcterms:created xsi:type="dcterms:W3CDTF">2020-08-11T12:26:00Z</dcterms:created>
  <dcterms:modified xsi:type="dcterms:W3CDTF">2020-08-11T12:26:00Z</dcterms:modified>
</cp:coreProperties>
</file>