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041" w:rsidRDefault="002A6041">
      <w:pPr>
        <w:numPr>
          <w:ilvl w:val="0"/>
          <w:numId w:val="1"/>
        </w:numPr>
        <w:rPr>
          <w:rFonts w:ascii="Arial" w:hAnsi="Arial"/>
          <w:b/>
          <w:sz w:val="28"/>
        </w:rPr>
      </w:pPr>
      <w:bookmarkStart w:id="0" w:name="_GoBack"/>
      <w:bookmarkEnd w:id="0"/>
      <w:r>
        <w:rPr>
          <w:rFonts w:ascii="Arial" w:hAnsi="Arial"/>
          <w:b/>
          <w:sz w:val="28"/>
        </w:rPr>
        <w:t>Principle</w:t>
      </w:r>
    </w:p>
    <w:p w:rsidR="00391FC1" w:rsidRDefault="00391FC1" w:rsidP="00E60981">
      <w:pPr>
        <w:pStyle w:val="ListParagraph"/>
        <w:rPr>
          <w:rFonts w:ascii="Arial" w:hAnsi="Arial"/>
          <w:sz w:val="24"/>
        </w:rPr>
      </w:pPr>
    </w:p>
    <w:p w:rsidR="00E60981" w:rsidRPr="00E60981" w:rsidRDefault="00E60981" w:rsidP="00E60981">
      <w:pPr>
        <w:pStyle w:val="ListParagraph"/>
        <w:rPr>
          <w:rFonts w:ascii="Arial" w:hAnsi="Arial"/>
          <w:sz w:val="24"/>
        </w:rPr>
      </w:pPr>
      <w:r w:rsidRPr="00E60981">
        <w:rPr>
          <w:rFonts w:ascii="Arial" w:hAnsi="Arial"/>
          <w:sz w:val="24"/>
        </w:rPr>
        <w:t>To investigate the possible causes of a positive Direct Antiglobulin Test (DAT) result.</w:t>
      </w:r>
    </w:p>
    <w:p w:rsidR="00E60981" w:rsidRPr="00E60981" w:rsidRDefault="00E60981" w:rsidP="00E60981">
      <w:pPr>
        <w:pStyle w:val="ListParagraph"/>
        <w:rPr>
          <w:rFonts w:ascii="Arial" w:hAnsi="Arial"/>
          <w:sz w:val="24"/>
        </w:rPr>
      </w:pPr>
    </w:p>
    <w:p w:rsidR="00E60981" w:rsidRPr="00E60981" w:rsidRDefault="00E60981" w:rsidP="00E60981">
      <w:pPr>
        <w:pStyle w:val="ListParagraph"/>
        <w:rPr>
          <w:rFonts w:ascii="Arial" w:hAnsi="Arial"/>
          <w:sz w:val="24"/>
        </w:rPr>
      </w:pPr>
      <w:r w:rsidRPr="00E60981">
        <w:rPr>
          <w:rFonts w:ascii="Arial" w:hAnsi="Arial"/>
          <w:sz w:val="24"/>
        </w:rPr>
        <w:t>Investigation of a positive DAT will assist in establishing a diagnosis and/or transfusion therapy.</w:t>
      </w:r>
    </w:p>
    <w:p w:rsidR="002A6041" w:rsidRDefault="002A6041">
      <w:pPr>
        <w:pStyle w:val="Header"/>
        <w:tabs>
          <w:tab w:val="clear" w:pos="4320"/>
          <w:tab w:val="clear" w:pos="8640"/>
        </w:tabs>
        <w:rPr>
          <w:rFonts w:ascii="Arial" w:hAnsi="Arial"/>
        </w:rPr>
      </w:pPr>
    </w:p>
    <w:p w:rsidR="002A6041" w:rsidRDefault="002A6041">
      <w:pPr>
        <w:numPr>
          <w:ilvl w:val="0"/>
          <w:numId w:val="1"/>
        </w:numPr>
        <w:rPr>
          <w:rFonts w:ascii="Arial" w:hAnsi="Arial"/>
          <w:b/>
          <w:sz w:val="28"/>
        </w:rPr>
      </w:pPr>
      <w:r>
        <w:rPr>
          <w:rFonts w:ascii="Arial" w:hAnsi="Arial"/>
          <w:b/>
          <w:sz w:val="28"/>
        </w:rPr>
        <w:t>Scope and Related Policies</w:t>
      </w:r>
    </w:p>
    <w:p w:rsidR="00E60981" w:rsidRDefault="00E60981" w:rsidP="00275060">
      <w:pPr>
        <w:rPr>
          <w:rFonts w:ascii="Arial" w:hAnsi="Arial"/>
          <w:sz w:val="24"/>
        </w:rPr>
      </w:pPr>
    </w:p>
    <w:p w:rsidR="00E60981" w:rsidRDefault="00E60981" w:rsidP="00B35031">
      <w:pPr>
        <w:numPr>
          <w:ilvl w:val="1"/>
          <w:numId w:val="13"/>
        </w:numPr>
        <w:ind w:left="1440"/>
        <w:rPr>
          <w:rFonts w:ascii="Arial" w:hAnsi="Arial"/>
          <w:sz w:val="24"/>
        </w:rPr>
      </w:pPr>
      <w:r>
        <w:rPr>
          <w:rFonts w:ascii="Arial" w:hAnsi="Arial"/>
          <w:sz w:val="24"/>
        </w:rPr>
        <w:t>If there is insufficient plasma from the neonate, a maternal sample may be used for crossmatching and antibody screening.</w:t>
      </w:r>
      <w:r>
        <w:rPr>
          <w:rFonts w:ascii="Arial" w:hAnsi="Arial"/>
          <w:sz w:val="24"/>
          <w:vertAlign w:val="superscript"/>
        </w:rPr>
        <w:t>9.1</w:t>
      </w:r>
    </w:p>
    <w:p w:rsidR="00E60981" w:rsidRDefault="00E60981" w:rsidP="00B35031">
      <w:pPr>
        <w:ind w:left="1440" w:hanging="720"/>
        <w:rPr>
          <w:rFonts w:ascii="Arial" w:hAnsi="Arial"/>
          <w:sz w:val="24"/>
        </w:rPr>
      </w:pPr>
    </w:p>
    <w:p w:rsidR="00E60981" w:rsidRPr="00F4199C" w:rsidRDefault="00E60981" w:rsidP="00B35031">
      <w:pPr>
        <w:numPr>
          <w:ilvl w:val="1"/>
          <w:numId w:val="13"/>
        </w:numPr>
        <w:ind w:left="1440"/>
        <w:rPr>
          <w:rFonts w:ascii="Arial" w:hAnsi="Arial"/>
          <w:sz w:val="24"/>
        </w:rPr>
      </w:pPr>
      <w:r>
        <w:rPr>
          <w:rFonts w:ascii="Arial" w:hAnsi="Arial"/>
          <w:sz w:val="24"/>
        </w:rPr>
        <w:t>Antiglobulin reagent used for Direct Antiglobulin testing must contain anti-IgG and anti-C3d. The exception is that is for neonates. For neonates a reagent containing only anti-IgG may be used.</w:t>
      </w:r>
      <w:r w:rsidRPr="00F4199C">
        <w:rPr>
          <w:rFonts w:ascii="Arial" w:hAnsi="Arial"/>
          <w:sz w:val="24"/>
          <w:szCs w:val="24"/>
          <w:vertAlign w:val="superscript"/>
        </w:rPr>
        <w:t>9.1</w:t>
      </w:r>
    </w:p>
    <w:p w:rsidR="00E60981" w:rsidRPr="00F4199C" w:rsidRDefault="00E60981" w:rsidP="00B35031">
      <w:pPr>
        <w:ind w:left="1440" w:hanging="720"/>
        <w:rPr>
          <w:rFonts w:ascii="Arial" w:hAnsi="Arial"/>
          <w:sz w:val="24"/>
        </w:rPr>
      </w:pPr>
    </w:p>
    <w:p w:rsidR="002A6041" w:rsidRPr="00275060" w:rsidRDefault="00E60981" w:rsidP="00B35031">
      <w:pPr>
        <w:numPr>
          <w:ilvl w:val="1"/>
          <w:numId w:val="13"/>
        </w:numPr>
        <w:ind w:left="1440"/>
        <w:rPr>
          <w:rFonts w:ascii="Arial" w:hAnsi="Arial"/>
          <w:sz w:val="24"/>
        </w:rPr>
      </w:pPr>
      <w:r>
        <w:rPr>
          <w:rFonts w:ascii="Arial" w:hAnsi="Arial"/>
          <w:sz w:val="24"/>
          <w:szCs w:val="24"/>
        </w:rPr>
        <w:t>If the DAT test is performed on a clotted sample identifies complement, the result shall be verified using an EDTA sample.</w:t>
      </w:r>
      <w:r>
        <w:rPr>
          <w:rFonts w:ascii="Arial" w:hAnsi="Arial"/>
          <w:sz w:val="24"/>
          <w:szCs w:val="24"/>
          <w:vertAlign w:val="superscript"/>
        </w:rPr>
        <w:t>9.1</w:t>
      </w:r>
    </w:p>
    <w:p w:rsidR="00275060" w:rsidRDefault="00275060" w:rsidP="00B35031">
      <w:pPr>
        <w:pStyle w:val="ListParagraph"/>
        <w:ind w:left="1440" w:hanging="720"/>
        <w:rPr>
          <w:rFonts w:ascii="Arial" w:hAnsi="Arial"/>
          <w:sz w:val="24"/>
        </w:rPr>
      </w:pPr>
    </w:p>
    <w:p w:rsidR="00275060" w:rsidRPr="00E60981" w:rsidRDefault="00275060" w:rsidP="00B35031">
      <w:pPr>
        <w:numPr>
          <w:ilvl w:val="1"/>
          <w:numId w:val="13"/>
        </w:numPr>
        <w:ind w:left="1440"/>
        <w:rPr>
          <w:rFonts w:ascii="Arial" w:hAnsi="Arial"/>
          <w:sz w:val="24"/>
        </w:rPr>
      </w:pPr>
      <w:r>
        <w:rPr>
          <w:rFonts w:ascii="Arial" w:hAnsi="Arial"/>
          <w:sz w:val="24"/>
        </w:rPr>
        <w:t>Investigation of a suspected hemolytic transfusion reaction must include a DAT.</w:t>
      </w:r>
      <w:r>
        <w:rPr>
          <w:rFonts w:ascii="Arial" w:hAnsi="Arial"/>
          <w:sz w:val="24"/>
          <w:vertAlign w:val="superscript"/>
        </w:rPr>
        <w:t>9.2</w:t>
      </w:r>
    </w:p>
    <w:p w:rsidR="002A6041" w:rsidRDefault="002A6041">
      <w:pPr>
        <w:ind w:left="720"/>
        <w:rPr>
          <w:rFonts w:ascii="Arial" w:hAnsi="Arial"/>
          <w:sz w:val="18"/>
        </w:rPr>
      </w:pPr>
    </w:p>
    <w:p w:rsidR="002A6041" w:rsidRDefault="002A6041">
      <w:pPr>
        <w:numPr>
          <w:ilvl w:val="0"/>
          <w:numId w:val="1"/>
        </w:numPr>
        <w:rPr>
          <w:rFonts w:ascii="Arial" w:hAnsi="Arial"/>
          <w:b/>
          <w:sz w:val="28"/>
        </w:rPr>
      </w:pPr>
      <w:r>
        <w:rPr>
          <w:rFonts w:ascii="Arial" w:hAnsi="Arial"/>
          <w:b/>
          <w:sz w:val="28"/>
        </w:rPr>
        <w:t>Specimens</w:t>
      </w:r>
      <w:r w:rsidR="00E60981">
        <w:rPr>
          <w:rFonts w:ascii="Arial" w:hAnsi="Arial"/>
          <w:b/>
          <w:sz w:val="28"/>
        </w:rPr>
        <w:t xml:space="preserve"> – N/A</w:t>
      </w:r>
    </w:p>
    <w:p w:rsidR="002A6041" w:rsidRPr="00B35031" w:rsidRDefault="002A6041">
      <w:pPr>
        <w:ind w:left="720"/>
        <w:rPr>
          <w:rFonts w:ascii="Arial" w:hAnsi="Arial"/>
          <w:sz w:val="24"/>
        </w:rPr>
      </w:pPr>
    </w:p>
    <w:p w:rsidR="002A6041" w:rsidRDefault="002A6041">
      <w:pPr>
        <w:numPr>
          <w:ilvl w:val="0"/>
          <w:numId w:val="1"/>
        </w:numPr>
        <w:rPr>
          <w:rFonts w:ascii="Arial" w:hAnsi="Arial"/>
          <w:b/>
          <w:sz w:val="28"/>
        </w:rPr>
      </w:pPr>
      <w:r>
        <w:rPr>
          <w:rFonts w:ascii="Arial" w:hAnsi="Arial"/>
          <w:b/>
          <w:sz w:val="28"/>
        </w:rPr>
        <w:t>Materials</w:t>
      </w:r>
      <w:r w:rsidR="00E60981">
        <w:rPr>
          <w:rFonts w:ascii="Arial" w:hAnsi="Arial"/>
          <w:b/>
          <w:sz w:val="28"/>
        </w:rPr>
        <w:t xml:space="preserve"> – N/A</w:t>
      </w:r>
    </w:p>
    <w:p w:rsidR="00B35031" w:rsidRPr="00B35031" w:rsidRDefault="00B35031" w:rsidP="00B35031">
      <w:pPr>
        <w:ind w:left="720"/>
        <w:rPr>
          <w:rFonts w:ascii="Arial" w:hAnsi="Arial"/>
          <w:sz w:val="24"/>
        </w:rPr>
      </w:pPr>
    </w:p>
    <w:p w:rsidR="00275060" w:rsidRDefault="002A6041" w:rsidP="00391FC1">
      <w:pPr>
        <w:numPr>
          <w:ilvl w:val="0"/>
          <w:numId w:val="1"/>
        </w:numPr>
        <w:rPr>
          <w:rFonts w:ascii="Arial" w:hAnsi="Arial"/>
          <w:sz w:val="24"/>
        </w:rPr>
      </w:pPr>
      <w:r w:rsidRPr="00391FC1">
        <w:rPr>
          <w:rFonts w:ascii="Arial" w:hAnsi="Arial"/>
          <w:b/>
          <w:sz w:val="28"/>
        </w:rPr>
        <w:t xml:space="preserve">Quality Control – </w:t>
      </w:r>
      <w:r w:rsidR="00E60981" w:rsidRPr="00391FC1">
        <w:rPr>
          <w:rFonts w:ascii="Arial" w:hAnsi="Arial"/>
          <w:b/>
          <w:sz w:val="28"/>
        </w:rPr>
        <w:t>N/A</w:t>
      </w:r>
      <w:r w:rsidR="00E60981" w:rsidRPr="00391FC1">
        <w:rPr>
          <w:rFonts w:ascii="Arial" w:hAnsi="Arial"/>
          <w:b/>
          <w:sz w:val="28"/>
        </w:rPr>
        <w:br/>
      </w:r>
    </w:p>
    <w:p w:rsidR="002A6041" w:rsidRDefault="002A6041" w:rsidP="00391FC1">
      <w:pPr>
        <w:numPr>
          <w:ilvl w:val="0"/>
          <w:numId w:val="1"/>
        </w:numPr>
        <w:tabs>
          <w:tab w:val="clear" w:pos="720"/>
        </w:tabs>
        <w:ind w:left="-142" w:firstLine="142"/>
        <w:rPr>
          <w:rFonts w:ascii="Arial" w:hAnsi="Arial"/>
          <w:b/>
          <w:sz w:val="28"/>
        </w:rPr>
      </w:pPr>
      <w:r>
        <w:rPr>
          <w:rFonts w:ascii="Arial" w:hAnsi="Arial"/>
          <w:b/>
          <w:sz w:val="28"/>
        </w:rPr>
        <w:t>Procedures</w:t>
      </w:r>
    </w:p>
    <w:p w:rsidR="00391FC1" w:rsidRDefault="00391FC1" w:rsidP="00391FC1">
      <w:pPr>
        <w:ind w:left="-142"/>
        <w:rPr>
          <w:rFonts w:ascii="Arial" w:hAnsi="Arial"/>
          <w:b/>
          <w:sz w:val="28"/>
        </w:rPr>
      </w:pPr>
    </w:p>
    <w:tbl>
      <w:tblPr>
        <w:tblStyle w:val="TableGrid"/>
        <w:tblW w:w="11058" w:type="dxa"/>
        <w:tblInd w:w="-885" w:type="dxa"/>
        <w:tblLook w:val="04A0" w:firstRow="1" w:lastRow="0" w:firstColumn="1" w:lastColumn="0" w:noHBand="0" w:noVBand="1"/>
      </w:tblPr>
      <w:tblGrid>
        <w:gridCol w:w="2613"/>
        <w:gridCol w:w="8445"/>
      </w:tblGrid>
      <w:tr w:rsidR="000447C6" w:rsidTr="00B35031">
        <w:tc>
          <w:tcPr>
            <w:tcW w:w="2613" w:type="dxa"/>
            <w:shd w:val="clear" w:color="auto" w:fill="auto"/>
          </w:tcPr>
          <w:p w:rsidR="007C1AD8" w:rsidRDefault="00E60981" w:rsidP="00E60981">
            <w:pPr>
              <w:numPr>
                <w:ilvl w:val="0"/>
                <w:numId w:val="3"/>
              </w:numPr>
              <w:ind w:hanging="578"/>
              <w:rPr>
                <w:rFonts w:ascii="Arial" w:hAnsi="Arial"/>
                <w:sz w:val="24"/>
              </w:rPr>
            </w:pPr>
            <w:r>
              <w:rPr>
                <w:rFonts w:ascii="Arial" w:hAnsi="Arial"/>
                <w:sz w:val="24"/>
              </w:rPr>
              <w:t xml:space="preserve">Send Samples to </w:t>
            </w:r>
            <w:r w:rsidR="00391FC1">
              <w:rPr>
                <w:rFonts w:ascii="Arial" w:hAnsi="Arial"/>
                <w:sz w:val="24"/>
              </w:rPr>
              <w:t>r</w:t>
            </w:r>
            <w:r w:rsidR="00002263">
              <w:rPr>
                <w:rFonts w:ascii="Arial" w:hAnsi="Arial"/>
                <w:sz w:val="24"/>
              </w:rPr>
              <w:t>eference</w:t>
            </w:r>
            <w:r w:rsidR="00391FC1">
              <w:rPr>
                <w:rFonts w:ascii="Arial" w:hAnsi="Arial"/>
                <w:sz w:val="24"/>
              </w:rPr>
              <w:t xml:space="preserve"> l</w:t>
            </w:r>
            <w:r>
              <w:rPr>
                <w:rFonts w:ascii="Arial" w:hAnsi="Arial"/>
                <w:sz w:val="24"/>
              </w:rPr>
              <w:t>aboratory</w:t>
            </w:r>
            <w:r w:rsidR="00002263" w:rsidRPr="00AD3A19">
              <w:rPr>
                <w:rFonts w:ascii="Arial" w:hAnsi="Arial"/>
                <w:sz w:val="24"/>
              </w:rPr>
              <w:t xml:space="preserve"> </w:t>
            </w:r>
            <w:r w:rsidR="00002263">
              <w:rPr>
                <w:rFonts w:ascii="Arial" w:hAnsi="Arial"/>
                <w:sz w:val="24"/>
              </w:rPr>
              <w:t>i</w:t>
            </w:r>
            <w:r w:rsidR="00002263" w:rsidRPr="00AD3A19">
              <w:rPr>
                <w:rFonts w:ascii="Arial" w:hAnsi="Arial"/>
                <w:sz w:val="24"/>
              </w:rPr>
              <w:t xml:space="preserve">f </w:t>
            </w:r>
            <w:r w:rsidR="00002263">
              <w:rPr>
                <w:rFonts w:ascii="Arial" w:hAnsi="Arial"/>
                <w:sz w:val="24"/>
              </w:rPr>
              <w:t xml:space="preserve">DAT </w:t>
            </w:r>
            <w:r w:rsidR="00002263">
              <w:rPr>
                <w:rFonts w:ascii="Arial" w:hAnsi="Arial"/>
                <w:sz w:val="24"/>
              </w:rPr>
              <w:lastRenderedPageBreak/>
              <w:t xml:space="preserve">investigation is </w:t>
            </w:r>
            <w:r w:rsidR="00002263" w:rsidRPr="00AD3A19">
              <w:rPr>
                <w:rFonts w:ascii="Arial" w:hAnsi="Arial"/>
                <w:sz w:val="24"/>
              </w:rPr>
              <w:t>not performed on site</w:t>
            </w:r>
          </w:p>
        </w:tc>
        <w:tc>
          <w:tcPr>
            <w:tcW w:w="8445" w:type="dxa"/>
          </w:tcPr>
          <w:p w:rsidR="007C1AD8" w:rsidRDefault="00391FC1" w:rsidP="00414E71">
            <w:pPr>
              <w:numPr>
                <w:ilvl w:val="0"/>
                <w:numId w:val="5"/>
              </w:numPr>
              <w:ind w:left="675" w:hanging="675"/>
              <w:rPr>
                <w:rFonts w:ascii="Arial" w:hAnsi="Arial"/>
                <w:sz w:val="24"/>
              </w:rPr>
            </w:pPr>
            <w:r>
              <w:rPr>
                <w:rFonts w:ascii="Arial" w:hAnsi="Arial"/>
                <w:sz w:val="24"/>
              </w:rPr>
              <w:lastRenderedPageBreak/>
              <w:t>F</w:t>
            </w:r>
            <w:r w:rsidR="00E60981" w:rsidRPr="00AD3A19">
              <w:rPr>
                <w:rFonts w:ascii="Arial" w:hAnsi="Arial"/>
                <w:sz w:val="24"/>
              </w:rPr>
              <w:t>ollow procedure for sending samples to a reference laboratory. Obtain the following information:</w:t>
            </w:r>
          </w:p>
          <w:p w:rsidR="00E60981" w:rsidRDefault="00E60981" w:rsidP="00E60981">
            <w:pPr>
              <w:numPr>
                <w:ilvl w:val="0"/>
                <w:numId w:val="15"/>
              </w:numPr>
              <w:tabs>
                <w:tab w:val="clear" w:pos="360"/>
                <w:tab w:val="num" w:pos="1800"/>
              </w:tabs>
              <w:spacing w:line="228" w:lineRule="auto"/>
              <w:ind w:left="1800"/>
              <w:rPr>
                <w:rFonts w:ascii="Arial" w:hAnsi="Arial"/>
                <w:sz w:val="24"/>
              </w:rPr>
            </w:pPr>
            <w:r>
              <w:rPr>
                <w:rFonts w:ascii="Arial" w:hAnsi="Arial"/>
                <w:sz w:val="24"/>
              </w:rPr>
              <w:t>Clinical history (including mother if patient is neonate)</w:t>
            </w:r>
          </w:p>
          <w:p w:rsidR="00E60981" w:rsidRDefault="00E60981" w:rsidP="00E60981">
            <w:pPr>
              <w:numPr>
                <w:ilvl w:val="0"/>
                <w:numId w:val="15"/>
              </w:numPr>
              <w:tabs>
                <w:tab w:val="clear" w:pos="360"/>
                <w:tab w:val="num" w:pos="1800"/>
              </w:tabs>
              <w:spacing w:line="228" w:lineRule="auto"/>
              <w:ind w:left="1800"/>
              <w:rPr>
                <w:rFonts w:ascii="Arial" w:hAnsi="Arial"/>
                <w:sz w:val="24"/>
              </w:rPr>
            </w:pPr>
            <w:r>
              <w:rPr>
                <w:rFonts w:ascii="Arial" w:hAnsi="Arial"/>
                <w:sz w:val="24"/>
              </w:rPr>
              <w:t>Medication history</w:t>
            </w:r>
          </w:p>
          <w:p w:rsidR="00E60981" w:rsidRDefault="00E60981" w:rsidP="00E60981">
            <w:pPr>
              <w:numPr>
                <w:ilvl w:val="0"/>
                <w:numId w:val="15"/>
              </w:numPr>
              <w:tabs>
                <w:tab w:val="clear" w:pos="360"/>
                <w:tab w:val="num" w:pos="1800"/>
              </w:tabs>
              <w:spacing w:line="228" w:lineRule="auto"/>
              <w:ind w:left="1800"/>
              <w:rPr>
                <w:rFonts w:ascii="Arial" w:hAnsi="Arial"/>
                <w:sz w:val="24"/>
              </w:rPr>
            </w:pPr>
            <w:r>
              <w:rPr>
                <w:rFonts w:ascii="Arial" w:hAnsi="Arial"/>
                <w:sz w:val="24"/>
              </w:rPr>
              <w:lastRenderedPageBreak/>
              <w:t>Transfusion(s) in the past three months (including intrauterine)</w:t>
            </w:r>
          </w:p>
          <w:p w:rsidR="00E60981" w:rsidRDefault="00E60981" w:rsidP="00E60981">
            <w:pPr>
              <w:spacing w:line="228" w:lineRule="auto"/>
              <w:rPr>
                <w:rFonts w:ascii="Arial" w:hAnsi="Arial"/>
                <w:sz w:val="24"/>
              </w:rPr>
            </w:pPr>
          </w:p>
          <w:p w:rsidR="00E60981" w:rsidRPr="00002263" w:rsidRDefault="00E60981" w:rsidP="00B35031">
            <w:pPr>
              <w:pStyle w:val="BodyTextIndent"/>
              <w:spacing w:after="0" w:line="228" w:lineRule="auto"/>
              <w:ind w:left="706"/>
              <w:rPr>
                <w:rFonts w:ascii="Arial" w:hAnsi="Arial" w:cs="Arial"/>
                <w:sz w:val="24"/>
                <w:szCs w:val="24"/>
              </w:rPr>
            </w:pPr>
            <w:r w:rsidRPr="00E60981">
              <w:rPr>
                <w:rFonts w:ascii="Arial" w:hAnsi="Arial" w:cs="Arial"/>
                <w:sz w:val="24"/>
                <w:szCs w:val="24"/>
              </w:rPr>
              <w:t>It may be necessary to ask the patient, the patient’s family, the attending nurse and/or the physician to obtain an accurate history.</w:t>
            </w:r>
          </w:p>
        </w:tc>
      </w:tr>
      <w:tr w:rsidR="00391FC1" w:rsidTr="00B35031">
        <w:trPr>
          <w:trHeight w:val="876"/>
        </w:trPr>
        <w:tc>
          <w:tcPr>
            <w:tcW w:w="2613" w:type="dxa"/>
            <w:vMerge w:val="restart"/>
            <w:shd w:val="clear" w:color="auto" w:fill="auto"/>
          </w:tcPr>
          <w:p w:rsidR="00391FC1" w:rsidRDefault="00391FC1" w:rsidP="00391FC1">
            <w:pPr>
              <w:numPr>
                <w:ilvl w:val="0"/>
                <w:numId w:val="3"/>
              </w:numPr>
              <w:ind w:hanging="578"/>
              <w:rPr>
                <w:rFonts w:ascii="Arial" w:hAnsi="Arial"/>
                <w:sz w:val="24"/>
              </w:rPr>
            </w:pPr>
            <w:r>
              <w:rPr>
                <w:rFonts w:ascii="Arial" w:hAnsi="Arial"/>
                <w:sz w:val="24"/>
              </w:rPr>
              <w:lastRenderedPageBreak/>
              <w:t>Consider the possibility of a delayed hemolytic transfusion reaction if DAT investigation is performed on site</w:t>
            </w:r>
          </w:p>
        </w:tc>
        <w:tc>
          <w:tcPr>
            <w:tcW w:w="8445" w:type="dxa"/>
          </w:tcPr>
          <w:p w:rsidR="00391FC1" w:rsidRPr="00391FC1" w:rsidRDefault="00391FC1" w:rsidP="00B35031">
            <w:pPr>
              <w:pStyle w:val="ListParagraph"/>
              <w:numPr>
                <w:ilvl w:val="2"/>
                <w:numId w:val="32"/>
              </w:numPr>
              <w:rPr>
                <w:rFonts w:ascii="Arial" w:hAnsi="Arial"/>
                <w:sz w:val="24"/>
              </w:rPr>
            </w:pPr>
            <w:r w:rsidRPr="00391FC1">
              <w:rPr>
                <w:rFonts w:ascii="Arial" w:hAnsi="Arial"/>
                <w:sz w:val="24"/>
              </w:rPr>
              <w:t>Consider the possibility of a delayed hemolytic transfusion reaction if the patient has been transfused in the past three months (or if the history of transfusion is unsure or unknown). See Procedural Notes 8.1</w:t>
            </w:r>
          </w:p>
        </w:tc>
      </w:tr>
      <w:tr w:rsidR="00391FC1" w:rsidTr="00B35031">
        <w:trPr>
          <w:trHeight w:val="599"/>
        </w:trPr>
        <w:tc>
          <w:tcPr>
            <w:tcW w:w="2613" w:type="dxa"/>
            <w:vMerge/>
            <w:shd w:val="clear" w:color="auto" w:fill="auto"/>
          </w:tcPr>
          <w:p w:rsidR="00391FC1" w:rsidRDefault="00391FC1">
            <w:pPr>
              <w:numPr>
                <w:ilvl w:val="0"/>
                <w:numId w:val="3"/>
              </w:numPr>
              <w:ind w:hanging="578"/>
              <w:rPr>
                <w:rFonts w:ascii="Arial" w:hAnsi="Arial"/>
                <w:sz w:val="24"/>
              </w:rPr>
            </w:pPr>
          </w:p>
        </w:tc>
        <w:tc>
          <w:tcPr>
            <w:tcW w:w="8445" w:type="dxa"/>
          </w:tcPr>
          <w:p w:rsidR="00391FC1" w:rsidRPr="00391FC1" w:rsidRDefault="00391FC1" w:rsidP="00391FC1">
            <w:pPr>
              <w:pStyle w:val="ListParagraph"/>
              <w:numPr>
                <w:ilvl w:val="2"/>
                <w:numId w:val="32"/>
              </w:numPr>
              <w:rPr>
                <w:rFonts w:ascii="Arial" w:hAnsi="Arial"/>
                <w:sz w:val="24"/>
              </w:rPr>
            </w:pPr>
            <w:r w:rsidRPr="00391FC1">
              <w:rPr>
                <w:rFonts w:ascii="Arial" w:hAnsi="Arial"/>
                <w:sz w:val="24"/>
              </w:rPr>
              <w:t>Find out where the transfusion occurred and contact the hospital to inquire about the pre-transfusion antibody screen and DAT status</w:t>
            </w:r>
          </w:p>
        </w:tc>
      </w:tr>
      <w:tr w:rsidR="00391FC1" w:rsidTr="00B35031">
        <w:trPr>
          <w:trHeight w:val="3006"/>
        </w:trPr>
        <w:tc>
          <w:tcPr>
            <w:tcW w:w="2613" w:type="dxa"/>
            <w:vMerge/>
            <w:shd w:val="clear" w:color="auto" w:fill="auto"/>
          </w:tcPr>
          <w:p w:rsidR="00391FC1" w:rsidRDefault="00391FC1">
            <w:pPr>
              <w:numPr>
                <w:ilvl w:val="0"/>
                <w:numId w:val="3"/>
              </w:numPr>
              <w:ind w:hanging="578"/>
              <w:rPr>
                <w:rFonts w:ascii="Arial" w:hAnsi="Arial"/>
                <w:sz w:val="24"/>
              </w:rPr>
            </w:pPr>
          </w:p>
        </w:tc>
        <w:tc>
          <w:tcPr>
            <w:tcW w:w="8445" w:type="dxa"/>
          </w:tcPr>
          <w:p w:rsidR="00391FC1" w:rsidRPr="00391FC1" w:rsidRDefault="00391FC1" w:rsidP="00391FC1">
            <w:pPr>
              <w:pStyle w:val="ListParagraph"/>
              <w:numPr>
                <w:ilvl w:val="2"/>
                <w:numId w:val="32"/>
              </w:numPr>
              <w:rPr>
                <w:rFonts w:ascii="Arial" w:hAnsi="Arial"/>
                <w:sz w:val="24"/>
              </w:rPr>
            </w:pPr>
            <w:r w:rsidRPr="00391FC1">
              <w:rPr>
                <w:rFonts w:ascii="Arial" w:hAnsi="Arial"/>
                <w:sz w:val="24"/>
              </w:rPr>
              <w:t>Perform an antibody screen or a group and screen on the current specimen.</w:t>
            </w:r>
          </w:p>
          <w:tbl>
            <w:tblPr>
              <w:tblStyle w:val="TableGrid"/>
              <w:tblW w:w="0" w:type="auto"/>
              <w:jc w:val="center"/>
              <w:tblLook w:val="04A0" w:firstRow="1" w:lastRow="0" w:firstColumn="1" w:lastColumn="0" w:noHBand="0" w:noVBand="1"/>
            </w:tblPr>
            <w:tblGrid>
              <w:gridCol w:w="2120"/>
              <w:gridCol w:w="5705"/>
            </w:tblGrid>
            <w:tr w:rsidR="00391FC1" w:rsidTr="00B35031">
              <w:trPr>
                <w:jc w:val="center"/>
              </w:trPr>
              <w:tc>
                <w:tcPr>
                  <w:tcW w:w="2120" w:type="dxa"/>
                  <w:shd w:val="clear" w:color="auto" w:fill="F2F2F2" w:themeFill="background1" w:themeFillShade="F2"/>
                </w:tcPr>
                <w:p w:rsidR="00391FC1" w:rsidRPr="0060716B" w:rsidRDefault="00391FC1" w:rsidP="006E07CB">
                  <w:pPr>
                    <w:rPr>
                      <w:rFonts w:ascii="Arial" w:hAnsi="Arial"/>
                      <w:b/>
                      <w:i/>
                      <w:sz w:val="24"/>
                    </w:rPr>
                  </w:pPr>
                  <w:r w:rsidRPr="0060716B">
                    <w:rPr>
                      <w:rFonts w:ascii="Arial" w:hAnsi="Arial"/>
                      <w:b/>
                      <w:i/>
                      <w:sz w:val="24"/>
                    </w:rPr>
                    <w:t>If</w:t>
                  </w:r>
                </w:p>
              </w:tc>
              <w:tc>
                <w:tcPr>
                  <w:tcW w:w="5705" w:type="dxa"/>
                  <w:shd w:val="clear" w:color="auto" w:fill="F2F2F2" w:themeFill="background1" w:themeFillShade="F2"/>
                </w:tcPr>
                <w:p w:rsidR="00391FC1" w:rsidRPr="0060716B" w:rsidRDefault="00391FC1" w:rsidP="006E07CB">
                  <w:pPr>
                    <w:rPr>
                      <w:rFonts w:ascii="Arial" w:hAnsi="Arial"/>
                      <w:b/>
                      <w:i/>
                      <w:sz w:val="24"/>
                    </w:rPr>
                  </w:pPr>
                  <w:r w:rsidRPr="0060716B">
                    <w:rPr>
                      <w:rFonts w:ascii="Arial" w:hAnsi="Arial"/>
                      <w:b/>
                      <w:i/>
                      <w:sz w:val="24"/>
                    </w:rPr>
                    <w:t>then</w:t>
                  </w:r>
                </w:p>
              </w:tc>
            </w:tr>
            <w:tr w:rsidR="00391FC1" w:rsidTr="00B35031">
              <w:trPr>
                <w:jc w:val="center"/>
              </w:trPr>
              <w:tc>
                <w:tcPr>
                  <w:tcW w:w="2120" w:type="dxa"/>
                </w:tcPr>
                <w:p w:rsidR="00391FC1" w:rsidRDefault="00391FC1" w:rsidP="006E07CB">
                  <w:pPr>
                    <w:rPr>
                      <w:rFonts w:ascii="Arial" w:hAnsi="Arial"/>
                      <w:sz w:val="24"/>
                    </w:rPr>
                  </w:pPr>
                  <w:r>
                    <w:rPr>
                      <w:rFonts w:ascii="Arial" w:hAnsi="Arial"/>
                      <w:sz w:val="24"/>
                    </w:rPr>
                    <w:t>the antibody screen is positive</w:t>
                  </w:r>
                </w:p>
              </w:tc>
              <w:tc>
                <w:tcPr>
                  <w:tcW w:w="5705" w:type="dxa"/>
                </w:tcPr>
                <w:p w:rsidR="00391FC1" w:rsidRDefault="00391FC1" w:rsidP="00B35031">
                  <w:pPr>
                    <w:rPr>
                      <w:rFonts w:ascii="Arial" w:hAnsi="Arial"/>
                      <w:sz w:val="24"/>
                    </w:rPr>
                  </w:pPr>
                  <w:r>
                    <w:rPr>
                      <w:rFonts w:ascii="Arial" w:hAnsi="Arial"/>
                      <w:sz w:val="24"/>
                    </w:rPr>
                    <w:t>perform an antibody identification. See NRT.007 – Antibody Identification of Warm Reactive Antibodies</w:t>
                  </w:r>
                </w:p>
              </w:tc>
            </w:tr>
            <w:tr w:rsidR="00391FC1" w:rsidTr="00B35031">
              <w:trPr>
                <w:jc w:val="center"/>
              </w:trPr>
              <w:tc>
                <w:tcPr>
                  <w:tcW w:w="2120" w:type="dxa"/>
                </w:tcPr>
                <w:p w:rsidR="00391FC1" w:rsidRDefault="00275060" w:rsidP="006E07CB">
                  <w:pPr>
                    <w:rPr>
                      <w:rFonts w:ascii="Arial" w:hAnsi="Arial"/>
                      <w:sz w:val="24"/>
                    </w:rPr>
                  </w:pPr>
                  <w:r>
                    <w:rPr>
                      <w:rFonts w:ascii="Arial" w:hAnsi="Arial"/>
                      <w:sz w:val="24"/>
                    </w:rPr>
                    <w:t>i</w:t>
                  </w:r>
                  <w:r w:rsidR="00391FC1">
                    <w:rPr>
                      <w:rFonts w:ascii="Arial" w:hAnsi="Arial"/>
                      <w:sz w:val="24"/>
                    </w:rPr>
                    <w:t>f all cells (screening and panel) are positive</w:t>
                  </w:r>
                </w:p>
              </w:tc>
              <w:tc>
                <w:tcPr>
                  <w:tcW w:w="5705" w:type="dxa"/>
                </w:tcPr>
                <w:p w:rsidR="00391FC1" w:rsidRDefault="00391FC1" w:rsidP="00B35031">
                  <w:pPr>
                    <w:spacing w:line="228" w:lineRule="auto"/>
                    <w:rPr>
                      <w:rFonts w:ascii="Arial" w:hAnsi="Arial"/>
                      <w:sz w:val="24"/>
                    </w:rPr>
                  </w:pPr>
                  <w:r>
                    <w:rPr>
                      <w:rFonts w:ascii="Arial" w:hAnsi="Arial"/>
                      <w:sz w:val="24"/>
                    </w:rPr>
                    <w:t>consider performing an allogeneic red cell adsorption or sending specimens to a reference laboratory for investigation. See Procedural Notes 8.2.</w:t>
                  </w:r>
                </w:p>
              </w:tc>
            </w:tr>
          </w:tbl>
          <w:p w:rsidR="00391FC1" w:rsidRDefault="00391FC1" w:rsidP="00391FC1">
            <w:pPr>
              <w:ind w:left="742" w:hanging="708"/>
              <w:rPr>
                <w:rFonts w:ascii="Arial" w:hAnsi="Arial"/>
                <w:sz w:val="24"/>
              </w:rPr>
            </w:pPr>
          </w:p>
        </w:tc>
      </w:tr>
      <w:tr w:rsidR="00391FC1" w:rsidTr="00B35031">
        <w:trPr>
          <w:trHeight w:val="6440"/>
        </w:trPr>
        <w:tc>
          <w:tcPr>
            <w:tcW w:w="2613" w:type="dxa"/>
            <w:vMerge/>
            <w:shd w:val="clear" w:color="auto" w:fill="auto"/>
          </w:tcPr>
          <w:p w:rsidR="00391FC1" w:rsidRDefault="00391FC1">
            <w:pPr>
              <w:numPr>
                <w:ilvl w:val="0"/>
                <w:numId w:val="3"/>
              </w:numPr>
              <w:ind w:hanging="578"/>
              <w:rPr>
                <w:rFonts w:ascii="Arial" w:hAnsi="Arial"/>
                <w:sz w:val="24"/>
              </w:rPr>
            </w:pPr>
          </w:p>
        </w:tc>
        <w:tc>
          <w:tcPr>
            <w:tcW w:w="8445" w:type="dxa"/>
          </w:tcPr>
          <w:p w:rsidR="00391FC1" w:rsidRDefault="00391FC1" w:rsidP="00391FC1">
            <w:pPr>
              <w:pStyle w:val="ListParagraph"/>
              <w:numPr>
                <w:ilvl w:val="2"/>
                <w:numId w:val="32"/>
              </w:numPr>
              <w:rPr>
                <w:rFonts w:ascii="Arial" w:hAnsi="Arial"/>
                <w:sz w:val="24"/>
              </w:rPr>
            </w:pPr>
            <w:r w:rsidRPr="000B5C94">
              <w:rPr>
                <w:rFonts w:ascii="Arial" w:hAnsi="Arial"/>
                <w:sz w:val="24"/>
              </w:rPr>
              <w:t>Prepare an eluate or send the specimen to a reference laboratory for an elution See NRT.010 – Acid Elution. An elution may be omitted if all the criteria in procedural note 8.3 are met or if directed by a laboratory physician</w:t>
            </w:r>
          </w:p>
          <w:tbl>
            <w:tblPr>
              <w:tblStyle w:val="TableGrid"/>
              <w:tblW w:w="0" w:type="auto"/>
              <w:tblLook w:val="04A0" w:firstRow="1" w:lastRow="0" w:firstColumn="1" w:lastColumn="0" w:noHBand="0" w:noVBand="1"/>
            </w:tblPr>
            <w:tblGrid>
              <w:gridCol w:w="2317"/>
              <w:gridCol w:w="5508"/>
            </w:tblGrid>
            <w:tr w:rsidR="00391FC1" w:rsidTr="00B35031">
              <w:tc>
                <w:tcPr>
                  <w:tcW w:w="2317" w:type="dxa"/>
                  <w:shd w:val="clear" w:color="auto" w:fill="F2F2F2" w:themeFill="background1" w:themeFillShade="F2"/>
                </w:tcPr>
                <w:p w:rsidR="00391FC1" w:rsidRPr="0060716B" w:rsidRDefault="00391FC1" w:rsidP="006E07CB">
                  <w:pPr>
                    <w:rPr>
                      <w:rFonts w:ascii="Arial" w:hAnsi="Arial"/>
                      <w:b/>
                      <w:i/>
                      <w:sz w:val="24"/>
                    </w:rPr>
                  </w:pPr>
                  <w:r w:rsidRPr="0060716B">
                    <w:rPr>
                      <w:rFonts w:ascii="Arial" w:hAnsi="Arial"/>
                      <w:b/>
                      <w:i/>
                      <w:sz w:val="24"/>
                    </w:rPr>
                    <w:t>If</w:t>
                  </w:r>
                </w:p>
              </w:tc>
              <w:tc>
                <w:tcPr>
                  <w:tcW w:w="5508" w:type="dxa"/>
                  <w:shd w:val="clear" w:color="auto" w:fill="F2F2F2" w:themeFill="background1" w:themeFillShade="F2"/>
                </w:tcPr>
                <w:p w:rsidR="00391FC1" w:rsidRPr="0060716B" w:rsidRDefault="00391FC1" w:rsidP="006E07CB">
                  <w:pPr>
                    <w:rPr>
                      <w:rFonts w:ascii="Arial" w:hAnsi="Arial"/>
                      <w:b/>
                      <w:i/>
                      <w:sz w:val="24"/>
                    </w:rPr>
                  </w:pPr>
                  <w:r>
                    <w:rPr>
                      <w:rFonts w:ascii="Arial" w:hAnsi="Arial"/>
                      <w:b/>
                      <w:i/>
                      <w:sz w:val="24"/>
                    </w:rPr>
                    <w:t>t</w:t>
                  </w:r>
                  <w:r w:rsidRPr="0060716B">
                    <w:rPr>
                      <w:rFonts w:ascii="Arial" w:hAnsi="Arial"/>
                      <w:b/>
                      <w:i/>
                      <w:sz w:val="24"/>
                    </w:rPr>
                    <w:t>hen</w:t>
                  </w:r>
                </w:p>
              </w:tc>
            </w:tr>
            <w:tr w:rsidR="00391FC1" w:rsidTr="00B35031">
              <w:tc>
                <w:tcPr>
                  <w:tcW w:w="2317" w:type="dxa"/>
                </w:tcPr>
                <w:p w:rsidR="00391FC1" w:rsidRDefault="00391FC1" w:rsidP="006E07CB">
                  <w:pPr>
                    <w:rPr>
                      <w:rFonts w:ascii="Arial" w:hAnsi="Arial"/>
                      <w:sz w:val="24"/>
                    </w:rPr>
                  </w:pPr>
                  <w:r>
                    <w:rPr>
                      <w:rFonts w:ascii="Arial" w:hAnsi="Arial"/>
                      <w:sz w:val="24"/>
                    </w:rPr>
                    <w:t xml:space="preserve">the patient </w:t>
                  </w:r>
                  <w:r w:rsidRPr="00F4199C">
                    <w:rPr>
                      <w:rFonts w:ascii="Arial" w:hAnsi="Arial"/>
                      <w:sz w:val="24"/>
                    </w:rPr>
                    <w:t>has not been transfused</w:t>
                  </w:r>
                  <w:r>
                    <w:rPr>
                      <w:rFonts w:ascii="Arial" w:hAnsi="Arial"/>
                      <w:sz w:val="24"/>
                    </w:rPr>
                    <w:t xml:space="preserve"> in the past three months</w:t>
                  </w:r>
                </w:p>
              </w:tc>
              <w:tc>
                <w:tcPr>
                  <w:tcW w:w="5508" w:type="dxa"/>
                </w:tcPr>
                <w:p w:rsidR="00391FC1" w:rsidRDefault="00391FC1" w:rsidP="006E07CB">
                  <w:pPr>
                    <w:rPr>
                      <w:rFonts w:ascii="Arial" w:hAnsi="Arial"/>
                      <w:sz w:val="24"/>
                    </w:rPr>
                  </w:pPr>
                  <w:r>
                    <w:rPr>
                      <w:rFonts w:ascii="Arial" w:hAnsi="Arial"/>
                      <w:sz w:val="24"/>
                    </w:rPr>
                    <w:t>an eluate is not required.  See Procedural Notes 8.4</w:t>
                  </w:r>
                </w:p>
                <w:p w:rsidR="00391FC1" w:rsidRDefault="00391FC1" w:rsidP="006E07CB">
                  <w:pPr>
                    <w:rPr>
                      <w:rFonts w:ascii="Arial" w:hAnsi="Arial"/>
                      <w:sz w:val="24"/>
                    </w:rPr>
                  </w:pPr>
                </w:p>
              </w:tc>
            </w:tr>
            <w:tr w:rsidR="00391FC1" w:rsidTr="00B35031">
              <w:tc>
                <w:tcPr>
                  <w:tcW w:w="2317" w:type="dxa"/>
                </w:tcPr>
                <w:p w:rsidR="00391FC1" w:rsidRDefault="00391FC1" w:rsidP="006E07CB">
                  <w:pPr>
                    <w:rPr>
                      <w:rFonts w:ascii="Arial" w:hAnsi="Arial"/>
                      <w:sz w:val="24"/>
                    </w:rPr>
                  </w:pPr>
                  <w:r>
                    <w:rPr>
                      <w:rFonts w:ascii="Arial" w:hAnsi="Arial"/>
                      <w:sz w:val="24"/>
                    </w:rPr>
                    <w:t xml:space="preserve">the </w:t>
                  </w:r>
                  <w:proofErr w:type="spellStart"/>
                  <w:r>
                    <w:rPr>
                      <w:rFonts w:ascii="Arial" w:hAnsi="Arial"/>
                      <w:sz w:val="24"/>
                    </w:rPr>
                    <w:t>the</w:t>
                  </w:r>
                  <w:proofErr w:type="spellEnd"/>
                  <w:r>
                    <w:rPr>
                      <w:rFonts w:ascii="Arial" w:hAnsi="Arial"/>
                      <w:sz w:val="24"/>
                    </w:rPr>
                    <w:t xml:space="preserve"> DAT is positive with anti-C3 and negative with anti IgG</w:t>
                  </w:r>
                </w:p>
              </w:tc>
              <w:tc>
                <w:tcPr>
                  <w:tcW w:w="5508" w:type="dxa"/>
                </w:tcPr>
                <w:p w:rsidR="00391FC1" w:rsidRDefault="00391FC1" w:rsidP="006E07CB">
                  <w:pPr>
                    <w:rPr>
                      <w:rFonts w:ascii="Arial" w:hAnsi="Arial"/>
                      <w:sz w:val="24"/>
                    </w:rPr>
                  </w:pPr>
                  <w:r>
                    <w:rPr>
                      <w:rFonts w:ascii="Arial" w:hAnsi="Arial"/>
                      <w:sz w:val="24"/>
                    </w:rPr>
                    <w:t>an eluate is not required.  Cold Agglutinin Disease (CAD) or Paroxysmal Cold Hemoglobinuria (PCH) should be considered</w:t>
                  </w:r>
                  <w:r w:rsidR="00275060">
                    <w:rPr>
                      <w:rFonts w:ascii="Arial" w:hAnsi="Arial"/>
                      <w:sz w:val="24"/>
                    </w:rPr>
                    <w:t>.</w:t>
                  </w:r>
                </w:p>
                <w:p w:rsidR="00391FC1" w:rsidRDefault="00391FC1" w:rsidP="006E07CB">
                  <w:pPr>
                    <w:rPr>
                      <w:rFonts w:ascii="Arial" w:hAnsi="Arial"/>
                      <w:sz w:val="24"/>
                    </w:rPr>
                  </w:pPr>
                  <w:r>
                    <w:rPr>
                      <w:rFonts w:ascii="Arial" w:hAnsi="Arial"/>
                      <w:sz w:val="24"/>
                    </w:rPr>
                    <w:t>Usually results are strongly positive in these cases.</w:t>
                  </w:r>
                  <w:r>
                    <w:rPr>
                      <w:rFonts w:ascii="Arial" w:hAnsi="Arial"/>
                      <w:sz w:val="24"/>
                      <w:vertAlign w:val="superscript"/>
                    </w:rPr>
                    <w:t>9.2</w:t>
                  </w:r>
                  <w:r>
                    <w:rPr>
                      <w:rFonts w:ascii="Arial" w:hAnsi="Arial"/>
                      <w:sz w:val="24"/>
                    </w:rPr>
                    <w:t xml:space="preserve">  If these clinical conditions are suspected, the following test(s) may be performed if available or sent to a reference laboratory</w:t>
                  </w:r>
                </w:p>
                <w:p w:rsidR="00391FC1" w:rsidRDefault="00391FC1" w:rsidP="006E07CB">
                  <w:pPr>
                    <w:pStyle w:val="ListParagraph"/>
                    <w:numPr>
                      <w:ilvl w:val="0"/>
                      <w:numId w:val="17"/>
                    </w:numPr>
                    <w:rPr>
                      <w:rFonts w:ascii="Arial" w:hAnsi="Arial"/>
                      <w:sz w:val="24"/>
                    </w:rPr>
                  </w:pPr>
                  <w:r w:rsidRPr="000B5C94">
                    <w:rPr>
                      <w:rFonts w:ascii="Arial" w:hAnsi="Arial"/>
                      <w:sz w:val="24"/>
                    </w:rPr>
                    <w:t xml:space="preserve">Cold agglutinin screen to confirm CAD. See SP.003 –  Cold </w:t>
                  </w:r>
                  <w:proofErr w:type="spellStart"/>
                  <w:r w:rsidRPr="000B5C94">
                    <w:rPr>
                      <w:rFonts w:ascii="Arial" w:hAnsi="Arial"/>
                      <w:sz w:val="24"/>
                    </w:rPr>
                    <w:t>Autoagglutinins</w:t>
                  </w:r>
                  <w:proofErr w:type="spellEnd"/>
                  <w:r w:rsidR="00A523AA">
                    <w:rPr>
                      <w:rFonts w:ascii="Arial" w:hAnsi="Arial"/>
                      <w:sz w:val="24"/>
                    </w:rPr>
                    <w:t xml:space="preserve"> Screen Test</w:t>
                  </w:r>
                </w:p>
                <w:p w:rsidR="00391FC1" w:rsidRPr="003251B3" w:rsidRDefault="00391FC1" w:rsidP="00391FC1">
                  <w:pPr>
                    <w:pStyle w:val="ListParagraph"/>
                    <w:numPr>
                      <w:ilvl w:val="0"/>
                      <w:numId w:val="17"/>
                    </w:numPr>
                    <w:rPr>
                      <w:rFonts w:ascii="Arial" w:hAnsi="Arial"/>
                      <w:sz w:val="24"/>
                    </w:rPr>
                  </w:pPr>
                  <w:r w:rsidRPr="000B5C94">
                    <w:rPr>
                      <w:rFonts w:ascii="Arial" w:hAnsi="Arial"/>
                      <w:sz w:val="24"/>
                    </w:rPr>
                    <w:t>Donath-Landsteiner (D-L) test to confirm PCH.  See SP.006 – Donath Landsteiner Test for PCH.</w:t>
                  </w:r>
                </w:p>
              </w:tc>
            </w:tr>
          </w:tbl>
          <w:p w:rsidR="00391FC1" w:rsidRPr="00391FC1" w:rsidRDefault="00391FC1" w:rsidP="00391FC1">
            <w:pPr>
              <w:pStyle w:val="ListParagraph"/>
              <w:rPr>
                <w:rFonts w:ascii="Arial" w:hAnsi="Arial"/>
                <w:sz w:val="24"/>
              </w:rPr>
            </w:pPr>
          </w:p>
        </w:tc>
      </w:tr>
      <w:tr w:rsidR="00391FC1" w:rsidTr="00B35031">
        <w:trPr>
          <w:trHeight w:val="1416"/>
        </w:trPr>
        <w:tc>
          <w:tcPr>
            <w:tcW w:w="2613" w:type="dxa"/>
            <w:vMerge w:val="restart"/>
            <w:shd w:val="clear" w:color="auto" w:fill="auto"/>
          </w:tcPr>
          <w:p w:rsidR="00391FC1" w:rsidRDefault="00391FC1">
            <w:pPr>
              <w:numPr>
                <w:ilvl w:val="0"/>
                <w:numId w:val="3"/>
              </w:numPr>
              <w:ind w:hanging="578"/>
              <w:rPr>
                <w:rFonts w:ascii="Arial" w:hAnsi="Arial"/>
                <w:sz w:val="24"/>
              </w:rPr>
            </w:pPr>
            <w:r>
              <w:rPr>
                <w:rFonts w:ascii="Arial" w:hAnsi="Arial"/>
                <w:sz w:val="24"/>
              </w:rPr>
              <w:t>Evaluate the Patient for evidence of hemolysis</w:t>
            </w:r>
          </w:p>
        </w:tc>
        <w:tc>
          <w:tcPr>
            <w:tcW w:w="8445" w:type="dxa"/>
          </w:tcPr>
          <w:p w:rsidR="00391FC1" w:rsidRDefault="00391FC1" w:rsidP="00391FC1">
            <w:pPr>
              <w:pStyle w:val="ListParagraph"/>
              <w:numPr>
                <w:ilvl w:val="0"/>
                <w:numId w:val="19"/>
              </w:numPr>
              <w:ind w:left="884" w:hanging="850"/>
              <w:rPr>
                <w:rFonts w:ascii="Arial" w:hAnsi="Arial"/>
                <w:sz w:val="24"/>
              </w:rPr>
            </w:pPr>
            <w:r>
              <w:rPr>
                <w:rFonts w:ascii="Arial" w:hAnsi="Arial"/>
                <w:sz w:val="24"/>
              </w:rPr>
              <w:t>Whether or not the patient has been transfused, it may be necessary to evaluate the patient for evidence of hemolysis caused by premature destruction of the coated red cells.  This will depend on clinical presentation and investigation and additional testing must be requested by a physician. See Procedural Notes 8.5</w:t>
            </w:r>
          </w:p>
        </w:tc>
      </w:tr>
      <w:tr w:rsidR="00391FC1" w:rsidTr="00B35031">
        <w:trPr>
          <w:trHeight w:val="4370"/>
        </w:trPr>
        <w:tc>
          <w:tcPr>
            <w:tcW w:w="2613" w:type="dxa"/>
            <w:vMerge/>
            <w:shd w:val="clear" w:color="auto" w:fill="auto"/>
          </w:tcPr>
          <w:p w:rsidR="00391FC1" w:rsidRDefault="00391FC1">
            <w:pPr>
              <w:numPr>
                <w:ilvl w:val="0"/>
                <w:numId w:val="3"/>
              </w:numPr>
              <w:ind w:hanging="578"/>
              <w:rPr>
                <w:rFonts w:ascii="Arial" w:hAnsi="Arial"/>
                <w:sz w:val="24"/>
              </w:rPr>
            </w:pPr>
          </w:p>
        </w:tc>
        <w:tc>
          <w:tcPr>
            <w:tcW w:w="8445" w:type="dxa"/>
          </w:tcPr>
          <w:p w:rsidR="00391FC1" w:rsidRDefault="00391FC1" w:rsidP="00753B75">
            <w:pPr>
              <w:pStyle w:val="ListParagraph"/>
              <w:numPr>
                <w:ilvl w:val="0"/>
                <w:numId w:val="19"/>
              </w:numPr>
              <w:ind w:left="884" w:hanging="850"/>
              <w:rPr>
                <w:rFonts w:ascii="Arial" w:hAnsi="Arial"/>
                <w:sz w:val="24"/>
              </w:rPr>
            </w:pPr>
            <w:r>
              <w:rPr>
                <w:rFonts w:ascii="Arial" w:hAnsi="Arial"/>
                <w:sz w:val="24"/>
              </w:rPr>
              <w:t>The following additional tests may be ordered by the TS Medical Director or designate</w:t>
            </w:r>
          </w:p>
          <w:p w:rsidR="00391FC1" w:rsidRDefault="00391FC1" w:rsidP="00391FC1">
            <w:pPr>
              <w:pStyle w:val="ListParagraph"/>
              <w:numPr>
                <w:ilvl w:val="0"/>
                <w:numId w:val="34"/>
              </w:numPr>
              <w:tabs>
                <w:tab w:val="num" w:pos="2520"/>
              </w:tabs>
              <w:spacing w:line="228" w:lineRule="auto"/>
              <w:rPr>
                <w:rFonts w:ascii="Arial" w:hAnsi="Arial"/>
                <w:sz w:val="24"/>
              </w:rPr>
            </w:pPr>
            <w:r w:rsidRPr="00391FC1">
              <w:rPr>
                <w:rFonts w:ascii="Arial" w:hAnsi="Arial"/>
                <w:sz w:val="24"/>
              </w:rPr>
              <w:t>Hemoglobin</w:t>
            </w:r>
          </w:p>
          <w:p w:rsidR="00391FC1" w:rsidRDefault="00391FC1" w:rsidP="00391FC1">
            <w:pPr>
              <w:pStyle w:val="ListParagraph"/>
              <w:numPr>
                <w:ilvl w:val="0"/>
                <w:numId w:val="34"/>
              </w:numPr>
              <w:tabs>
                <w:tab w:val="num" w:pos="2520"/>
              </w:tabs>
              <w:spacing w:line="228" w:lineRule="auto"/>
              <w:rPr>
                <w:rFonts w:ascii="Arial" w:hAnsi="Arial"/>
                <w:sz w:val="24"/>
              </w:rPr>
            </w:pPr>
            <w:r w:rsidRPr="00391FC1">
              <w:rPr>
                <w:rFonts w:ascii="Arial" w:hAnsi="Arial"/>
                <w:sz w:val="24"/>
              </w:rPr>
              <w:t>Red cell morphology</w:t>
            </w:r>
          </w:p>
          <w:p w:rsidR="00391FC1" w:rsidRPr="00391FC1" w:rsidRDefault="00391FC1" w:rsidP="00391FC1">
            <w:pPr>
              <w:pStyle w:val="ListParagraph"/>
              <w:numPr>
                <w:ilvl w:val="0"/>
                <w:numId w:val="34"/>
              </w:numPr>
              <w:tabs>
                <w:tab w:val="num" w:pos="2520"/>
              </w:tabs>
              <w:spacing w:line="228" w:lineRule="auto"/>
              <w:rPr>
                <w:rFonts w:ascii="Arial" w:hAnsi="Arial"/>
                <w:sz w:val="24"/>
              </w:rPr>
            </w:pPr>
            <w:r w:rsidRPr="00391FC1">
              <w:rPr>
                <w:rFonts w:ascii="Arial" w:hAnsi="Arial"/>
                <w:sz w:val="24"/>
              </w:rPr>
              <w:t xml:space="preserve">Additional tests such as a reticulocyte count, bilirubin, LDH, </w:t>
            </w:r>
            <w:proofErr w:type="spellStart"/>
            <w:r w:rsidRPr="00391FC1">
              <w:rPr>
                <w:rFonts w:ascii="Arial" w:hAnsi="Arial"/>
                <w:sz w:val="24"/>
              </w:rPr>
              <w:t>etc</w:t>
            </w:r>
            <w:proofErr w:type="spellEnd"/>
          </w:p>
          <w:tbl>
            <w:tblPr>
              <w:tblStyle w:val="TableGrid"/>
              <w:tblW w:w="0" w:type="auto"/>
              <w:tblLook w:val="04A0" w:firstRow="1" w:lastRow="0" w:firstColumn="1" w:lastColumn="0" w:noHBand="0" w:noVBand="1"/>
            </w:tblPr>
            <w:tblGrid>
              <w:gridCol w:w="3708"/>
              <w:gridCol w:w="4511"/>
            </w:tblGrid>
            <w:tr w:rsidR="00391FC1" w:rsidTr="00B35031">
              <w:tc>
                <w:tcPr>
                  <w:tcW w:w="3774" w:type="dxa"/>
                  <w:shd w:val="clear" w:color="auto" w:fill="F2F2F2" w:themeFill="background1" w:themeFillShade="F2"/>
                </w:tcPr>
                <w:p w:rsidR="00391FC1" w:rsidRPr="00C036BF" w:rsidRDefault="00391FC1" w:rsidP="00753B75">
                  <w:pPr>
                    <w:pStyle w:val="ListParagraph"/>
                    <w:ind w:left="0"/>
                    <w:rPr>
                      <w:rFonts w:ascii="Arial" w:hAnsi="Arial"/>
                      <w:b/>
                      <w:i/>
                      <w:sz w:val="24"/>
                    </w:rPr>
                  </w:pPr>
                  <w:r w:rsidRPr="00C036BF">
                    <w:rPr>
                      <w:rFonts w:ascii="Arial" w:hAnsi="Arial"/>
                      <w:b/>
                      <w:i/>
                      <w:sz w:val="24"/>
                    </w:rPr>
                    <w:t>If</w:t>
                  </w:r>
                </w:p>
              </w:tc>
              <w:tc>
                <w:tcPr>
                  <w:tcW w:w="4618" w:type="dxa"/>
                  <w:shd w:val="clear" w:color="auto" w:fill="F2F2F2" w:themeFill="background1" w:themeFillShade="F2"/>
                </w:tcPr>
                <w:p w:rsidR="00391FC1" w:rsidRPr="00C036BF" w:rsidRDefault="00391FC1" w:rsidP="00753B75">
                  <w:pPr>
                    <w:pStyle w:val="ListParagraph"/>
                    <w:ind w:left="0"/>
                    <w:rPr>
                      <w:rFonts w:ascii="Arial" w:hAnsi="Arial"/>
                      <w:b/>
                      <w:i/>
                      <w:sz w:val="24"/>
                    </w:rPr>
                  </w:pPr>
                  <w:r>
                    <w:rPr>
                      <w:rFonts w:ascii="Arial" w:hAnsi="Arial"/>
                      <w:b/>
                      <w:i/>
                      <w:sz w:val="24"/>
                    </w:rPr>
                    <w:t>t</w:t>
                  </w:r>
                  <w:r w:rsidRPr="00C036BF">
                    <w:rPr>
                      <w:rFonts w:ascii="Arial" w:hAnsi="Arial"/>
                      <w:b/>
                      <w:i/>
                      <w:sz w:val="24"/>
                    </w:rPr>
                    <w:t>hen</w:t>
                  </w:r>
                </w:p>
              </w:tc>
            </w:tr>
            <w:tr w:rsidR="00391FC1" w:rsidTr="00B453D5">
              <w:tc>
                <w:tcPr>
                  <w:tcW w:w="3774" w:type="dxa"/>
                </w:tcPr>
                <w:p w:rsidR="00391FC1" w:rsidRDefault="00391FC1" w:rsidP="00753B75">
                  <w:pPr>
                    <w:pStyle w:val="ListParagraph"/>
                    <w:ind w:left="0"/>
                    <w:rPr>
                      <w:rFonts w:ascii="Arial" w:hAnsi="Arial"/>
                      <w:sz w:val="24"/>
                    </w:rPr>
                  </w:pPr>
                  <w:r>
                    <w:rPr>
                      <w:rFonts w:ascii="Arial" w:hAnsi="Arial"/>
                      <w:sz w:val="24"/>
                    </w:rPr>
                    <w:t xml:space="preserve">patient does </w:t>
                  </w:r>
                  <w:r w:rsidRPr="00F4199C">
                    <w:rPr>
                      <w:rFonts w:ascii="Arial" w:hAnsi="Arial"/>
                      <w:sz w:val="24"/>
                    </w:rPr>
                    <w:t>not</w:t>
                  </w:r>
                  <w:r>
                    <w:rPr>
                      <w:rFonts w:ascii="Arial" w:hAnsi="Arial"/>
                      <w:sz w:val="24"/>
                    </w:rPr>
                    <w:t xml:space="preserve"> show evidence of hemolysis as determined by a physician,</w:t>
                  </w:r>
                </w:p>
              </w:tc>
              <w:tc>
                <w:tcPr>
                  <w:tcW w:w="4618" w:type="dxa"/>
                </w:tcPr>
                <w:p w:rsidR="00391FC1" w:rsidRDefault="00275060" w:rsidP="00753B75">
                  <w:pPr>
                    <w:pStyle w:val="ListParagraph"/>
                    <w:ind w:left="0"/>
                    <w:rPr>
                      <w:rFonts w:ascii="Arial" w:hAnsi="Arial"/>
                      <w:sz w:val="24"/>
                    </w:rPr>
                  </w:pPr>
                  <w:r>
                    <w:rPr>
                      <w:rFonts w:ascii="Arial" w:hAnsi="Arial"/>
                      <w:sz w:val="24"/>
                    </w:rPr>
                    <w:t>s</w:t>
                  </w:r>
                  <w:r w:rsidR="00391FC1">
                    <w:rPr>
                      <w:rFonts w:ascii="Arial" w:hAnsi="Arial"/>
                      <w:sz w:val="24"/>
                    </w:rPr>
                    <w:t>ee Procedural Notes 8.4 and report as in 7.1 – Reporting.</w:t>
                  </w:r>
                </w:p>
              </w:tc>
            </w:tr>
            <w:tr w:rsidR="00391FC1" w:rsidTr="00B453D5">
              <w:tc>
                <w:tcPr>
                  <w:tcW w:w="3774" w:type="dxa"/>
                </w:tcPr>
                <w:p w:rsidR="00391FC1" w:rsidRDefault="00391FC1" w:rsidP="00753B75">
                  <w:pPr>
                    <w:pStyle w:val="ListParagraph"/>
                    <w:ind w:left="0"/>
                    <w:rPr>
                      <w:rFonts w:ascii="Arial" w:hAnsi="Arial"/>
                      <w:sz w:val="24"/>
                    </w:rPr>
                  </w:pPr>
                  <w:r>
                    <w:rPr>
                      <w:rFonts w:ascii="Arial" w:hAnsi="Arial"/>
                      <w:sz w:val="24"/>
                    </w:rPr>
                    <w:t>a transfusion is not anticipated,</w:t>
                  </w:r>
                </w:p>
              </w:tc>
              <w:tc>
                <w:tcPr>
                  <w:tcW w:w="4618" w:type="dxa"/>
                </w:tcPr>
                <w:p w:rsidR="00391FC1" w:rsidRDefault="00275060" w:rsidP="00753B75">
                  <w:pPr>
                    <w:pStyle w:val="ListParagraph"/>
                    <w:ind w:left="0"/>
                    <w:rPr>
                      <w:rFonts w:ascii="Arial" w:hAnsi="Arial"/>
                      <w:sz w:val="24"/>
                    </w:rPr>
                  </w:pPr>
                  <w:r>
                    <w:rPr>
                      <w:rFonts w:ascii="Arial" w:hAnsi="Arial"/>
                      <w:sz w:val="24"/>
                    </w:rPr>
                    <w:t>s</w:t>
                  </w:r>
                  <w:r w:rsidR="00391FC1">
                    <w:rPr>
                      <w:rFonts w:ascii="Arial" w:hAnsi="Arial"/>
                      <w:sz w:val="24"/>
                    </w:rPr>
                    <w:t>ee Procedural Notes 8.4 and report as in 7.1 – Reporting.</w:t>
                  </w:r>
                </w:p>
              </w:tc>
            </w:tr>
            <w:tr w:rsidR="00391FC1" w:rsidTr="00B453D5">
              <w:tc>
                <w:tcPr>
                  <w:tcW w:w="3774" w:type="dxa"/>
                </w:tcPr>
                <w:p w:rsidR="00391FC1" w:rsidRDefault="00391FC1" w:rsidP="00753B75">
                  <w:pPr>
                    <w:pStyle w:val="ListParagraph"/>
                    <w:ind w:left="0"/>
                    <w:rPr>
                      <w:rFonts w:ascii="Arial" w:hAnsi="Arial"/>
                      <w:sz w:val="24"/>
                    </w:rPr>
                  </w:pPr>
                  <w:r>
                    <w:rPr>
                      <w:rFonts w:ascii="Arial" w:hAnsi="Arial"/>
                      <w:sz w:val="24"/>
                    </w:rPr>
                    <w:t xml:space="preserve">the patient shows evidence of hemolysis because of the risks of aggravating the hemolysis and/or </w:t>
                  </w:r>
                  <w:proofErr w:type="spellStart"/>
                  <w:r>
                    <w:rPr>
                      <w:rFonts w:ascii="Arial" w:hAnsi="Arial"/>
                      <w:sz w:val="24"/>
                    </w:rPr>
                    <w:t>alloimmunizing</w:t>
                  </w:r>
                  <w:proofErr w:type="spellEnd"/>
                  <w:r>
                    <w:rPr>
                      <w:rFonts w:ascii="Arial" w:hAnsi="Arial"/>
                      <w:sz w:val="24"/>
                    </w:rPr>
                    <w:t xml:space="preserve"> the patient</w:t>
                  </w:r>
                </w:p>
              </w:tc>
              <w:tc>
                <w:tcPr>
                  <w:tcW w:w="4618" w:type="dxa"/>
                </w:tcPr>
                <w:p w:rsidR="00391FC1" w:rsidRDefault="00275060" w:rsidP="00753B75">
                  <w:pPr>
                    <w:pStyle w:val="ListParagraph"/>
                    <w:ind w:left="0"/>
                    <w:rPr>
                      <w:rFonts w:ascii="Arial" w:hAnsi="Arial"/>
                      <w:sz w:val="24"/>
                    </w:rPr>
                  </w:pPr>
                  <w:r>
                    <w:rPr>
                      <w:rFonts w:ascii="Arial" w:hAnsi="Arial"/>
                      <w:sz w:val="24"/>
                    </w:rPr>
                    <w:t>r</w:t>
                  </w:r>
                  <w:r w:rsidR="00391FC1">
                    <w:rPr>
                      <w:rFonts w:ascii="Arial" w:hAnsi="Arial"/>
                      <w:sz w:val="24"/>
                    </w:rPr>
                    <w:t>efer any request for transfusion to the TS Medical Director or designate</w:t>
                  </w:r>
                </w:p>
                <w:p w:rsidR="00391FC1" w:rsidRDefault="00391FC1" w:rsidP="00753B75">
                  <w:pPr>
                    <w:pStyle w:val="ListParagraph"/>
                    <w:ind w:left="0"/>
                    <w:rPr>
                      <w:rFonts w:ascii="Arial" w:hAnsi="Arial"/>
                      <w:sz w:val="24"/>
                    </w:rPr>
                  </w:pPr>
                  <w:r>
                    <w:rPr>
                      <w:rFonts w:ascii="Arial" w:hAnsi="Arial"/>
                      <w:sz w:val="24"/>
                    </w:rPr>
                    <w:t>See Procedural Notes 8.6 and 8.7.</w:t>
                  </w:r>
                </w:p>
              </w:tc>
            </w:tr>
          </w:tbl>
          <w:p w:rsidR="00391FC1" w:rsidRDefault="00391FC1" w:rsidP="00391FC1">
            <w:pPr>
              <w:rPr>
                <w:rFonts w:ascii="Arial" w:hAnsi="Arial"/>
                <w:sz w:val="24"/>
              </w:rPr>
            </w:pPr>
          </w:p>
        </w:tc>
      </w:tr>
      <w:tr w:rsidR="00D6246D" w:rsidTr="00B35031">
        <w:trPr>
          <w:trHeight w:val="783"/>
        </w:trPr>
        <w:tc>
          <w:tcPr>
            <w:tcW w:w="2613" w:type="dxa"/>
            <w:vMerge w:val="restart"/>
            <w:shd w:val="clear" w:color="auto" w:fill="auto"/>
          </w:tcPr>
          <w:p w:rsidR="00D6246D" w:rsidRPr="00BA09E7" w:rsidRDefault="00D6246D" w:rsidP="00BA09E7">
            <w:pPr>
              <w:numPr>
                <w:ilvl w:val="0"/>
                <w:numId w:val="3"/>
              </w:numPr>
              <w:ind w:hanging="578"/>
              <w:rPr>
                <w:rFonts w:ascii="Arial" w:hAnsi="Arial"/>
                <w:sz w:val="24"/>
              </w:rPr>
            </w:pPr>
            <w:r>
              <w:rPr>
                <w:rFonts w:ascii="Arial" w:hAnsi="Arial"/>
                <w:sz w:val="24"/>
              </w:rPr>
              <w:t>Neonates with a Positive DAT</w:t>
            </w:r>
          </w:p>
        </w:tc>
        <w:tc>
          <w:tcPr>
            <w:tcW w:w="8445" w:type="dxa"/>
          </w:tcPr>
          <w:p w:rsidR="00D6246D" w:rsidRPr="00F50C0A" w:rsidRDefault="00D6246D" w:rsidP="00B453D5">
            <w:pPr>
              <w:pStyle w:val="ListParagraph"/>
              <w:numPr>
                <w:ilvl w:val="0"/>
                <w:numId w:val="21"/>
              </w:numPr>
              <w:ind w:left="884" w:hanging="850"/>
              <w:rPr>
                <w:rFonts w:ascii="Arial" w:hAnsi="Arial"/>
                <w:sz w:val="24"/>
              </w:rPr>
            </w:pPr>
            <w:r w:rsidRPr="00C036BF">
              <w:rPr>
                <w:rFonts w:ascii="Arial" w:hAnsi="Arial"/>
                <w:sz w:val="24"/>
              </w:rPr>
              <w:t>If the patient is a neonate and has a positive DAT or is jaundiced and has a negative DAT, the physician should consider hemolytic disease of the fetus or newborn (HDFN).</w:t>
            </w:r>
          </w:p>
        </w:tc>
      </w:tr>
      <w:tr w:rsidR="00B35031" w:rsidTr="00B35031">
        <w:trPr>
          <w:trHeight w:val="783"/>
        </w:trPr>
        <w:tc>
          <w:tcPr>
            <w:tcW w:w="2613" w:type="dxa"/>
            <w:vMerge/>
            <w:shd w:val="clear" w:color="auto" w:fill="auto"/>
          </w:tcPr>
          <w:p w:rsidR="00B35031" w:rsidRDefault="00B35031" w:rsidP="00BA09E7">
            <w:pPr>
              <w:numPr>
                <w:ilvl w:val="0"/>
                <w:numId w:val="3"/>
              </w:numPr>
              <w:ind w:hanging="578"/>
              <w:rPr>
                <w:rFonts w:ascii="Arial" w:hAnsi="Arial"/>
                <w:sz w:val="24"/>
              </w:rPr>
            </w:pPr>
          </w:p>
        </w:tc>
        <w:tc>
          <w:tcPr>
            <w:tcW w:w="8445" w:type="dxa"/>
          </w:tcPr>
          <w:p w:rsidR="00B35031" w:rsidRDefault="00B35031" w:rsidP="00B35031">
            <w:pPr>
              <w:pStyle w:val="ListParagraph"/>
              <w:numPr>
                <w:ilvl w:val="0"/>
                <w:numId w:val="21"/>
              </w:numPr>
              <w:ind w:left="884" w:hanging="850"/>
              <w:rPr>
                <w:rFonts w:ascii="Arial" w:hAnsi="Arial"/>
                <w:sz w:val="24"/>
              </w:rPr>
            </w:pPr>
            <w:r>
              <w:rPr>
                <w:rFonts w:ascii="Arial" w:hAnsi="Arial"/>
                <w:sz w:val="24"/>
              </w:rPr>
              <w:t>Perform the following test:</w:t>
            </w:r>
          </w:p>
          <w:p w:rsidR="00B35031" w:rsidRDefault="00B35031" w:rsidP="00B35031">
            <w:pPr>
              <w:pStyle w:val="ListParagraph"/>
              <w:numPr>
                <w:ilvl w:val="0"/>
                <w:numId w:val="33"/>
              </w:numPr>
              <w:rPr>
                <w:rFonts w:ascii="Arial" w:hAnsi="Arial"/>
                <w:sz w:val="24"/>
              </w:rPr>
            </w:pPr>
            <w:r w:rsidRPr="00391FC1">
              <w:rPr>
                <w:rFonts w:ascii="Arial" w:hAnsi="Arial"/>
                <w:sz w:val="24"/>
              </w:rPr>
              <w:t>ABO grouping on the maternal and neonatal specimens</w:t>
            </w:r>
          </w:p>
          <w:p w:rsidR="00B35031" w:rsidRDefault="00B35031" w:rsidP="00B35031">
            <w:pPr>
              <w:pStyle w:val="ListParagraph"/>
              <w:numPr>
                <w:ilvl w:val="0"/>
                <w:numId w:val="33"/>
              </w:numPr>
              <w:rPr>
                <w:rFonts w:ascii="Arial" w:hAnsi="Arial"/>
                <w:sz w:val="24"/>
              </w:rPr>
            </w:pPr>
            <w:r w:rsidRPr="00391FC1">
              <w:rPr>
                <w:rFonts w:ascii="Arial" w:hAnsi="Arial"/>
                <w:sz w:val="24"/>
              </w:rPr>
              <w:t>Antibody screen on the maternal specimen</w:t>
            </w:r>
          </w:p>
          <w:p w:rsidR="00B35031" w:rsidRDefault="00B35031" w:rsidP="00B35031">
            <w:pPr>
              <w:rPr>
                <w:rFonts w:ascii="Arial" w:hAnsi="Arial"/>
                <w:sz w:val="24"/>
              </w:rPr>
            </w:pPr>
          </w:p>
          <w:tbl>
            <w:tblPr>
              <w:tblStyle w:val="TableGrid"/>
              <w:tblW w:w="0" w:type="auto"/>
              <w:tblLook w:val="04A0" w:firstRow="1" w:lastRow="0" w:firstColumn="1" w:lastColumn="0" w:noHBand="0" w:noVBand="1"/>
            </w:tblPr>
            <w:tblGrid>
              <w:gridCol w:w="4109"/>
              <w:gridCol w:w="4110"/>
            </w:tblGrid>
            <w:tr w:rsidR="00B35031" w:rsidTr="001B5BDB">
              <w:tc>
                <w:tcPr>
                  <w:tcW w:w="4208" w:type="dxa"/>
                  <w:shd w:val="clear" w:color="auto" w:fill="F2F2F2" w:themeFill="background1" w:themeFillShade="F2"/>
                </w:tcPr>
                <w:p w:rsidR="00B35031" w:rsidRPr="00B453D5" w:rsidRDefault="00B35031" w:rsidP="001B5BDB">
                  <w:pPr>
                    <w:rPr>
                      <w:rFonts w:ascii="Arial" w:hAnsi="Arial"/>
                      <w:b/>
                      <w:i/>
                      <w:sz w:val="24"/>
                    </w:rPr>
                  </w:pPr>
                  <w:r w:rsidRPr="00B453D5">
                    <w:rPr>
                      <w:rFonts w:ascii="Arial" w:hAnsi="Arial"/>
                      <w:b/>
                      <w:i/>
                      <w:sz w:val="24"/>
                    </w:rPr>
                    <w:t>If</w:t>
                  </w:r>
                </w:p>
              </w:tc>
              <w:tc>
                <w:tcPr>
                  <w:tcW w:w="4208" w:type="dxa"/>
                  <w:shd w:val="clear" w:color="auto" w:fill="F2F2F2" w:themeFill="background1" w:themeFillShade="F2"/>
                </w:tcPr>
                <w:p w:rsidR="00B35031" w:rsidRPr="00B453D5" w:rsidRDefault="00B35031" w:rsidP="001B5BDB">
                  <w:pPr>
                    <w:rPr>
                      <w:rFonts w:ascii="Arial" w:hAnsi="Arial"/>
                      <w:b/>
                      <w:i/>
                      <w:sz w:val="24"/>
                    </w:rPr>
                  </w:pPr>
                  <w:r>
                    <w:rPr>
                      <w:rFonts w:ascii="Arial" w:hAnsi="Arial"/>
                      <w:b/>
                      <w:i/>
                      <w:sz w:val="24"/>
                    </w:rPr>
                    <w:t>t</w:t>
                  </w:r>
                  <w:r w:rsidRPr="00B453D5">
                    <w:rPr>
                      <w:rFonts w:ascii="Arial" w:hAnsi="Arial"/>
                      <w:b/>
                      <w:i/>
                      <w:sz w:val="24"/>
                    </w:rPr>
                    <w:t>hen</w:t>
                  </w:r>
                </w:p>
              </w:tc>
            </w:tr>
            <w:tr w:rsidR="00B35031" w:rsidTr="001B5BDB">
              <w:tc>
                <w:tcPr>
                  <w:tcW w:w="4208" w:type="dxa"/>
                </w:tcPr>
                <w:p w:rsidR="00B35031" w:rsidRDefault="00B35031" w:rsidP="001B5BDB">
                  <w:pPr>
                    <w:rPr>
                      <w:rFonts w:ascii="Arial" w:hAnsi="Arial"/>
                      <w:sz w:val="24"/>
                    </w:rPr>
                  </w:pPr>
                  <w:r>
                    <w:rPr>
                      <w:rFonts w:ascii="Arial" w:hAnsi="Arial"/>
                      <w:sz w:val="24"/>
                    </w:rPr>
                    <w:t>the antibody screen is positive</w:t>
                  </w:r>
                </w:p>
              </w:tc>
              <w:tc>
                <w:tcPr>
                  <w:tcW w:w="4208" w:type="dxa"/>
                </w:tcPr>
                <w:p w:rsidR="00B35031" w:rsidRDefault="00B35031" w:rsidP="001B5BDB">
                  <w:pPr>
                    <w:rPr>
                      <w:rFonts w:ascii="Arial" w:hAnsi="Arial"/>
                      <w:sz w:val="24"/>
                    </w:rPr>
                  </w:pPr>
                  <w:r>
                    <w:rPr>
                      <w:rFonts w:ascii="Arial" w:hAnsi="Arial"/>
                      <w:sz w:val="24"/>
                    </w:rPr>
                    <w:t>perform antibody identification. See NRT.007 – Antibody Identification of Warm Reactive Antibodies</w:t>
                  </w:r>
                </w:p>
              </w:tc>
            </w:tr>
            <w:tr w:rsidR="00B35031" w:rsidTr="001B5BDB">
              <w:tc>
                <w:tcPr>
                  <w:tcW w:w="4208" w:type="dxa"/>
                </w:tcPr>
                <w:p w:rsidR="00B35031" w:rsidRDefault="00B35031" w:rsidP="001B5BDB">
                  <w:pPr>
                    <w:rPr>
                      <w:rFonts w:ascii="Arial" w:hAnsi="Arial"/>
                      <w:sz w:val="24"/>
                    </w:rPr>
                  </w:pPr>
                  <w:r>
                    <w:rPr>
                      <w:rFonts w:ascii="Arial" w:hAnsi="Arial"/>
                      <w:sz w:val="24"/>
                    </w:rPr>
                    <w:t>the antibody screen is negative and the baby is ABO incompatible with the mother</w:t>
                  </w:r>
                </w:p>
              </w:tc>
              <w:tc>
                <w:tcPr>
                  <w:tcW w:w="4208" w:type="dxa"/>
                </w:tcPr>
                <w:p w:rsidR="00B35031" w:rsidRDefault="00B35031" w:rsidP="001B5BDB">
                  <w:pPr>
                    <w:rPr>
                      <w:rFonts w:ascii="Arial" w:hAnsi="Arial"/>
                      <w:sz w:val="24"/>
                    </w:rPr>
                  </w:pPr>
                  <w:r>
                    <w:rPr>
                      <w:rFonts w:ascii="Arial" w:hAnsi="Arial"/>
                      <w:sz w:val="24"/>
                    </w:rPr>
                    <w:t>perform an antibody screen for Immune A/B. See RT.014 - Antibody Screen Immune Anti -A and/or -B</w:t>
                  </w:r>
                </w:p>
              </w:tc>
            </w:tr>
          </w:tbl>
          <w:p w:rsidR="00B35031" w:rsidRPr="00B35031" w:rsidRDefault="00B35031" w:rsidP="00B35031">
            <w:pPr>
              <w:rPr>
                <w:rFonts w:ascii="Arial" w:hAnsi="Arial"/>
                <w:sz w:val="24"/>
              </w:rPr>
            </w:pPr>
          </w:p>
        </w:tc>
      </w:tr>
      <w:tr w:rsidR="001E0BEE" w:rsidTr="00B35031">
        <w:tc>
          <w:tcPr>
            <w:tcW w:w="2613" w:type="dxa"/>
            <w:shd w:val="clear" w:color="auto" w:fill="auto"/>
          </w:tcPr>
          <w:p w:rsidR="001E0BEE" w:rsidRDefault="00F50C0A" w:rsidP="001E0BEE">
            <w:pPr>
              <w:numPr>
                <w:ilvl w:val="0"/>
                <w:numId w:val="3"/>
              </w:numPr>
              <w:ind w:hanging="578"/>
              <w:rPr>
                <w:rFonts w:ascii="Arial" w:hAnsi="Arial"/>
                <w:sz w:val="24"/>
              </w:rPr>
            </w:pPr>
            <w:r>
              <w:rPr>
                <w:rFonts w:ascii="Arial" w:hAnsi="Arial"/>
                <w:sz w:val="24"/>
              </w:rPr>
              <w:t>Interpret Results</w:t>
            </w:r>
          </w:p>
        </w:tc>
        <w:tc>
          <w:tcPr>
            <w:tcW w:w="8445" w:type="dxa"/>
          </w:tcPr>
          <w:p w:rsidR="007C1AD8" w:rsidRDefault="00F50C0A">
            <w:pPr>
              <w:numPr>
                <w:ilvl w:val="0"/>
                <w:numId w:val="10"/>
              </w:numPr>
              <w:ind w:left="675" w:hanging="675"/>
              <w:rPr>
                <w:rFonts w:ascii="Arial" w:hAnsi="Arial"/>
                <w:sz w:val="24"/>
              </w:rPr>
            </w:pPr>
            <w:r w:rsidRPr="00D620CC">
              <w:rPr>
                <w:rFonts w:ascii="Arial" w:hAnsi="Arial"/>
                <w:sz w:val="24"/>
              </w:rPr>
              <w:t>Refer to section 7.0 – Reporting for interpretation</w:t>
            </w:r>
          </w:p>
        </w:tc>
      </w:tr>
      <w:tr w:rsidR="001E0BEE" w:rsidTr="00B35031">
        <w:tc>
          <w:tcPr>
            <w:tcW w:w="2613" w:type="dxa"/>
            <w:shd w:val="clear" w:color="auto" w:fill="auto"/>
          </w:tcPr>
          <w:p w:rsidR="001E0BEE" w:rsidRPr="001E0BEE" w:rsidRDefault="00F50C0A" w:rsidP="001E0BEE">
            <w:pPr>
              <w:numPr>
                <w:ilvl w:val="0"/>
                <w:numId w:val="3"/>
              </w:numPr>
              <w:ind w:hanging="578"/>
              <w:rPr>
                <w:rFonts w:ascii="Arial" w:hAnsi="Arial"/>
                <w:sz w:val="24"/>
              </w:rPr>
            </w:pPr>
            <w:r>
              <w:rPr>
                <w:rFonts w:ascii="Arial" w:hAnsi="Arial"/>
                <w:sz w:val="24"/>
              </w:rPr>
              <w:t>Perform a clerical check</w:t>
            </w:r>
          </w:p>
        </w:tc>
        <w:tc>
          <w:tcPr>
            <w:tcW w:w="8445" w:type="dxa"/>
          </w:tcPr>
          <w:p w:rsidR="007C1AD8" w:rsidRPr="00414E71" w:rsidRDefault="00F50C0A" w:rsidP="00B35031">
            <w:pPr>
              <w:numPr>
                <w:ilvl w:val="0"/>
                <w:numId w:val="12"/>
              </w:numPr>
              <w:ind w:left="675" w:hanging="675"/>
              <w:rPr>
                <w:rFonts w:ascii="Arial" w:hAnsi="Arial"/>
                <w:sz w:val="24"/>
              </w:rPr>
            </w:pPr>
            <w:r>
              <w:rPr>
                <w:rFonts w:ascii="Arial" w:hAnsi="Arial"/>
                <w:sz w:val="24"/>
              </w:rPr>
              <w:t xml:space="preserve">Ensure that the specimen label information for each </w:t>
            </w:r>
            <w:r w:rsidRPr="00D30C04">
              <w:rPr>
                <w:rFonts w:ascii="Arial" w:hAnsi="Arial"/>
                <w:sz w:val="24"/>
              </w:rPr>
              <w:t>spe</w:t>
            </w:r>
            <w:r w:rsidR="00B35031">
              <w:rPr>
                <w:rFonts w:ascii="Arial" w:hAnsi="Arial"/>
                <w:sz w:val="24"/>
              </w:rPr>
              <w:t xml:space="preserve">cimen tested coincides with the </w:t>
            </w:r>
            <w:r w:rsidRPr="00D30C04">
              <w:rPr>
                <w:rFonts w:ascii="Arial" w:hAnsi="Arial"/>
                <w:sz w:val="24"/>
              </w:rPr>
              <w:t xml:space="preserve">information </w:t>
            </w:r>
            <w:r w:rsidR="00B35031">
              <w:rPr>
                <w:rFonts w:ascii="Arial" w:hAnsi="Arial"/>
                <w:sz w:val="24"/>
              </w:rPr>
              <w:t xml:space="preserve">on the corresponding test tubes </w:t>
            </w:r>
            <w:r w:rsidRPr="00D30C04">
              <w:rPr>
                <w:rFonts w:ascii="Arial" w:hAnsi="Arial"/>
                <w:sz w:val="24"/>
              </w:rPr>
              <w:t>and request form</w:t>
            </w:r>
          </w:p>
        </w:tc>
      </w:tr>
      <w:tr w:rsidR="00D6246D" w:rsidTr="00B35031">
        <w:trPr>
          <w:trHeight w:val="435"/>
        </w:trPr>
        <w:tc>
          <w:tcPr>
            <w:tcW w:w="2613" w:type="dxa"/>
            <w:vMerge w:val="restart"/>
            <w:shd w:val="clear" w:color="auto" w:fill="auto"/>
          </w:tcPr>
          <w:p w:rsidR="00D6246D" w:rsidRDefault="00D6246D" w:rsidP="001E0BEE">
            <w:pPr>
              <w:numPr>
                <w:ilvl w:val="0"/>
                <w:numId w:val="3"/>
              </w:numPr>
              <w:ind w:hanging="578"/>
              <w:rPr>
                <w:rFonts w:ascii="Arial" w:hAnsi="Arial"/>
                <w:sz w:val="24"/>
              </w:rPr>
            </w:pPr>
            <w:r>
              <w:rPr>
                <w:rFonts w:ascii="Arial" w:hAnsi="Arial"/>
                <w:sz w:val="24"/>
              </w:rPr>
              <w:t>Initial</w:t>
            </w:r>
          </w:p>
        </w:tc>
        <w:tc>
          <w:tcPr>
            <w:tcW w:w="8445" w:type="dxa"/>
          </w:tcPr>
          <w:p w:rsidR="00D6246D" w:rsidRDefault="00D6246D" w:rsidP="00F50C0A">
            <w:pPr>
              <w:pStyle w:val="ListParagraph"/>
              <w:numPr>
                <w:ilvl w:val="0"/>
                <w:numId w:val="26"/>
              </w:numPr>
              <w:ind w:hanging="720"/>
              <w:rPr>
                <w:rFonts w:ascii="Arial" w:hAnsi="Arial"/>
                <w:sz w:val="24"/>
              </w:rPr>
            </w:pPr>
            <w:r>
              <w:rPr>
                <w:rFonts w:ascii="Arial" w:hAnsi="Arial"/>
                <w:sz w:val="24"/>
              </w:rPr>
              <w:t xml:space="preserve"> </w:t>
            </w:r>
            <w:r w:rsidRPr="006E0634">
              <w:rPr>
                <w:rFonts w:ascii="Arial" w:hAnsi="Arial"/>
                <w:sz w:val="24"/>
              </w:rPr>
              <w:t xml:space="preserve">Initial or sign and record the completion time and date on the request </w:t>
            </w:r>
          </w:p>
          <w:p w:rsidR="00D6246D" w:rsidRPr="00F50C0A" w:rsidRDefault="00D6246D" w:rsidP="00D6246D">
            <w:pPr>
              <w:pStyle w:val="ListParagraph"/>
              <w:rPr>
                <w:rFonts w:ascii="Arial" w:hAnsi="Arial"/>
                <w:sz w:val="24"/>
              </w:rPr>
            </w:pPr>
            <w:r>
              <w:rPr>
                <w:rFonts w:ascii="Arial" w:hAnsi="Arial"/>
                <w:sz w:val="24"/>
              </w:rPr>
              <w:t xml:space="preserve"> </w:t>
            </w:r>
            <w:r w:rsidRPr="006E0634">
              <w:rPr>
                <w:rFonts w:ascii="Arial" w:hAnsi="Arial"/>
                <w:sz w:val="24"/>
              </w:rPr>
              <w:t>form or in the computer.</w:t>
            </w:r>
          </w:p>
        </w:tc>
      </w:tr>
      <w:tr w:rsidR="00D6246D" w:rsidTr="00B35031">
        <w:trPr>
          <w:trHeight w:val="350"/>
        </w:trPr>
        <w:tc>
          <w:tcPr>
            <w:tcW w:w="2613" w:type="dxa"/>
            <w:vMerge/>
            <w:shd w:val="clear" w:color="auto" w:fill="auto"/>
          </w:tcPr>
          <w:p w:rsidR="00D6246D" w:rsidRDefault="00D6246D" w:rsidP="001E0BEE">
            <w:pPr>
              <w:numPr>
                <w:ilvl w:val="0"/>
                <w:numId w:val="3"/>
              </w:numPr>
              <w:ind w:hanging="578"/>
              <w:rPr>
                <w:rFonts w:ascii="Arial" w:hAnsi="Arial"/>
                <w:sz w:val="24"/>
              </w:rPr>
            </w:pPr>
          </w:p>
        </w:tc>
        <w:tc>
          <w:tcPr>
            <w:tcW w:w="8445" w:type="dxa"/>
          </w:tcPr>
          <w:p w:rsidR="00D6246D" w:rsidRDefault="00D6246D" w:rsidP="00F50C0A">
            <w:pPr>
              <w:pStyle w:val="ListParagraph"/>
              <w:numPr>
                <w:ilvl w:val="0"/>
                <w:numId w:val="26"/>
              </w:numPr>
              <w:ind w:hanging="720"/>
              <w:rPr>
                <w:rFonts w:ascii="Arial" w:hAnsi="Arial"/>
                <w:sz w:val="24"/>
              </w:rPr>
            </w:pPr>
            <w:r w:rsidRPr="00F50C0A">
              <w:rPr>
                <w:rFonts w:ascii="Arial" w:hAnsi="Arial"/>
                <w:sz w:val="24"/>
              </w:rPr>
              <w:t>Verification of results must be recorded. See 7.0 Reporting.</w:t>
            </w:r>
          </w:p>
        </w:tc>
      </w:tr>
    </w:tbl>
    <w:p w:rsidR="00B35031" w:rsidRDefault="00B35031" w:rsidP="00B35031">
      <w:pPr>
        <w:pStyle w:val="ListParagraph"/>
        <w:rPr>
          <w:rFonts w:ascii="Arial" w:hAnsi="Arial"/>
          <w:b/>
          <w:sz w:val="28"/>
        </w:rPr>
      </w:pPr>
    </w:p>
    <w:p w:rsidR="00D6246D" w:rsidRDefault="002A6041" w:rsidP="00D6246D">
      <w:pPr>
        <w:pStyle w:val="ListParagraph"/>
        <w:numPr>
          <w:ilvl w:val="0"/>
          <w:numId w:val="1"/>
        </w:numPr>
        <w:rPr>
          <w:rFonts w:ascii="Arial" w:hAnsi="Arial"/>
          <w:b/>
          <w:sz w:val="28"/>
        </w:rPr>
      </w:pPr>
      <w:r w:rsidRPr="00D6246D">
        <w:rPr>
          <w:rFonts w:ascii="Arial" w:hAnsi="Arial"/>
          <w:b/>
          <w:sz w:val="28"/>
        </w:rPr>
        <w:t>Reportin</w:t>
      </w:r>
      <w:r w:rsidR="00D6246D">
        <w:rPr>
          <w:rFonts w:ascii="Arial" w:hAnsi="Arial"/>
          <w:b/>
          <w:sz w:val="28"/>
        </w:rPr>
        <w:t>g</w:t>
      </w:r>
    </w:p>
    <w:p w:rsidR="00D6246D" w:rsidRDefault="00D6246D" w:rsidP="00D6246D">
      <w:pPr>
        <w:pStyle w:val="ListParagraph"/>
        <w:rPr>
          <w:rFonts w:ascii="Arial" w:hAnsi="Arial"/>
          <w:b/>
          <w:sz w:val="28"/>
        </w:rPr>
      </w:pPr>
    </w:p>
    <w:p w:rsidR="002A6041" w:rsidRPr="00D6246D" w:rsidRDefault="00F50C0A" w:rsidP="00B35031">
      <w:pPr>
        <w:pStyle w:val="ListParagraph"/>
        <w:numPr>
          <w:ilvl w:val="1"/>
          <w:numId w:val="1"/>
        </w:numPr>
        <w:tabs>
          <w:tab w:val="clear" w:pos="1004"/>
        </w:tabs>
        <w:ind w:left="1440"/>
        <w:rPr>
          <w:rFonts w:ascii="Arial" w:hAnsi="Arial"/>
          <w:b/>
          <w:sz w:val="28"/>
        </w:rPr>
      </w:pPr>
      <w:r w:rsidRPr="00D6246D">
        <w:rPr>
          <w:rFonts w:ascii="Arial" w:hAnsi="Arial"/>
          <w:sz w:val="24"/>
        </w:rPr>
        <w:t>Interpret and report all tests performed. Refer to relevant procedures</w:t>
      </w:r>
    </w:p>
    <w:p w:rsidR="002A6041" w:rsidRPr="00414E71" w:rsidRDefault="002A6041" w:rsidP="00414E71">
      <w:pPr>
        <w:ind w:left="720"/>
        <w:rPr>
          <w:rFonts w:ascii="Arial" w:hAnsi="Arial"/>
          <w:sz w:val="24"/>
        </w:rPr>
      </w:pPr>
    </w:p>
    <w:p w:rsidR="002A6041" w:rsidRDefault="002A6041" w:rsidP="00D6246D">
      <w:pPr>
        <w:numPr>
          <w:ilvl w:val="0"/>
          <w:numId w:val="1"/>
        </w:numPr>
        <w:rPr>
          <w:rFonts w:ascii="Arial" w:hAnsi="Arial"/>
          <w:b/>
          <w:sz w:val="28"/>
        </w:rPr>
      </w:pPr>
      <w:r>
        <w:rPr>
          <w:rFonts w:ascii="Arial" w:hAnsi="Arial"/>
          <w:b/>
          <w:sz w:val="28"/>
        </w:rPr>
        <w:t>Procedural Notes</w:t>
      </w:r>
      <w:r w:rsidR="00F50C0A">
        <w:rPr>
          <w:rFonts w:ascii="Arial" w:hAnsi="Arial"/>
          <w:b/>
          <w:sz w:val="28"/>
        </w:rPr>
        <w:br/>
      </w:r>
    </w:p>
    <w:p w:rsidR="00F50C0A" w:rsidRDefault="00F50C0A" w:rsidP="00B35031">
      <w:pPr>
        <w:numPr>
          <w:ilvl w:val="1"/>
          <w:numId w:val="1"/>
        </w:numPr>
        <w:tabs>
          <w:tab w:val="clear" w:pos="1004"/>
        </w:tabs>
        <w:ind w:left="1440"/>
        <w:rPr>
          <w:rFonts w:ascii="Arial" w:hAnsi="Arial"/>
          <w:sz w:val="24"/>
        </w:rPr>
      </w:pPr>
      <w:r>
        <w:rPr>
          <w:rFonts w:ascii="Arial" w:hAnsi="Arial"/>
          <w:sz w:val="24"/>
        </w:rPr>
        <w:t>A positive DAT developing after a recent transfusion should always alert one to the possibility of a delayed hemolytic transfusion reaction. Recovery of alloantibody in a red cell eluate suggests a hemolytic (delayed) transfusion reaction. The alloantibody may or may not be present in the plasma. When an alloantibody can be demonstrated in the plasma, sometimes a second alloantibody can be found in the eluate.</w:t>
      </w:r>
    </w:p>
    <w:p w:rsidR="00F50C0A" w:rsidRDefault="00F50C0A" w:rsidP="00B35031">
      <w:pPr>
        <w:ind w:left="1440"/>
        <w:rPr>
          <w:rFonts w:ascii="Arial" w:hAnsi="Arial"/>
          <w:sz w:val="24"/>
        </w:rPr>
      </w:pPr>
    </w:p>
    <w:p w:rsidR="00F50C0A" w:rsidRDefault="00F50C0A" w:rsidP="00B35031">
      <w:pPr>
        <w:numPr>
          <w:ilvl w:val="1"/>
          <w:numId w:val="1"/>
        </w:numPr>
        <w:tabs>
          <w:tab w:val="clear" w:pos="1004"/>
        </w:tabs>
        <w:ind w:left="1440"/>
        <w:rPr>
          <w:rFonts w:ascii="Arial" w:hAnsi="Arial"/>
          <w:sz w:val="24"/>
        </w:rPr>
      </w:pPr>
      <w:r>
        <w:rPr>
          <w:rFonts w:ascii="Arial" w:hAnsi="Arial"/>
          <w:sz w:val="24"/>
        </w:rPr>
        <w:t>Usually warm autoantibodies mimic a multiple complex Rh specificity but autoantibodies against other blood group systems may also be present. Patients with previous transfusion or pregnancy histories may have alloantibody(</w:t>
      </w:r>
      <w:proofErr w:type="spellStart"/>
      <w:r>
        <w:rPr>
          <w:rFonts w:ascii="Arial" w:hAnsi="Arial"/>
          <w:sz w:val="24"/>
        </w:rPr>
        <w:t>ies</w:t>
      </w:r>
      <w:proofErr w:type="spellEnd"/>
      <w:r>
        <w:rPr>
          <w:rFonts w:ascii="Arial" w:hAnsi="Arial"/>
          <w:sz w:val="24"/>
        </w:rPr>
        <w:t>) that are masked by the presence of the autoantibody. Adsorption procedures may be required to determine whether an alloantibody is present.</w:t>
      </w:r>
    </w:p>
    <w:p w:rsidR="00F50C0A" w:rsidRDefault="00F50C0A" w:rsidP="00B35031">
      <w:pPr>
        <w:ind w:left="1440"/>
        <w:rPr>
          <w:rFonts w:ascii="Arial" w:hAnsi="Arial"/>
          <w:sz w:val="24"/>
        </w:rPr>
      </w:pPr>
    </w:p>
    <w:p w:rsidR="00F50C0A" w:rsidRDefault="00F50C0A" w:rsidP="00B35031">
      <w:pPr>
        <w:numPr>
          <w:ilvl w:val="1"/>
          <w:numId w:val="1"/>
        </w:numPr>
        <w:tabs>
          <w:tab w:val="clear" w:pos="1004"/>
        </w:tabs>
        <w:ind w:left="1440"/>
        <w:rPr>
          <w:rFonts w:ascii="Arial" w:hAnsi="Arial"/>
          <w:sz w:val="24"/>
        </w:rPr>
      </w:pPr>
      <w:r>
        <w:rPr>
          <w:rFonts w:ascii="Arial" w:hAnsi="Arial"/>
          <w:sz w:val="24"/>
        </w:rPr>
        <w:t xml:space="preserve">If the patient has been transfused within the past three months, but not within the last </w:t>
      </w:r>
      <w:r w:rsidRPr="00DB3690">
        <w:rPr>
          <w:rFonts w:ascii="Arial" w:hAnsi="Arial"/>
          <w:sz w:val="24"/>
        </w:rPr>
        <w:t>three weeks</w:t>
      </w:r>
      <w:r>
        <w:rPr>
          <w:rFonts w:ascii="Arial" w:hAnsi="Arial"/>
          <w:sz w:val="24"/>
        </w:rPr>
        <w:t xml:space="preserve">, an elution may be omitted if </w:t>
      </w:r>
      <w:r w:rsidRPr="00DB3690">
        <w:rPr>
          <w:rFonts w:ascii="Arial" w:hAnsi="Arial"/>
          <w:sz w:val="24"/>
        </w:rPr>
        <w:t>all</w:t>
      </w:r>
      <w:r>
        <w:rPr>
          <w:rFonts w:ascii="Arial" w:hAnsi="Arial"/>
          <w:sz w:val="24"/>
        </w:rPr>
        <w:t xml:space="preserve"> of the following apply:</w:t>
      </w:r>
    </w:p>
    <w:p w:rsidR="00F50C0A" w:rsidRDefault="00F50C0A" w:rsidP="00F50C0A">
      <w:pPr>
        <w:ind w:left="720"/>
        <w:rPr>
          <w:rFonts w:ascii="Arial" w:hAnsi="Arial"/>
          <w:sz w:val="24"/>
        </w:rPr>
      </w:pPr>
    </w:p>
    <w:p w:rsidR="00F50C0A" w:rsidRDefault="00F50C0A" w:rsidP="00D6246D">
      <w:pPr>
        <w:numPr>
          <w:ilvl w:val="2"/>
          <w:numId w:val="1"/>
        </w:numPr>
        <w:rPr>
          <w:rFonts w:ascii="Arial" w:hAnsi="Arial"/>
          <w:sz w:val="24"/>
        </w:rPr>
      </w:pPr>
      <w:r>
        <w:rPr>
          <w:rFonts w:ascii="Arial" w:hAnsi="Arial"/>
          <w:sz w:val="24"/>
        </w:rPr>
        <w:t>The DAT was positive on</w:t>
      </w:r>
      <w:r w:rsidR="00B35031">
        <w:rPr>
          <w:rFonts w:ascii="Arial" w:hAnsi="Arial"/>
          <w:sz w:val="24"/>
        </w:rPr>
        <w:t xml:space="preserve"> the last specimen tested (i.e.</w:t>
      </w:r>
      <w:r>
        <w:rPr>
          <w:rFonts w:ascii="Arial" w:hAnsi="Arial"/>
          <w:sz w:val="24"/>
        </w:rPr>
        <w:t xml:space="preserve"> collected more than three weeks ago) and was investigated, and</w:t>
      </w:r>
    </w:p>
    <w:p w:rsidR="00F50C0A" w:rsidRDefault="00F50C0A" w:rsidP="00F50C0A">
      <w:pPr>
        <w:ind w:left="1440"/>
        <w:rPr>
          <w:rFonts w:ascii="Arial" w:hAnsi="Arial"/>
          <w:sz w:val="24"/>
        </w:rPr>
      </w:pPr>
    </w:p>
    <w:p w:rsidR="00F50C0A" w:rsidRDefault="00F50C0A" w:rsidP="00D6246D">
      <w:pPr>
        <w:numPr>
          <w:ilvl w:val="2"/>
          <w:numId w:val="1"/>
        </w:numPr>
        <w:rPr>
          <w:rFonts w:ascii="Arial" w:hAnsi="Arial"/>
          <w:sz w:val="24"/>
        </w:rPr>
      </w:pPr>
      <w:r>
        <w:rPr>
          <w:rFonts w:ascii="Arial" w:hAnsi="Arial"/>
          <w:sz w:val="24"/>
        </w:rPr>
        <w:t>The positive DAT (i.e. strength of the reaction) on the current specimen is not stronger than the DAT performed on the last specimen, and</w:t>
      </w:r>
    </w:p>
    <w:p w:rsidR="00F50C0A" w:rsidRDefault="00F50C0A" w:rsidP="00F50C0A">
      <w:pPr>
        <w:ind w:left="1440"/>
        <w:rPr>
          <w:rFonts w:ascii="Arial" w:hAnsi="Arial"/>
          <w:sz w:val="24"/>
        </w:rPr>
      </w:pPr>
    </w:p>
    <w:p w:rsidR="00F50C0A" w:rsidRDefault="00F50C0A" w:rsidP="00D6246D">
      <w:pPr>
        <w:numPr>
          <w:ilvl w:val="2"/>
          <w:numId w:val="1"/>
        </w:numPr>
        <w:rPr>
          <w:rFonts w:ascii="Arial" w:hAnsi="Arial"/>
          <w:sz w:val="24"/>
        </w:rPr>
      </w:pPr>
      <w:r>
        <w:rPr>
          <w:rFonts w:ascii="Arial" w:hAnsi="Arial"/>
          <w:sz w:val="24"/>
        </w:rPr>
        <w:t>The antibody screen (i.e. strength of the reaction) on the current specimen is the same as on the last specimen.</w:t>
      </w:r>
    </w:p>
    <w:p w:rsidR="00F50C0A" w:rsidRDefault="00F50C0A" w:rsidP="00F50C0A">
      <w:pPr>
        <w:ind w:left="1440"/>
        <w:rPr>
          <w:rFonts w:ascii="Arial" w:hAnsi="Arial"/>
          <w:sz w:val="24"/>
        </w:rPr>
      </w:pPr>
    </w:p>
    <w:p w:rsidR="00F50C0A" w:rsidRDefault="00F50C0A" w:rsidP="00F50C0A">
      <w:pPr>
        <w:ind w:left="1440"/>
        <w:rPr>
          <w:rFonts w:ascii="Arial" w:hAnsi="Arial"/>
          <w:sz w:val="24"/>
        </w:rPr>
      </w:pPr>
      <w:r w:rsidRPr="00B35031">
        <w:rPr>
          <w:rFonts w:ascii="Arial" w:hAnsi="Arial"/>
          <w:b/>
          <w:sz w:val="24"/>
        </w:rPr>
        <w:t>Note:</w:t>
      </w:r>
      <w:r>
        <w:rPr>
          <w:rFonts w:ascii="Arial" w:hAnsi="Arial"/>
          <w:sz w:val="24"/>
        </w:rPr>
        <w:tab/>
        <w:t>Clinical circumstances, evaluation of transfusion, test result history and/or specimen history may override the above criteria and elution may be desirable for selected patients.</w:t>
      </w:r>
    </w:p>
    <w:p w:rsidR="00F50C0A" w:rsidRDefault="00F50C0A" w:rsidP="00F50C0A">
      <w:pPr>
        <w:rPr>
          <w:rFonts w:ascii="Arial" w:hAnsi="Arial"/>
          <w:sz w:val="24"/>
        </w:rPr>
      </w:pPr>
    </w:p>
    <w:p w:rsidR="00F50C0A" w:rsidRDefault="00F50C0A" w:rsidP="00B35031">
      <w:pPr>
        <w:numPr>
          <w:ilvl w:val="1"/>
          <w:numId w:val="1"/>
        </w:numPr>
        <w:tabs>
          <w:tab w:val="clear" w:pos="1004"/>
        </w:tabs>
        <w:ind w:left="1440"/>
        <w:rPr>
          <w:rFonts w:ascii="Arial" w:hAnsi="Arial"/>
          <w:sz w:val="24"/>
        </w:rPr>
      </w:pPr>
      <w:r>
        <w:rPr>
          <w:rFonts w:ascii="Arial" w:hAnsi="Arial"/>
          <w:sz w:val="24"/>
        </w:rPr>
        <w:t>Between 1 in 1000 individuals and up to 1 in 14,000 blood donors and 1% to 15% of hospital patients</w:t>
      </w:r>
      <w:r w:rsidR="00275060">
        <w:rPr>
          <w:rFonts w:ascii="Arial" w:hAnsi="Arial"/>
          <w:sz w:val="24"/>
        </w:rPr>
        <w:t xml:space="preserve"> </w:t>
      </w:r>
      <w:r>
        <w:rPr>
          <w:rFonts w:ascii="Arial" w:hAnsi="Arial"/>
          <w:sz w:val="24"/>
        </w:rPr>
        <w:t>have a positive DAT with anti-IgG and/or anti-C3. Healthy individuals can have 5 to 90 IgG molecules/red cell and 5 to 40 C3d molecules/red cell</w:t>
      </w:r>
      <w:r w:rsidR="00275060">
        <w:rPr>
          <w:rFonts w:ascii="Arial" w:hAnsi="Arial"/>
          <w:sz w:val="24"/>
        </w:rPr>
        <w:t>.</w:t>
      </w:r>
      <w:r>
        <w:rPr>
          <w:rFonts w:ascii="Arial" w:hAnsi="Arial"/>
          <w:sz w:val="24"/>
        </w:rPr>
        <w:t xml:space="preserve"> </w:t>
      </w:r>
      <w:r w:rsidR="00275060">
        <w:rPr>
          <w:rFonts w:ascii="Arial" w:hAnsi="Arial"/>
          <w:sz w:val="24"/>
        </w:rPr>
        <w:t>T</w:t>
      </w:r>
      <w:r>
        <w:rPr>
          <w:rFonts w:ascii="Arial" w:hAnsi="Arial"/>
          <w:sz w:val="24"/>
        </w:rPr>
        <w:t>hese levels are below the thresholds of detection in routine testing.</w:t>
      </w:r>
      <w:r w:rsidR="00275060">
        <w:rPr>
          <w:rFonts w:ascii="Arial" w:hAnsi="Arial"/>
          <w:sz w:val="24"/>
        </w:rPr>
        <w:t xml:space="preserve"> </w:t>
      </w:r>
      <w:r>
        <w:rPr>
          <w:rFonts w:ascii="Arial" w:hAnsi="Arial"/>
          <w:sz w:val="24"/>
        </w:rPr>
        <w:t>The significance of the positive DAT in healthy individuals is unknown.</w:t>
      </w:r>
      <w:r>
        <w:rPr>
          <w:rFonts w:ascii="Arial" w:hAnsi="Arial"/>
          <w:sz w:val="24"/>
          <w:szCs w:val="24"/>
          <w:vertAlign w:val="superscript"/>
        </w:rPr>
        <w:t>9.2</w:t>
      </w:r>
    </w:p>
    <w:p w:rsidR="00F50C0A" w:rsidRDefault="00F50C0A" w:rsidP="00B35031">
      <w:pPr>
        <w:ind w:left="1440"/>
        <w:rPr>
          <w:rFonts w:ascii="Arial" w:hAnsi="Arial"/>
          <w:sz w:val="24"/>
        </w:rPr>
      </w:pPr>
    </w:p>
    <w:p w:rsidR="00F50C0A" w:rsidRDefault="00F50C0A" w:rsidP="00B35031">
      <w:pPr>
        <w:numPr>
          <w:ilvl w:val="1"/>
          <w:numId w:val="1"/>
        </w:numPr>
        <w:tabs>
          <w:tab w:val="clear" w:pos="1004"/>
        </w:tabs>
        <w:ind w:left="1440"/>
        <w:rPr>
          <w:rFonts w:ascii="Arial" w:hAnsi="Arial"/>
          <w:sz w:val="24"/>
        </w:rPr>
      </w:pPr>
      <w:r>
        <w:rPr>
          <w:rFonts w:ascii="Arial" w:hAnsi="Arial"/>
          <w:sz w:val="24"/>
        </w:rPr>
        <w:t>A positive direct antiglobulin test may result from:</w:t>
      </w:r>
    </w:p>
    <w:p w:rsidR="00F50C0A" w:rsidRDefault="00F50C0A" w:rsidP="00F50C0A">
      <w:pPr>
        <w:ind w:left="720"/>
        <w:rPr>
          <w:rFonts w:ascii="Arial" w:hAnsi="Arial"/>
          <w:sz w:val="24"/>
        </w:rPr>
      </w:pPr>
    </w:p>
    <w:p w:rsidR="00F50C0A" w:rsidRDefault="00F50C0A" w:rsidP="00D6246D">
      <w:pPr>
        <w:numPr>
          <w:ilvl w:val="2"/>
          <w:numId w:val="1"/>
        </w:numPr>
        <w:rPr>
          <w:rFonts w:ascii="Arial" w:hAnsi="Arial"/>
          <w:sz w:val="24"/>
        </w:rPr>
      </w:pPr>
      <w:r>
        <w:rPr>
          <w:rFonts w:ascii="Arial" w:hAnsi="Arial"/>
          <w:sz w:val="24"/>
        </w:rPr>
        <w:t>Hemolytic Transfusion Reactions; Alloantibodies in a patient’s circulation reacting with antigens on recently transfused donor cells.</w:t>
      </w:r>
    </w:p>
    <w:p w:rsidR="00F50C0A" w:rsidRDefault="00F50C0A" w:rsidP="00F50C0A">
      <w:pPr>
        <w:ind w:left="1440"/>
        <w:rPr>
          <w:rFonts w:ascii="Arial" w:hAnsi="Arial"/>
          <w:sz w:val="24"/>
        </w:rPr>
      </w:pPr>
    </w:p>
    <w:p w:rsidR="00F50C0A" w:rsidRDefault="00F50C0A" w:rsidP="00D6246D">
      <w:pPr>
        <w:numPr>
          <w:ilvl w:val="2"/>
          <w:numId w:val="1"/>
        </w:numPr>
        <w:rPr>
          <w:rFonts w:ascii="Arial" w:hAnsi="Arial"/>
          <w:sz w:val="24"/>
        </w:rPr>
      </w:pPr>
      <w:r>
        <w:rPr>
          <w:rFonts w:ascii="Arial" w:hAnsi="Arial"/>
          <w:sz w:val="24"/>
        </w:rPr>
        <w:t>Passively acquired alloantibodies</w:t>
      </w:r>
      <w:r w:rsidR="00880D34">
        <w:rPr>
          <w:rFonts w:ascii="Arial" w:hAnsi="Arial"/>
          <w:sz w:val="24"/>
        </w:rPr>
        <w:t xml:space="preserve"> </w:t>
      </w:r>
      <w:r>
        <w:rPr>
          <w:rFonts w:ascii="Arial" w:hAnsi="Arial"/>
          <w:sz w:val="24"/>
          <w:vertAlign w:val="superscript"/>
        </w:rPr>
        <w:t>9.2</w:t>
      </w:r>
      <w:r>
        <w:rPr>
          <w:rFonts w:ascii="Arial" w:hAnsi="Arial"/>
          <w:sz w:val="24"/>
        </w:rPr>
        <w:t xml:space="preserve"> (donor plasma, platelets, or derivatives </w:t>
      </w:r>
      <w:r w:rsidR="00220245">
        <w:rPr>
          <w:rFonts w:ascii="Arial" w:hAnsi="Arial"/>
          <w:sz w:val="24"/>
        </w:rPr>
        <w:t>(</w:t>
      </w:r>
      <w:r>
        <w:rPr>
          <w:rFonts w:ascii="Arial" w:hAnsi="Arial"/>
          <w:sz w:val="24"/>
        </w:rPr>
        <w:t>e.g.</w:t>
      </w:r>
      <w:r w:rsidR="00880D34">
        <w:rPr>
          <w:rFonts w:ascii="Arial" w:hAnsi="Arial"/>
          <w:sz w:val="24"/>
        </w:rPr>
        <w:t xml:space="preserve"> </w:t>
      </w:r>
      <w:proofErr w:type="spellStart"/>
      <w:r>
        <w:rPr>
          <w:rFonts w:ascii="Arial" w:hAnsi="Arial"/>
          <w:sz w:val="24"/>
        </w:rPr>
        <w:t>IVIg</w:t>
      </w:r>
      <w:proofErr w:type="spellEnd"/>
      <w:r>
        <w:rPr>
          <w:rFonts w:ascii="Arial" w:hAnsi="Arial"/>
          <w:sz w:val="24"/>
        </w:rPr>
        <w:t xml:space="preserve">, </w:t>
      </w:r>
      <w:proofErr w:type="spellStart"/>
      <w:r>
        <w:rPr>
          <w:rFonts w:ascii="Arial" w:hAnsi="Arial"/>
          <w:sz w:val="24"/>
        </w:rPr>
        <w:t>RhIg</w:t>
      </w:r>
      <w:proofErr w:type="spellEnd"/>
      <w:r>
        <w:rPr>
          <w:rFonts w:ascii="Arial" w:hAnsi="Arial"/>
          <w:sz w:val="24"/>
        </w:rPr>
        <w:t xml:space="preserve"> etc.</w:t>
      </w:r>
      <w:r w:rsidR="00220245">
        <w:rPr>
          <w:rFonts w:ascii="Arial" w:hAnsi="Arial"/>
          <w:sz w:val="24"/>
        </w:rPr>
        <w:t>)</w:t>
      </w:r>
      <w:r>
        <w:rPr>
          <w:rFonts w:ascii="Arial" w:hAnsi="Arial"/>
          <w:sz w:val="24"/>
        </w:rPr>
        <w:t xml:space="preserve"> and m</w:t>
      </w:r>
      <w:r w:rsidR="00880D34">
        <w:rPr>
          <w:rFonts w:ascii="Arial" w:hAnsi="Arial"/>
          <w:sz w:val="24"/>
        </w:rPr>
        <w:t>aternal antibodies in a neonate).</w:t>
      </w:r>
    </w:p>
    <w:p w:rsidR="00F50C0A" w:rsidRDefault="00F50C0A" w:rsidP="00F50C0A">
      <w:pPr>
        <w:rPr>
          <w:rFonts w:ascii="Arial" w:hAnsi="Arial"/>
          <w:sz w:val="24"/>
        </w:rPr>
      </w:pPr>
    </w:p>
    <w:p w:rsidR="00F50C0A" w:rsidRDefault="00F50C0A" w:rsidP="00D6246D">
      <w:pPr>
        <w:numPr>
          <w:ilvl w:val="2"/>
          <w:numId w:val="1"/>
        </w:numPr>
        <w:rPr>
          <w:rFonts w:ascii="Arial" w:hAnsi="Arial"/>
          <w:sz w:val="24"/>
        </w:rPr>
      </w:pPr>
      <w:r>
        <w:rPr>
          <w:rFonts w:ascii="Arial" w:hAnsi="Arial"/>
          <w:sz w:val="24"/>
        </w:rPr>
        <w:t xml:space="preserve">Non-specifically </w:t>
      </w:r>
      <w:proofErr w:type="spellStart"/>
      <w:r>
        <w:rPr>
          <w:rFonts w:ascii="Arial" w:hAnsi="Arial"/>
          <w:sz w:val="24"/>
        </w:rPr>
        <w:t>adsorped</w:t>
      </w:r>
      <w:proofErr w:type="spellEnd"/>
      <w:r>
        <w:rPr>
          <w:rFonts w:ascii="Arial" w:hAnsi="Arial"/>
          <w:sz w:val="24"/>
        </w:rPr>
        <w:t xml:space="preserve"> proteins (e.g</w:t>
      </w:r>
      <w:r w:rsidR="00880D34">
        <w:rPr>
          <w:rFonts w:ascii="Arial" w:hAnsi="Arial"/>
          <w:sz w:val="24"/>
        </w:rPr>
        <w:t xml:space="preserve">. </w:t>
      </w:r>
      <w:r>
        <w:rPr>
          <w:rFonts w:ascii="Arial" w:hAnsi="Arial"/>
          <w:sz w:val="24"/>
        </w:rPr>
        <w:t xml:space="preserve">hypergammaglobulinemia </w:t>
      </w:r>
      <w:r w:rsidRPr="00DF33C4">
        <w:rPr>
          <w:rFonts w:ascii="Arial" w:hAnsi="Arial"/>
          <w:sz w:val="24"/>
        </w:rPr>
        <w:t xml:space="preserve">or </w:t>
      </w:r>
      <w:r>
        <w:rPr>
          <w:rFonts w:ascii="Arial" w:hAnsi="Arial"/>
          <w:sz w:val="24"/>
        </w:rPr>
        <w:t>modification of red cell membrane by some drugs</w:t>
      </w:r>
      <w:r w:rsidR="00275060">
        <w:rPr>
          <w:rFonts w:ascii="Arial" w:hAnsi="Arial"/>
          <w:sz w:val="24"/>
        </w:rPr>
        <w:t>)</w:t>
      </w:r>
      <w:r>
        <w:rPr>
          <w:rFonts w:ascii="Arial" w:hAnsi="Arial"/>
          <w:sz w:val="24"/>
        </w:rPr>
        <w:t>.</w:t>
      </w:r>
    </w:p>
    <w:p w:rsidR="00F50C0A" w:rsidRDefault="00F50C0A" w:rsidP="00F50C0A">
      <w:pPr>
        <w:ind w:left="1440"/>
        <w:rPr>
          <w:rFonts w:ascii="Arial" w:hAnsi="Arial"/>
          <w:sz w:val="24"/>
        </w:rPr>
      </w:pPr>
    </w:p>
    <w:p w:rsidR="00F50C0A" w:rsidRDefault="00F50C0A" w:rsidP="00D6246D">
      <w:pPr>
        <w:numPr>
          <w:ilvl w:val="2"/>
          <w:numId w:val="1"/>
        </w:numPr>
        <w:rPr>
          <w:rFonts w:ascii="Arial" w:hAnsi="Arial"/>
          <w:sz w:val="24"/>
        </w:rPr>
      </w:pPr>
      <w:r>
        <w:rPr>
          <w:rFonts w:ascii="Arial" w:hAnsi="Arial"/>
          <w:sz w:val="24"/>
        </w:rPr>
        <w:t>Autoantibodies to intrinsic red cell antigens.</w:t>
      </w:r>
      <w:r>
        <w:rPr>
          <w:rFonts w:ascii="Arial" w:hAnsi="Arial"/>
          <w:sz w:val="24"/>
          <w:vertAlign w:val="superscript"/>
        </w:rPr>
        <w:t>9.2</w:t>
      </w:r>
    </w:p>
    <w:p w:rsidR="00F50C0A" w:rsidRDefault="00F50C0A" w:rsidP="00F50C0A">
      <w:pPr>
        <w:ind w:left="1440"/>
        <w:rPr>
          <w:rFonts w:ascii="Arial" w:hAnsi="Arial"/>
          <w:sz w:val="24"/>
        </w:rPr>
      </w:pPr>
    </w:p>
    <w:p w:rsidR="00F50C0A" w:rsidRDefault="00F50C0A" w:rsidP="00D6246D">
      <w:pPr>
        <w:numPr>
          <w:ilvl w:val="2"/>
          <w:numId w:val="1"/>
        </w:numPr>
        <w:rPr>
          <w:rFonts w:ascii="Arial" w:hAnsi="Arial"/>
          <w:sz w:val="24"/>
        </w:rPr>
      </w:pPr>
      <w:r>
        <w:rPr>
          <w:rFonts w:ascii="Arial" w:hAnsi="Arial"/>
          <w:sz w:val="24"/>
        </w:rPr>
        <w:t>Complement activation due to bacterial infection, autoantibodies or alloantibodies.</w:t>
      </w:r>
      <w:r w:rsidRPr="003C6E35">
        <w:rPr>
          <w:rFonts w:ascii="Arial" w:hAnsi="Arial"/>
          <w:sz w:val="24"/>
          <w:vertAlign w:val="superscript"/>
        </w:rPr>
        <w:t>9.2</w:t>
      </w:r>
    </w:p>
    <w:p w:rsidR="00F50C0A" w:rsidRDefault="00F50C0A" w:rsidP="00F50C0A">
      <w:pPr>
        <w:ind w:left="1440"/>
        <w:rPr>
          <w:rFonts w:ascii="Arial" w:hAnsi="Arial"/>
          <w:sz w:val="24"/>
        </w:rPr>
      </w:pPr>
    </w:p>
    <w:p w:rsidR="00880D34" w:rsidRDefault="00F50C0A" w:rsidP="00F50C0A">
      <w:pPr>
        <w:numPr>
          <w:ilvl w:val="2"/>
          <w:numId w:val="1"/>
        </w:numPr>
        <w:rPr>
          <w:rFonts w:ascii="Arial" w:hAnsi="Arial"/>
          <w:sz w:val="24"/>
        </w:rPr>
      </w:pPr>
      <w:r>
        <w:rPr>
          <w:rFonts w:ascii="Arial" w:hAnsi="Arial"/>
          <w:sz w:val="24"/>
        </w:rPr>
        <w:t>Antibodies produced by passenger lymphocytes (Hematopoietic components) or Transplant organs.</w:t>
      </w:r>
      <w:r>
        <w:rPr>
          <w:rFonts w:ascii="Arial" w:hAnsi="Arial"/>
          <w:sz w:val="24"/>
          <w:vertAlign w:val="superscript"/>
        </w:rPr>
        <w:t>9.2</w:t>
      </w:r>
    </w:p>
    <w:p w:rsidR="00880D34" w:rsidRDefault="00880D34" w:rsidP="00880D34">
      <w:pPr>
        <w:pStyle w:val="ListParagraph"/>
        <w:rPr>
          <w:rFonts w:ascii="Arial" w:hAnsi="Arial"/>
          <w:sz w:val="24"/>
        </w:rPr>
      </w:pPr>
    </w:p>
    <w:p w:rsidR="00880D34" w:rsidRDefault="00F50C0A" w:rsidP="00880D34">
      <w:pPr>
        <w:numPr>
          <w:ilvl w:val="2"/>
          <w:numId w:val="1"/>
        </w:numPr>
        <w:rPr>
          <w:rFonts w:ascii="Arial" w:hAnsi="Arial"/>
          <w:sz w:val="24"/>
        </w:rPr>
      </w:pPr>
      <w:r w:rsidRPr="00880D34">
        <w:rPr>
          <w:rFonts w:ascii="Arial" w:hAnsi="Arial"/>
          <w:sz w:val="24"/>
        </w:rPr>
        <w:t>Drug Induced antibodies</w:t>
      </w:r>
      <w:r w:rsidR="00880D34">
        <w:rPr>
          <w:rFonts w:ascii="Arial" w:hAnsi="Arial"/>
          <w:sz w:val="24"/>
        </w:rPr>
        <w:t xml:space="preserve"> </w:t>
      </w:r>
      <w:r w:rsidRPr="00880D34">
        <w:rPr>
          <w:rFonts w:ascii="Arial" w:hAnsi="Arial"/>
          <w:sz w:val="24"/>
          <w:vertAlign w:val="superscript"/>
        </w:rPr>
        <w:t>9.2</w:t>
      </w:r>
      <w:r w:rsidRPr="00880D34">
        <w:rPr>
          <w:rFonts w:ascii="Arial" w:hAnsi="Arial"/>
          <w:sz w:val="24"/>
        </w:rPr>
        <w:t xml:space="preserve"> </w:t>
      </w:r>
    </w:p>
    <w:p w:rsidR="00880D34" w:rsidRDefault="00880D34" w:rsidP="00880D34">
      <w:pPr>
        <w:pStyle w:val="ListParagraph"/>
        <w:rPr>
          <w:rFonts w:ascii="Arial" w:hAnsi="Arial"/>
          <w:sz w:val="24"/>
        </w:rPr>
      </w:pPr>
    </w:p>
    <w:p w:rsidR="00880D34" w:rsidRDefault="00F50C0A" w:rsidP="00880D34">
      <w:pPr>
        <w:numPr>
          <w:ilvl w:val="1"/>
          <w:numId w:val="1"/>
        </w:numPr>
        <w:tabs>
          <w:tab w:val="clear" w:pos="1004"/>
        </w:tabs>
        <w:ind w:left="1440"/>
        <w:rPr>
          <w:rFonts w:ascii="Arial" w:hAnsi="Arial"/>
          <w:sz w:val="24"/>
        </w:rPr>
      </w:pPr>
      <w:r w:rsidRPr="00880D34">
        <w:rPr>
          <w:rFonts w:ascii="Arial" w:hAnsi="Arial"/>
          <w:sz w:val="24"/>
        </w:rPr>
        <w:t xml:space="preserve">Transfusion of </w:t>
      </w:r>
      <w:r w:rsidR="00275060" w:rsidRPr="00880D34">
        <w:rPr>
          <w:rFonts w:ascii="Arial" w:hAnsi="Arial"/>
          <w:sz w:val="24"/>
        </w:rPr>
        <w:t xml:space="preserve">patients with </w:t>
      </w:r>
      <w:r w:rsidRPr="00880D34">
        <w:rPr>
          <w:rFonts w:ascii="Arial" w:hAnsi="Arial"/>
          <w:sz w:val="24"/>
        </w:rPr>
        <w:t>AIHA is a clinical decision balancing risk and/or clinical need. Transfusion should not be withheld solely because of serological incompatibility. The volume transfused should be the smallest amount required to maintain oxygen delivery, not to reach an arbitrary hemoglobin level.</w:t>
      </w:r>
      <w:r w:rsidRPr="00880D34">
        <w:rPr>
          <w:rFonts w:ascii="Arial" w:hAnsi="Arial"/>
          <w:sz w:val="24"/>
          <w:vertAlign w:val="superscript"/>
        </w:rPr>
        <w:t>9.2</w:t>
      </w:r>
      <w:r w:rsidRPr="00880D34">
        <w:rPr>
          <w:rFonts w:ascii="Arial" w:hAnsi="Arial"/>
          <w:sz w:val="24"/>
        </w:rPr>
        <w:t xml:space="preserve"> Patients with little or no evidence of hemolysis tolerate transfusion quite well.  The risk is usually associated with the difficulties in pretransfusion testing</w:t>
      </w:r>
      <w:r w:rsidR="00A523AA" w:rsidRPr="00880D34">
        <w:rPr>
          <w:rFonts w:ascii="Arial" w:hAnsi="Arial"/>
          <w:sz w:val="24"/>
        </w:rPr>
        <w:t>.</w:t>
      </w:r>
      <w:r w:rsidRPr="00880D34">
        <w:rPr>
          <w:rFonts w:ascii="Arial" w:hAnsi="Arial"/>
          <w:sz w:val="24"/>
        </w:rPr>
        <w:t xml:space="preserve"> </w:t>
      </w:r>
      <w:r w:rsidR="00A523AA" w:rsidRPr="00880D34">
        <w:rPr>
          <w:rFonts w:ascii="Arial" w:hAnsi="Arial"/>
          <w:sz w:val="24"/>
        </w:rPr>
        <w:t>I</w:t>
      </w:r>
      <w:r w:rsidRPr="00880D34">
        <w:rPr>
          <w:rFonts w:ascii="Arial" w:hAnsi="Arial"/>
          <w:sz w:val="24"/>
        </w:rPr>
        <w:t xml:space="preserve">n patients with active hemolysis, transfusion may increase hemolysis. Destruction of transfused cells may increase </w:t>
      </w:r>
      <w:proofErr w:type="spellStart"/>
      <w:r w:rsidRPr="00880D34">
        <w:rPr>
          <w:rFonts w:ascii="Arial" w:hAnsi="Arial"/>
          <w:sz w:val="24"/>
        </w:rPr>
        <w:t>hemoglobinemia</w:t>
      </w:r>
      <w:proofErr w:type="spellEnd"/>
      <w:r w:rsidRPr="00880D34">
        <w:rPr>
          <w:rFonts w:ascii="Arial" w:hAnsi="Arial"/>
          <w:sz w:val="24"/>
        </w:rPr>
        <w:t xml:space="preserve"> and hemoglobinuria. DIC can develop with these patients.</w:t>
      </w:r>
    </w:p>
    <w:p w:rsidR="00880D34" w:rsidRDefault="00880D34" w:rsidP="00880D34">
      <w:pPr>
        <w:ind w:left="1440"/>
        <w:rPr>
          <w:rFonts w:ascii="Arial" w:hAnsi="Arial"/>
          <w:sz w:val="24"/>
        </w:rPr>
      </w:pPr>
    </w:p>
    <w:p w:rsidR="00880D34" w:rsidRDefault="00F50C0A" w:rsidP="00880D34">
      <w:pPr>
        <w:numPr>
          <w:ilvl w:val="1"/>
          <w:numId w:val="1"/>
        </w:numPr>
        <w:tabs>
          <w:tab w:val="clear" w:pos="1004"/>
        </w:tabs>
        <w:ind w:left="1440"/>
        <w:rPr>
          <w:rFonts w:ascii="Arial" w:hAnsi="Arial"/>
          <w:sz w:val="24"/>
        </w:rPr>
      </w:pPr>
      <w:r w:rsidRPr="00880D34">
        <w:rPr>
          <w:rFonts w:ascii="Arial" w:hAnsi="Arial"/>
          <w:sz w:val="24"/>
        </w:rPr>
        <w:t>In the presence of a warm autoantibody, transfusion should be avoided if possible and should only be given for severe life-threatening anemia. Medical treatment ordered by a physician should be the mainstay of treatment when possible (e.g. steroids).</w:t>
      </w:r>
    </w:p>
    <w:p w:rsidR="00880D34" w:rsidRDefault="00880D34" w:rsidP="00880D34">
      <w:pPr>
        <w:pStyle w:val="ListParagraph"/>
        <w:rPr>
          <w:rFonts w:ascii="Arial" w:hAnsi="Arial"/>
          <w:sz w:val="24"/>
        </w:rPr>
      </w:pPr>
    </w:p>
    <w:p w:rsidR="00F50C0A" w:rsidRPr="00880D34" w:rsidRDefault="00F50C0A" w:rsidP="00880D34">
      <w:pPr>
        <w:numPr>
          <w:ilvl w:val="1"/>
          <w:numId w:val="1"/>
        </w:numPr>
        <w:tabs>
          <w:tab w:val="clear" w:pos="1004"/>
        </w:tabs>
        <w:ind w:left="1440"/>
        <w:rPr>
          <w:rFonts w:ascii="Arial" w:hAnsi="Arial"/>
          <w:sz w:val="24"/>
        </w:rPr>
      </w:pPr>
      <w:r w:rsidRPr="00880D34">
        <w:rPr>
          <w:rFonts w:ascii="Arial" w:hAnsi="Arial"/>
          <w:sz w:val="24"/>
        </w:rPr>
        <w:t>When a maternal antibody has been identified as the cause of a positive DAT on a neonatal specimen (as determined by eluate), exchange transfusion should be anticipated. If the neonate’s clinical condition indicates the possibility of exchange transfusion as determined by a physician, the transfusion service should make arrangements to obtain suitable donor units. See CSP.001 – Selection of Blood Components for Transfusion.</w:t>
      </w:r>
    </w:p>
    <w:p w:rsidR="002A6041" w:rsidRDefault="002A6041">
      <w:pPr>
        <w:spacing w:line="228" w:lineRule="auto"/>
        <w:ind w:left="720"/>
        <w:rPr>
          <w:rFonts w:ascii="Arial" w:hAnsi="Arial"/>
          <w:sz w:val="24"/>
        </w:rPr>
      </w:pPr>
    </w:p>
    <w:p w:rsidR="002A6041" w:rsidRDefault="002A6041" w:rsidP="00D6246D">
      <w:pPr>
        <w:numPr>
          <w:ilvl w:val="0"/>
          <w:numId w:val="1"/>
        </w:numPr>
        <w:spacing w:line="228" w:lineRule="auto"/>
        <w:rPr>
          <w:rFonts w:ascii="Arial" w:hAnsi="Arial"/>
          <w:b/>
          <w:sz w:val="28"/>
        </w:rPr>
      </w:pPr>
      <w:r>
        <w:rPr>
          <w:rFonts w:ascii="Arial" w:hAnsi="Arial"/>
          <w:b/>
          <w:sz w:val="28"/>
        </w:rPr>
        <w:t>References</w:t>
      </w:r>
    </w:p>
    <w:p w:rsidR="002A6041" w:rsidRDefault="002A6041">
      <w:pPr>
        <w:spacing w:line="228" w:lineRule="auto"/>
        <w:rPr>
          <w:rFonts w:ascii="Arial" w:hAnsi="Arial"/>
          <w:sz w:val="24"/>
        </w:rPr>
      </w:pPr>
    </w:p>
    <w:p w:rsidR="00F50C0A" w:rsidRPr="001C4DE3" w:rsidRDefault="00F50C0A" w:rsidP="00F50C0A">
      <w:pPr>
        <w:numPr>
          <w:ilvl w:val="1"/>
          <w:numId w:val="28"/>
        </w:numPr>
        <w:rPr>
          <w:rFonts w:ascii="Arial" w:hAnsi="Arial"/>
          <w:sz w:val="24"/>
        </w:rPr>
      </w:pPr>
      <w:r w:rsidRPr="001C4DE3">
        <w:rPr>
          <w:rFonts w:ascii="Arial" w:hAnsi="Arial"/>
          <w:sz w:val="24"/>
        </w:rPr>
        <w:t xml:space="preserve">Standards for Hospital Transfusion Services Version </w:t>
      </w:r>
      <w:r>
        <w:rPr>
          <w:rFonts w:ascii="Arial" w:hAnsi="Arial"/>
          <w:sz w:val="24"/>
        </w:rPr>
        <w:t>3</w:t>
      </w:r>
      <w:r w:rsidRPr="001C4DE3">
        <w:rPr>
          <w:rFonts w:ascii="Arial" w:hAnsi="Arial"/>
          <w:sz w:val="24"/>
        </w:rPr>
        <w:t xml:space="preserve"> – </w:t>
      </w:r>
      <w:r>
        <w:rPr>
          <w:rFonts w:ascii="Arial" w:hAnsi="Arial"/>
          <w:sz w:val="24"/>
        </w:rPr>
        <w:t>February 2011</w:t>
      </w:r>
      <w:r w:rsidRPr="001C4DE3">
        <w:rPr>
          <w:rFonts w:ascii="Arial" w:hAnsi="Arial"/>
          <w:sz w:val="24"/>
        </w:rPr>
        <w:t>. Canadian Society for Transfusion Medicine.</w:t>
      </w:r>
      <w:r>
        <w:rPr>
          <w:rFonts w:ascii="Arial" w:hAnsi="Arial"/>
          <w:sz w:val="24"/>
        </w:rPr>
        <w:t xml:space="preserve"> 5.9.4.1, 5.3.6.</w:t>
      </w:r>
    </w:p>
    <w:p w:rsidR="00F50C0A" w:rsidRPr="001C4DE3" w:rsidRDefault="00F50C0A" w:rsidP="00F50C0A">
      <w:pPr>
        <w:ind w:left="720"/>
        <w:rPr>
          <w:rFonts w:ascii="Arial" w:hAnsi="Arial"/>
          <w:sz w:val="24"/>
        </w:rPr>
      </w:pPr>
    </w:p>
    <w:p w:rsidR="00F50C0A" w:rsidRPr="001C4DE3" w:rsidRDefault="00F50C0A" w:rsidP="00F50C0A">
      <w:pPr>
        <w:numPr>
          <w:ilvl w:val="1"/>
          <w:numId w:val="28"/>
        </w:numPr>
        <w:rPr>
          <w:rFonts w:ascii="Arial" w:hAnsi="Arial"/>
          <w:sz w:val="24"/>
        </w:rPr>
      </w:pPr>
      <w:r w:rsidRPr="001C4DE3">
        <w:rPr>
          <w:rFonts w:ascii="Arial" w:hAnsi="Arial"/>
          <w:sz w:val="24"/>
        </w:rPr>
        <w:t xml:space="preserve">Roback JD, ed. </w:t>
      </w:r>
      <w:r>
        <w:rPr>
          <w:rFonts w:ascii="Arial" w:hAnsi="Arial"/>
          <w:sz w:val="24"/>
        </w:rPr>
        <w:t>AABB</w:t>
      </w:r>
      <w:r w:rsidRPr="001C4DE3">
        <w:rPr>
          <w:rFonts w:ascii="Arial" w:hAnsi="Arial"/>
          <w:sz w:val="24"/>
        </w:rPr>
        <w:t xml:space="preserve"> Technical Manual, 1</w:t>
      </w:r>
      <w:r>
        <w:rPr>
          <w:rFonts w:ascii="Arial" w:hAnsi="Arial"/>
          <w:sz w:val="24"/>
        </w:rPr>
        <w:t>7</w:t>
      </w:r>
      <w:r w:rsidRPr="001C4DE3">
        <w:rPr>
          <w:rFonts w:ascii="Arial" w:hAnsi="Arial"/>
          <w:sz w:val="24"/>
          <w:vertAlign w:val="superscript"/>
        </w:rPr>
        <w:t>th</w:t>
      </w:r>
      <w:r w:rsidRPr="001C4DE3">
        <w:rPr>
          <w:rFonts w:ascii="Arial" w:hAnsi="Arial"/>
          <w:sz w:val="24"/>
        </w:rPr>
        <w:t xml:space="preserve"> ed. Bethesda, MD:  American Association of Blood Banks, 20</w:t>
      </w:r>
      <w:r>
        <w:rPr>
          <w:rFonts w:ascii="Arial" w:hAnsi="Arial"/>
          <w:sz w:val="24"/>
        </w:rPr>
        <w:t>11:497-522,735</w:t>
      </w:r>
      <w:r w:rsidRPr="001C4DE3">
        <w:rPr>
          <w:rFonts w:ascii="Arial" w:hAnsi="Arial"/>
          <w:sz w:val="24"/>
        </w:rPr>
        <w:t>.</w:t>
      </w:r>
    </w:p>
    <w:p w:rsidR="00F50C0A" w:rsidRPr="001C4DE3" w:rsidRDefault="00F50C0A" w:rsidP="00F50C0A">
      <w:pPr>
        <w:ind w:left="720"/>
        <w:rPr>
          <w:rFonts w:ascii="Arial" w:hAnsi="Arial"/>
          <w:sz w:val="24"/>
        </w:rPr>
      </w:pPr>
    </w:p>
    <w:p w:rsidR="00F50C0A" w:rsidRDefault="00F50C0A" w:rsidP="00F50C0A">
      <w:pPr>
        <w:numPr>
          <w:ilvl w:val="1"/>
          <w:numId w:val="28"/>
        </w:numPr>
        <w:rPr>
          <w:rFonts w:ascii="Arial" w:hAnsi="Arial"/>
          <w:sz w:val="24"/>
        </w:rPr>
      </w:pPr>
      <w:r w:rsidRPr="001C4DE3">
        <w:rPr>
          <w:rFonts w:ascii="Arial" w:hAnsi="Arial"/>
          <w:sz w:val="24"/>
        </w:rPr>
        <w:t xml:space="preserve">Judd WJ.  Methods in immunohematology, </w:t>
      </w:r>
      <w:r>
        <w:rPr>
          <w:rFonts w:ascii="Arial" w:hAnsi="Arial"/>
          <w:sz w:val="24"/>
        </w:rPr>
        <w:t>3</w:t>
      </w:r>
      <w:r w:rsidRPr="003C6E35">
        <w:rPr>
          <w:rFonts w:ascii="Arial" w:hAnsi="Arial"/>
          <w:sz w:val="24"/>
          <w:vertAlign w:val="superscript"/>
        </w:rPr>
        <w:t>rd</w:t>
      </w:r>
      <w:r>
        <w:rPr>
          <w:rFonts w:ascii="Arial" w:hAnsi="Arial"/>
          <w:sz w:val="24"/>
        </w:rPr>
        <w:t xml:space="preserve"> </w:t>
      </w:r>
      <w:r w:rsidRPr="001C4DE3">
        <w:rPr>
          <w:rFonts w:ascii="Arial" w:hAnsi="Arial"/>
          <w:sz w:val="24"/>
        </w:rPr>
        <w:t>ed. Durham, NC: Montgomery Scientific Publications, 199</w:t>
      </w:r>
      <w:r>
        <w:rPr>
          <w:rFonts w:ascii="Arial" w:hAnsi="Arial"/>
          <w:sz w:val="24"/>
        </w:rPr>
        <w:t>8</w:t>
      </w:r>
      <w:r w:rsidRPr="001C4DE3">
        <w:rPr>
          <w:rFonts w:ascii="Arial" w:hAnsi="Arial"/>
          <w:sz w:val="24"/>
        </w:rPr>
        <w:t>:</w:t>
      </w:r>
      <w:r>
        <w:rPr>
          <w:rFonts w:ascii="Arial" w:hAnsi="Arial"/>
          <w:sz w:val="24"/>
        </w:rPr>
        <w:t>418-421</w:t>
      </w:r>
      <w:r w:rsidRPr="001C4DE3">
        <w:rPr>
          <w:rFonts w:ascii="Arial" w:hAnsi="Arial"/>
          <w:sz w:val="24"/>
        </w:rPr>
        <w:t>.</w:t>
      </w:r>
    </w:p>
    <w:p w:rsidR="002A6041" w:rsidRDefault="002A6041">
      <w:pPr>
        <w:tabs>
          <w:tab w:val="left" w:pos="3051"/>
        </w:tabs>
        <w:rPr>
          <w:rFonts w:ascii="Arial" w:hAnsi="Arial"/>
          <w:sz w:val="24"/>
        </w:rPr>
      </w:pPr>
    </w:p>
    <w:p w:rsidR="00F50C0A" w:rsidRPr="00F50C0A" w:rsidRDefault="00F50C0A" w:rsidP="00F50C0A">
      <w:pPr>
        <w:pStyle w:val="ListParagraph"/>
        <w:numPr>
          <w:ilvl w:val="0"/>
          <w:numId w:val="31"/>
        </w:numPr>
        <w:rPr>
          <w:rFonts w:ascii="Arial" w:hAnsi="Arial"/>
          <w:b/>
          <w:sz w:val="28"/>
        </w:rPr>
      </w:pPr>
      <w:r w:rsidRPr="00F50C0A">
        <w:rPr>
          <w:rFonts w:ascii="Arial" w:hAnsi="Arial"/>
          <w:b/>
          <w:sz w:val="28"/>
        </w:rPr>
        <w:t>Revision History</w:t>
      </w:r>
    </w:p>
    <w:p w:rsidR="00F50C0A" w:rsidRDefault="00F50C0A" w:rsidP="00F50C0A">
      <w:pPr>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5688"/>
      </w:tblGrid>
      <w:tr w:rsidR="00F50C0A" w:rsidRPr="00D208F0" w:rsidTr="00880D34">
        <w:tc>
          <w:tcPr>
            <w:tcW w:w="31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50C0A" w:rsidRPr="00220245" w:rsidRDefault="00F50C0A" w:rsidP="00220245">
            <w:pPr>
              <w:pStyle w:val="Header"/>
              <w:tabs>
                <w:tab w:val="left" w:pos="720"/>
              </w:tabs>
              <w:jc w:val="center"/>
              <w:rPr>
                <w:rFonts w:ascii="Arial" w:hAnsi="Arial" w:cs="Arial"/>
                <w:b/>
                <w:sz w:val="22"/>
              </w:rPr>
            </w:pPr>
            <w:r w:rsidRPr="00220245">
              <w:rPr>
                <w:rFonts w:ascii="Arial" w:hAnsi="Arial" w:cs="Arial"/>
                <w:b/>
                <w:sz w:val="22"/>
              </w:rPr>
              <w:t>Revision Date</w:t>
            </w:r>
          </w:p>
        </w:tc>
        <w:tc>
          <w:tcPr>
            <w:tcW w:w="56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50C0A" w:rsidRPr="00220245" w:rsidRDefault="00F50C0A" w:rsidP="00220245">
            <w:pPr>
              <w:pStyle w:val="Header"/>
              <w:tabs>
                <w:tab w:val="left" w:pos="720"/>
              </w:tabs>
              <w:jc w:val="center"/>
              <w:rPr>
                <w:rFonts w:ascii="Arial" w:hAnsi="Arial" w:cs="Arial"/>
                <w:b/>
                <w:sz w:val="22"/>
              </w:rPr>
            </w:pPr>
            <w:r w:rsidRPr="00220245">
              <w:rPr>
                <w:rFonts w:ascii="Arial" w:hAnsi="Arial" w:cs="Arial"/>
                <w:b/>
                <w:sz w:val="22"/>
              </w:rPr>
              <w:t>Summary of Revision</w:t>
            </w:r>
          </w:p>
        </w:tc>
      </w:tr>
      <w:tr w:rsidR="00F50C0A" w:rsidRPr="00D208F0" w:rsidTr="00880D34">
        <w:tc>
          <w:tcPr>
            <w:tcW w:w="3168" w:type="dxa"/>
            <w:tcBorders>
              <w:top w:val="single" w:sz="4" w:space="0" w:color="auto"/>
              <w:left w:val="single" w:sz="4" w:space="0" w:color="auto"/>
              <w:bottom w:val="single" w:sz="4" w:space="0" w:color="auto"/>
              <w:right w:val="single" w:sz="4" w:space="0" w:color="auto"/>
            </w:tcBorders>
            <w:shd w:val="clear" w:color="auto" w:fill="auto"/>
          </w:tcPr>
          <w:p w:rsidR="00F50C0A" w:rsidRPr="00220245" w:rsidRDefault="00220245" w:rsidP="00FA0371">
            <w:pPr>
              <w:pStyle w:val="Header"/>
              <w:tabs>
                <w:tab w:val="left" w:pos="720"/>
              </w:tabs>
              <w:rPr>
                <w:rFonts w:ascii="Arial" w:hAnsi="Arial" w:cs="Arial"/>
                <w:sz w:val="22"/>
              </w:rPr>
            </w:pPr>
            <w:r>
              <w:rPr>
                <w:rFonts w:ascii="Arial" w:hAnsi="Arial" w:cs="Arial"/>
                <w:sz w:val="22"/>
              </w:rPr>
              <w:t>March 1, 2014</w:t>
            </w:r>
          </w:p>
        </w:tc>
        <w:tc>
          <w:tcPr>
            <w:tcW w:w="5688" w:type="dxa"/>
            <w:tcBorders>
              <w:top w:val="single" w:sz="4" w:space="0" w:color="auto"/>
              <w:left w:val="single" w:sz="4" w:space="0" w:color="auto"/>
              <w:bottom w:val="single" w:sz="4" w:space="0" w:color="auto"/>
              <w:right w:val="single" w:sz="4" w:space="0" w:color="auto"/>
            </w:tcBorders>
            <w:shd w:val="clear" w:color="auto" w:fill="auto"/>
          </w:tcPr>
          <w:p w:rsidR="00220245" w:rsidRDefault="00220245" w:rsidP="00220245">
            <w:pPr>
              <w:pStyle w:val="Header"/>
              <w:numPr>
                <w:ilvl w:val="0"/>
                <w:numId w:val="35"/>
              </w:numPr>
              <w:tabs>
                <w:tab w:val="left" w:pos="720"/>
              </w:tabs>
              <w:rPr>
                <w:rFonts w:ascii="Arial" w:hAnsi="Arial" w:cs="Arial"/>
                <w:sz w:val="22"/>
              </w:rPr>
            </w:pPr>
            <w:r>
              <w:rPr>
                <w:rFonts w:ascii="Arial" w:hAnsi="Arial" w:cs="Arial"/>
                <w:sz w:val="22"/>
              </w:rPr>
              <w:t>Revised name of manual</w:t>
            </w:r>
          </w:p>
          <w:p w:rsidR="00F50C0A" w:rsidRDefault="00220245" w:rsidP="00220245">
            <w:pPr>
              <w:pStyle w:val="Header"/>
              <w:numPr>
                <w:ilvl w:val="0"/>
                <w:numId w:val="35"/>
              </w:numPr>
              <w:tabs>
                <w:tab w:val="left" w:pos="720"/>
              </w:tabs>
              <w:rPr>
                <w:rFonts w:ascii="Arial" w:hAnsi="Arial" w:cs="Arial"/>
                <w:sz w:val="22"/>
              </w:rPr>
            </w:pPr>
            <w:r w:rsidRPr="00220245">
              <w:rPr>
                <w:rFonts w:ascii="Arial" w:hAnsi="Arial" w:cs="Arial"/>
                <w:sz w:val="22"/>
              </w:rPr>
              <w:t xml:space="preserve">Updated </w:t>
            </w:r>
            <w:r>
              <w:rPr>
                <w:rFonts w:ascii="Arial" w:hAnsi="Arial" w:cs="Arial"/>
                <w:sz w:val="22"/>
              </w:rPr>
              <w:t>reference cited</w:t>
            </w:r>
            <w:r w:rsidR="001F582D">
              <w:rPr>
                <w:rFonts w:ascii="Arial" w:hAnsi="Arial" w:cs="Arial"/>
                <w:sz w:val="22"/>
              </w:rPr>
              <w:t xml:space="preserve"> from 9.1 to 9.2 in sections 2.4</w:t>
            </w:r>
            <w:r>
              <w:rPr>
                <w:rFonts w:ascii="Arial" w:hAnsi="Arial" w:cs="Arial"/>
                <w:sz w:val="22"/>
              </w:rPr>
              <w:t xml:space="preserve"> and 6.2.4</w:t>
            </w:r>
          </w:p>
          <w:p w:rsidR="00220245" w:rsidRDefault="00220245" w:rsidP="00220245">
            <w:pPr>
              <w:pStyle w:val="Header"/>
              <w:numPr>
                <w:ilvl w:val="0"/>
                <w:numId w:val="35"/>
              </w:numPr>
              <w:tabs>
                <w:tab w:val="left" w:pos="720"/>
              </w:tabs>
              <w:rPr>
                <w:rFonts w:ascii="Arial" w:hAnsi="Arial" w:cs="Arial"/>
                <w:sz w:val="22"/>
              </w:rPr>
            </w:pPr>
            <w:r>
              <w:rPr>
                <w:rFonts w:ascii="Arial" w:hAnsi="Arial" w:cs="Arial"/>
                <w:sz w:val="22"/>
              </w:rPr>
              <w:t xml:space="preserve">Changed title from Medical Chief to TS Medical Director in section 6.3.2 </w:t>
            </w:r>
          </w:p>
          <w:p w:rsidR="0076030D" w:rsidRDefault="0076030D" w:rsidP="00220245">
            <w:pPr>
              <w:pStyle w:val="Header"/>
              <w:numPr>
                <w:ilvl w:val="0"/>
                <w:numId w:val="35"/>
              </w:numPr>
              <w:tabs>
                <w:tab w:val="left" w:pos="720"/>
              </w:tabs>
              <w:rPr>
                <w:rFonts w:ascii="Arial" w:hAnsi="Arial" w:cs="Arial"/>
                <w:sz w:val="22"/>
              </w:rPr>
            </w:pPr>
            <w:r>
              <w:rPr>
                <w:rFonts w:ascii="Arial" w:hAnsi="Arial" w:cs="Arial"/>
                <w:sz w:val="22"/>
              </w:rPr>
              <w:t xml:space="preserve">Changed referral to section 7.3 </w:t>
            </w:r>
            <w:r w:rsidR="001F582D">
              <w:rPr>
                <w:rFonts w:ascii="Arial" w:hAnsi="Arial" w:cs="Arial"/>
                <w:sz w:val="22"/>
              </w:rPr>
              <w:t>to 7.1- Reporting in section 6.4</w:t>
            </w:r>
            <w:r>
              <w:rPr>
                <w:rFonts w:ascii="Arial" w:hAnsi="Arial" w:cs="Arial"/>
                <w:sz w:val="22"/>
              </w:rPr>
              <w:t>.2</w:t>
            </w:r>
          </w:p>
          <w:p w:rsidR="00275060" w:rsidRDefault="00275060" w:rsidP="00220245">
            <w:pPr>
              <w:pStyle w:val="Header"/>
              <w:numPr>
                <w:ilvl w:val="0"/>
                <w:numId w:val="35"/>
              </w:numPr>
              <w:tabs>
                <w:tab w:val="left" w:pos="720"/>
              </w:tabs>
              <w:rPr>
                <w:rFonts w:ascii="Arial" w:hAnsi="Arial" w:cs="Arial"/>
                <w:sz w:val="22"/>
              </w:rPr>
            </w:pPr>
            <w:r>
              <w:rPr>
                <w:rFonts w:ascii="Arial" w:hAnsi="Arial" w:cs="Arial"/>
                <w:sz w:val="22"/>
              </w:rPr>
              <w:t>Changed procedure number in 6.4.2 and 6.4.3 from RT.008 to RT.014</w:t>
            </w:r>
          </w:p>
          <w:p w:rsidR="0076030D" w:rsidRDefault="0076030D" w:rsidP="00220245">
            <w:pPr>
              <w:pStyle w:val="Header"/>
              <w:numPr>
                <w:ilvl w:val="0"/>
                <w:numId w:val="35"/>
              </w:numPr>
              <w:tabs>
                <w:tab w:val="left" w:pos="720"/>
              </w:tabs>
              <w:rPr>
                <w:rFonts w:ascii="Arial" w:hAnsi="Arial" w:cs="Arial"/>
                <w:sz w:val="22"/>
              </w:rPr>
            </w:pPr>
            <w:r>
              <w:rPr>
                <w:rFonts w:ascii="Arial" w:hAnsi="Arial" w:cs="Arial"/>
                <w:sz w:val="22"/>
              </w:rPr>
              <w:t>Renumbered section 8.0 and made slight grammatical changes</w:t>
            </w:r>
          </w:p>
          <w:p w:rsidR="0076030D" w:rsidRDefault="0076030D" w:rsidP="00220245">
            <w:pPr>
              <w:pStyle w:val="Header"/>
              <w:numPr>
                <w:ilvl w:val="0"/>
                <w:numId w:val="35"/>
              </w:numPr>
              <w:tabs>
                <w:tab w:val="left" w:pos="720"/>
              </w:tabs>
              <w:rPr>
                <w:rFonts w:ascii="Arial" w:hAnsi="Arial" w:cs="Arial"/>
                <w:sz w:val="22"/>
              </w:rPr>
            </w:pPr>
            <w:r>
              <w:rPr>
                <w:rFonts w:ascii="Arial" w:hAnsi="Arial" w:cs="Arial"/>
                <w:sz w:val="22"/>
              </w:rPr>
              <w:t>Updated section 8.4 based on updated reference</w:t>
            </w:r>
          </w:p>
          <w:p w:rsidR="0076030D" w:rsidRDefault="0076030D" w:rsidP="00220245">
            <w:pPr>
              <w:pStyle w:val="Header"/>
              <w:numPr>
                <w:ilvl w:val="0"/>
                <w:numId w:val="35"/>
              </w:numPr>
              <w:tabs>
                <w:tab w:val="left" w:pos="720"/>
              </w:tabs>
              <w:rPr>
                <w:rFonts w:ascii="Arial" w:hAnsi="Arial" w:cs="Arial"/>
                <w:sz w:val="22"/>
              </w:rPr>
            </w:pPr>
            <w:r>
              <w:rPr>
                <w:rFonts w:ascii="Arial" w:hAnsi="Arial" w:cs="Arial"/>
                <w:sz w:val="22"/>
              </w:rPr>
              <w:t>Inserted sections 8.5.3 and 8.6</w:t>
            </w:r>
          </w:p>
          <w:p w:rsidR="0076030D" w:rsidRPr="00220245" w:rsidRDefault="0076030D" w:rsidP="00220245">
            <w:pPr>
              <w:pStyle w:val="Header"/>
              <w:numPr>
                <w:ilvl w:val="0"/>
                <w:numId w:val="35"/>
              </w:numPr>
              <w:tabs>
                <w:tab w:val="left" w:pos="720"/>
              </w:tabs>
              <w:rPr>
                <w:rFonts w:ascii="Arial" w:hAnsi="Arial" w:cs="Arial"/>
                <w:sz w:val="22"/>
              </w:rPr>
            </w:pPr>
            <w:r>
              <w:rPr>
                <w:rFonts w:ascii="Arial" w:hAnsi="Arial" w:cs="Arial"/>
                <w:sz w:val="22"/>
              </w:rPr>
              <w:t>Updated list of references to include latest editions/versions</w:t>
            </w:r>
          </w:p>
        </w:tc>
      </w:tr>
    </w:tbl>
    <w:p w:rsidR="00F50C0A" w:rsidRDefault="00F50C0A" w:rsidP="00F50C0A">
      <w:pPr>
        <w:rPr>
          <w:rFonts w:ascii="Arial" w:hAnsi="Arial"/>
          <w:sz w:val="24"/>
        </w:rPr>
      </w:pPr>
    </w:p>
    <w:p w:rsidR="00F50C0A" w:rsidRDefault="00F50C0A" w:rsidP="00F50C0A">
      <w:pPr>
        <w:rPr>
          <w:rFonts w:ascii="Arial" w:hAnsi="Arial"/>
          <w:sz w:val="24"/>
        </w:rPr>
      </w:pPr>
    </w:p>
    <w:p w:rsidR="00F50C0A" w:rsidRDefault="00F50C0A" w:rsidP="00F50C0A">
      <w:pPr>
        <w:rPr>
          <w:rFonts w:ascii="Arial" w:hAnsi="Arial"/>
          <w:sz w:val="24"/>
        </w:rPr>
      </w:pPr>
    </w:p>
    <w:p w:rsidR="00F50C0A" w:rsidRDefault="00F50C0A">
      <w:pPr>
        <w:tabs>
          <w:tab w:val="left" w:pos="3051"/>
        </w:tabs>
        <w:rPr>
          <w:rFonts w:ascii="Arial" w:hAnsi="Arial"/>
          <w:sz w:val="24"/>
        </w:rPr>
      </w:pPr>
    </w:p>
    <w:sectPr w:rsidR="00F50C0A" w:rsidSect="000F5534">
      <w:headerReference w:type="default" r:id="rId8"/>
      <w:footerReference w:type="default" r:id="rId9"/>
      <w:headerReference w:type="first" r:id="rId10"/>
      <w:footerReference w:type="first" r:id="rId11"/>
      <w:pgSz w:w="12240" w:h="15840" w:code="1"/>
      <w:pgMar w:top="1166" w:right="1800" w:bottom="662"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312" w:rsidRDefault="00785312">
      <w:r>
        <w:separator/>
      </w:r>
    </w:p>
  </w:endnote>
  <w:endnote w:type="continuationSeparator" w:id="0">
    <w:p w:rsidR="00785312" w:rsidRDefault="00785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C75D7A">
      <w:trPr>
        <w:trHeight w:val="720"/>
      </w:trPr>
      <w:tc>
        <w:tcPr>
          <w:tcW w:w="1368" w:type="dxa"/>
        </w:tcPr>
        <w:p w:rsidR="00C75D7A" w:rsidRDefault="00C75D7A">
          <w:pPr>
            <w:pStyle w:val="Footer"/>
            <w:jc w:val="center"/>
            <w:rPr>
              <w:rFonts w:ascii="Verdana" w:hAnsi="Verdana"/>
              <w:sz w:val="8"/>
            </w:rPr>
          </w:pPr>
        </w:p>
        <w:p w:rsidR="00C75D7A" w:rsidRDefault="00B35031">
          <w:pPr>
            <w:pStyle w:val="Footer"/>
            <w:jc w:val="center"/>
            <w:rPr>
              <w:rFonts w:ascii="Verdana" w:hAnsi="Verdana"/>
              <w:sz w:val="8"/>
            </w:rPr>
          </w:pPr>
          <w:r>
            <w:rPr>
              <w:rFonts w:ascii="Verdana" w:hAnsi="Verdana"/>
              <w:noProof/>
              <w:sz w:val="8"/>
            </w:rPr>
            <w:drawing>
              <wp:inline distT="0" distB="0" distL="0" distR="0">
                <wp:extent cx="731520" cy="4591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BCoN Logo Map_EN.png"/>
                        <pic:cNvPicPr/>
                      </pic:nvPicPr>
                      <pic:blipFill>
                        <a:blip r:embed="rId1">
                          <a:extLst>
                            <a:ext uri="{28A0092B-C50C-407E-A947-70E740481C1C}">
                              <a14:useLocalDpi xmlns:a14="http://schemas.microsoft.com/office/drawing/2010/main" val="0"/>
                            </a:ext>
                          </a:extLst>
                        </a:blip>
                        <a:stretch>
                          <a:fillRect/>
                        </a:stretch>
                      </pic:blipFill>
                      <pic:spPr>
                        <a:xfrm>
                          <a:off x="0" y="0"/>
                          <a:ext cx="731520" cy="459105"/>
                        </a:xfrm>
                        <a:prstGeom prst="rect">
                          <a:avLst/>
                        </a:prstGeom>
                      </pic:spPr>
                    </pic:pic>
                  </a:graphicData>
                </a:graphic>
              </wp:inline>
            </w:drawing>
          </w:r>
        </w:p>
      </w:tc>
      <w:tc>
        <w:tcPr>
          <w:tcW w:w="5976" w:type="dxa"/>
        </w:tcPr>
        <w:p w:rsidR="00C75D7A" w:rsidRDefault="00C75D7A">
          <w:pPr>
            <w:pStyle w:val="Footer"/>
            <w:jc w:val="center"/>
            <w:rPr>
              <w:rFonts w:ascii="Arial" w:hAnsi="Arial"/>
              <w:sz w:val="18"/>
            </w:rPr>
          </w:pPr>
        </w:p>
        <w:p w:rsidR="00C75D7A" w:rsidRDefault="00C75D7A">
          <w:pPr>
            <w:pStyle w:val="Footer"/>
            <w:jc w:val="center"/>
            <w:rPr>
              <w:rFonts w:ascii="Arial" w:hAnsi="Arial"/>
              <w:sz w:val="18"/>
            </w:rPr>
          </w:pPr>
          <w:smartTag w:uri="urn:schemas-microsoft-com:office:smarttags" w:element="place">
            <w:smartTag w:uri="urn:schemas-microsoft-com:office:smarttags" w:element="State">
              <w:r>
                <w:rPr>
                  <w:rFonts w:ascii="Arial" w:hAnsi="Arial"/>
                  <w:sz w:val="18"/>
                </w:rPr>
                <w:t>Ontario</w:t>
              </w:r>
            </w:smartTag>
          </w:smartTag>
          <w:r>
            <w:rPr>
              <w:rFonts w:ascii="Arial" w:hAnsi="Arial"/>
              <w:sz w:val="18"/>
            </w:rPr>
            <w:t xml:space="preserve"> Regional Blood Coordinating Network</w:t>
          </w:r>
        </w:p>
        <w:p w:rsidR="00C75D7A" w:rsidRDefault="00275060">
          <w:pPr>
            <w:pStyle w:val="Footer"/>
            <w:jc w:val="center"/>
            <w:rPr>
              <w:rFonts w:ascii="Arial" w:hAnsi="Arial"/>
              <w:sz w:val="18"/>
            </w:rPr>
          </w:pPr>
          <w:r>
            <w:rPr>
              <w:rFonts w:ascii="Arial" w:hAnsi="Arial"/>
              <w:sz w:val="18"/>
            </w:rPr>
            <w:t xml:space="preserve">Transfusion Technical Resource </w:t>
          </w:r>
          <w:r w:rsidR="00C75D7A">
            <w:rPr>
              <w:rFonts w:ascii="Arial" w:hAnsi="Arial"/>
              <w:sz w:val="18"/>
            </w:rPr>
            <w:t>Manual</w:t>
          </w:r>
        </w:p>
        <w:p w:rsidR="00C75D7A" w:rsidRDefault="00C75D7A">
          <w:pPr>
            <w:pStyle w:val="Footer"/>
            <w:jc w:val="center"/>
            <w:rPr>
              <w:rFonts w:ascii="Arial" w:hAnsi="Arial"/>
              <w:sz w:val="18"/>
            </w:rPr>
          </w:pPr>
        </w:p>
      </w:tc>
      <w:tc>
        <w:tcPr>
          <w:tcW w:w="1494" w:type="dxa"/>
        </w:tcPr>
        <w:p w:rsidR="00C75D7A" w:rsidRDefault="00C75D7A">
          <w:pPr>
            <w:pStyle w:val="Footer"/>
            <w:jc w:val="right"/>
            <w:rPr>
              <w:rFonts w:ascii="Arial" w:hAnsi="Arial"/>
              <w:sz w:val="18"/>
            </w:rPr>
          </w:pPr>
        </w:p>
        <w:p w:rsidR="00C75D7A" w:rsidRDefault="00C75D7A">
          <w:pPr>
            <w:pStyle w:val="Footer"/>
            <w:jc w:val="right"/>
            <w:rPr>
              <w:rFonts w:ascii="Arial" w:hAnsi="Arial"/>
              <w:sz w:val="18"/>
            </w:rPr>
          </w:pPr>
          <w:r>
            <w:rPr>
              <w:rFonts w:ascii="Arial" w:hAnsi="Arial"/>
              <w:sz w:val="18"/>
            </w:rPr>
            <w:t>NRT.00</w:t>
          </w:r>
          <w:r w:rsidR="00002C3F">
            <w:rPr>
              <w:rFonts w:ascii="Arial" w:hAnsi="Arial"/>
              <w:sz w:val="18"/>
            </w:rPr>
            <w:t>5</w:t>
          </w:r>
          <w:r>
            <w:rPr>
              <w:rFonts w:ascii="Arial" w:hAnsi="Arial"/>
              <w:sz w:val="18"/>
            </w:rPr>
            <w:br/>
          </w:r>
        </w:p>
        <w:p w:rsidR="00C75D7A" w:rsidRDefault="00C75D7A">
          <w:pPr>
            <w:pStyle w:val="Footer"/>
            <w:jc w:val="right"/>
            <w:rPr>
              <w:rFonts w:ascii="Arial" w:hAnsi="Arial"/>
              <w:sz w:val="18"/>
            </w:rPr>
          </w:pPr>
          <w:r>
            <w:rPr>
              <w:rFonts w:ascii="Arial" w:hAnsi="Arial"/>
              <w:sz w:val="18"/>
            </w:rPr>
            <w:t xml:space="preserve">Page </w:t>
          </w:r>
          <w:r w:rsidR="007F4D47">
            <w:rPr>
              <w:rFonts w:ascii="Arial" w:hAnsi="Arial"/>
              <w:sz w:val="18"/>
            </w:rPr>
            <w:fldChar w:fldCharType="begin"/>
          </w:r>
          <w:r>
            <w:rPr>
              <w:rFonts w:ascii="Arial" w:hAnsi="Arial"/>
              <w:sz w:val="18"/>
            </w:rPr>
            <w:instrText xml:space="preserve"> PAGE </w:instrText>
          </w:r>
          <w:r w:rsidR="007F4D47">
            <w:rPr>
              <w:rFonts w:ascii="Arial" w:hAnsi="Arial"/>
              <w:sz w:val="18"/>
            </w:rPr>
            <w:fldChar w:fldCharType="separate"/>
          </w:r>
          <w:r w:rsidR="005277B9">
            <w:rPr>
              <w:rFonts w:ascii="Arial" w:hAnsi="Arial"/>
              <w:noProof/>
              <w:sz w:val="18"/>
            </w:rPr>
            <w:t>6</w:t>
          </w:r>
          <w:r w:rsidR="007F4D47">
            <w:rPr>
              <w:rFonts w:ascii="Arial" w:hAnsi="Arial"/>
              <w:sz w:val="18"/>
            </w:rPr>
            <w:fldChar w:fldCharType="end"/>
          </w:r>
          <w:r>
            <w:rPr>
              <w:rFonts w:ascii="Arial" w:hAnsi="Arial"/>
              <w:sz w:val="18"/>
            </w:rPr>
            <w:t xml:space="preserve"> of </w:t>
          </w:r>
          <w:r w:rsidR="007F4D47">
            <w:rPr>
              <w:rFonts w:ascii="Arial" w:hAnsi="Arial"/>
              <w:sz w:val="18"/>
            </w:rPr>
            <w:fldChar w:fldCharType="begin"/>
          </w:r>
          <w:r>
            <w:rPr>
              <w:rFonts w:ascii="Arial" w:hAnsi="Arial"/>
              <w:sz w:val="18"/>
            </w:rPr>
            <w:instrText xml:space="preserve"> NUMPAGES </w:instrText>
          </w:r>
          <w:r w:rsidR="007F4D47">
            <w:rPr>
              <w:rFonts w:ascii="Arial" w:hAnsi="Arial"/>
              <w:sz w:val="18"/>
            </w:rPr>
            <w:fldChar w:fldCharType="separate"/>
          </w:r>
          <w:r w:rsidR="005277B9">
            <w:rPr>
              <w:rFonts w:ascii="Arial" w:hAnsi="Arial"/>
              <w:noProof/>
              <w:sz w:val="18"/>
            </w:rPr>
            <w:t>6</w:t>
          </w:r>
          <w:r w:rsidR="007F4D47">
            <w:rPr>
              <w:rFonts w:ascii="Arial" w:hAnsi="Arial"/>
              <w:sz w:val="18"/>
            </w:rPr>
            <w:fldChar w:fldCharType="end"/>
          </w:r>
        </w:p>
      </w:tc>
    </w:tr>
  </w:tbl>
  <w:p w:rsidR="00C75D7A" w:rsidRDefault="00C75D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C75D7A">
      <w:trPr>
        <w:trHeight w:val="720"/>
      </w:trPr>
      <w:tc>
        <w:tcPr>
          <w:tcW w:w="1368" w:type="dxa"/>
        </w:tcPr>
        <w:p w:rsidR="00C75D7A" w:rsidRDefault="00C75D7A">
          <w:pPr>
            <w:pStyle w:val="Footer"/>
            <w:jc w:val="center"/>
            <w:rPr>
              <w:rFonts w:ascii="Verdana" w:hAnsi="Verdana"/>
              <w:sz w:val="8"/>
            </w:rPr>
          </w:pPr>
        </w:p>
        <w:p w:rsidR="00C75D7A" w:rsidRDefault="00B35031">
          <w:pPr>
            <w:pStyle w:val="Footer"/>
            <w:jc w:val="center"/>
            <w:rPr>
              <w:rFonts w:ascii="Verdana" w:hAnsi="Verdana"/>
              <w:sz w:val="8"/>
            </w:rPr>
          </w:pPr>
          <w:r>
            <w:rPr>
              <w:rFonts w:ascii="Verdana" w:hAnsi="Verdana"/>
              <w:noProof/>
              <w:sz w:val="8"/>
            </w:rPr>
            <w:drawing>
              <wp:inline distT="0" distB="0" distL="0" distR="0">
                <wp:extent cx="731520" cy="4591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BCoN Logo Map_EN.png"/>
                        <pic:cNvPicPr/>
                      </pic:nvPicPr>
                      <pic:blipFill>
                        <a:blip r:embed="rId1">
                          <a:extLst>
                            <a:ext uri="{28A0092B-C50C-407E-A947-70E740481C1C}">
                              <a14:useLocalDpi xmlns:a14="http://schemas.microsoft.com/office/drawing/2010/main" val="0"/>
                            </a:ext>
                          </a:extLst>
                        </a:blip>
                        <a:stretch>
                          <a:fillRect/>
                        </a:stretch>
                      </pic:blipFill>
                      <pic:spPr>
                        <a:xfrm>
                          <a:off x="0" y="0"/>
                          <a:ext cx="731520" cy="459105"/>
                        </a:xfrm>
                        <a:prstGeom prst="rect">
                          <a:avLst/>
                        </a:prstGeom>
                      </pic:spPr>
                    </pic:pic>
                  </a:graphicData>
                </a:graphic>
              </wp:inline>
            </w:drawing>
          </w:r>
        </w:p>
      </w:tc>
      <w:tc>
        <w:tcPr>
          <w:tcW w:w="5976" w:type="dxa"/>
        </w:tcPr>
        <w:p w:rsidR="00C75D7A" w:rsidRDefault="00C75D7A">
          <w:pPr>
            <w:pStyle w:val="Footer"/>
            <w:jc w:val="center"/>
            <w:rPr>
              <w:rFonts w:ascii="Arial" w:hAnsi="Arial"/>
              <w:sz w:val="18"/>
            </w:rPr>
          </w:pPr>
        </w:p>
        <w:p w:rsidR="00C75D7A" w:rsidRDefault="00C75D7A">
          <w:pPr>
            <w:pStyle w:val="Footer"/>
            <w:jc w:val="center"/>
            <w:rPr>
              <w:rFonts w:ascii="Arial" w:hAnsi="Arial"/>
              <w:sz w:val="18"/>
            </w:rPr>
          </w:pPr>
          <w:smartTag w:uri="urn:schemas-microsoft-com:office:smarttags" w:element="place">
            <w:smartTag w:uri="urn:schemas-microsoft-com:office:smarttags" w:element="State">
              <w:r>
                <w:rPr>
                  <w:rFonts w:ascii="Arial" w:hAnsi="Arial"/>
                  <w:sz w:val="18"/>
                </w:rPr>
                <w:t>Ontario</w:t>
              </w:r>
            </w:smartTag>
          </w:smartTag>
          <w:r>
            <w:rPr>
              <w:rFonts w:ascii="Arial" w:hAnsi="Arial"/>
              <w:sz w:val="18"/>
            </w:rPr>
            <w:t xml:space="preserve"> Regional Blood Coordinating Network</w:t>
          </w:r>
        </w:p>
        <w:p w:rsidR="00C75D7A" w:rsidRDefault="00275060">
          <w:pPr>
            <w:pStyle w:val="Footer"/>
            <w:jc w:val="center"/>
            <w:rPr>
              <w:rFonts w:ascii="Arial" w:hAnsi="Arial"/>
              <w:sz w:val="18"/>
            </w:rPr>
          </w:pPr>
          <w:r>
            <w:rPr>
              <w:rFonts w:ascii="Arial" w:hAnsi="Arial"/>
              <w:sz w:val="18"/>
            </w:rPr>
            <w:t>Transfusion Technical Resource</w:t>
          </w:r>
          <w:r w:rsidR="00C75D7A">
            <w:rPr>
              <w:rFonts w:ascii="Arial" w:hAnsi="Arial"/>
              <w:sz w:val="18"/>
            </w:rPr>
            <w:t xml:space="preserve"> Manual</w:t>
          </w:r>
        </w:p>
        <w:p w:rsidR="00C75D7A" w:rsidRDefault="00C75D7A">
          <w:pPr>
            <w:pStyle w:val="Footer"/>
            <w:jc w:val="center"/>
            <w:rPr>
              <w:rFonts w:ascii="Arial" w:hAnsi="Arial"/>
              <w:sz w:val="18"/>
            </w:rPr>
          </w:pPr>
        </w:p>
      </w:tc>
      <w:tc>
        <w:tcPr>
          <w:tcW w:w="1494" w:type="dxa"/>
        </w:tcPr>
        <w:p w:rsidR="00C75D7A" w:rsidRDefault="00C75D7A">
          <w:pPr>
            <w:pStyle w:val="Footer"/>
            <w:jc w:val="right"/>
            <w:rPr>
              <w:rFonts w:ascii="Arial" w:hAnsi="Arial"/>
              <w:sz w:val="18"/>
            </w:rPr>
          </w:pPr>
        </w:p>
        <w:p w:rsidR="00C75D7A" w:rsidRDefault="00275060">
          <w:pPr>
            <w:pStyle w:val="Footer"/>
            <w:jc w:val="right"/>
            <w:rPr>
              <w:rFonts w:ascii="Arial" w:hAnsi="Arial"/>
              <w:sz w:val="18"/>
            </w:rPr>
          </w:pPr>
          <w:r>
            <w:rPr>
              <w:rFonts w:ascii="Arial" w:hAnsi="Arial"/>
              <w:sz w:val="18"/>
            </w:rPr>
            <w:t>NRT.005</w:t>
          </w:r>
          <w:r w:rsidR="00C75D7A">
            <w:rPr>
              <w:rFonts w:ascii="Arial" w:hAnsi="Arial"/>
              <w:sz w:val="18"/>
            </w:rPr>
            <w:br/>
          </w:r>
        </w:p>
        <w:p w:rsidR="00C75D7A" w:rsidRDefault="00C75D7A">
          <w:pPr>
            <w:pStyle w:val="Footer"/>
            <w:jc w:val="right"/>
            <w:rPr>
              <w:rFonts w:ascii="Arial" w:hAnsi="Arial"/>
              <w:sz w:val="18"/>
            </w:rPr>
          </w:pPr>
          <w:r>
            <w:rPr>
              <w:rFonts w:ascii="Arial" w:hAnsi="Arial"/>
              <w:sz w:val="18"/>
            </w:rPr>
            <w:t xml:space="preserve">Page </w:t>
          </w:r>
          <w:r w:rsidR="007F4D47">
            <w:rPr>
              <w:rFonts w:ascii="Arial" w:hAnsi="Arial"/>
              <w:sz w:val="18"/>
            </w:rPr>
            <w:fldChar w:fldCharType="begin"/>
          </w:r>
          <w:r>
            <w:rPr>
              <w:rFonts w:ascii="Arial" w:hAnsi="Arial"/>
              <w:sz w:val="18"/>
            </w:rPr>
            <w:instrText xml:space="preserve"> PAGE </w:instrText>
          </w:r>
          <w:r w:rsidR="007F4D47">
            <w:rPr>
              <w:rFonts w:ascii="Arial" w:hAnsi="Arial"/>
              <w:sz w:val="18"/>
            </w:rPr>
            <w:fldChar w:fldCharType="separate"/>
          </w:r>
          <w:r w:rsidR="005277B9">
            <w:rPr>
              <w:rFonts w:ascii="Arial" w:hAnsi="Arial"/>
              <w:noProof/>
              <w:sz w:val="18"/>
            </w:rPr>
            <w:t>1</w:t>
          </w:r>
          <w:r w:rsidR="007F4D47">
            <w:rPr>
              <w:rFonts w:ascii="Arial" w:hAnsi="Arial"/>
              <w:sz w:val="18"/>
            </w:rPr>
            <w:fldChar w:fldCharType="end"/>
          </w:r>
          <w:r>
            <w:rPr>
              <w:rFonts w:ascii="Arial" w:hAnsi="Arial"/>
              <w:sz w:val="18"/>
            </w:rPr>
            <w:t xml:space="preserve"> of </w:t>
          </w:r>
          <w:r w:rsidR="007F4D47">
            <w:rPr>
              <w:rFonts w:ascii="Arial" w:hAnsi="Arial"/>
              <w:sz w:val="18"/>
            </w:rPr>
            <w:fldChar w:fldCharType="begin"/>
          </w:r>
          <w:r>
            <w:rPr>
              <w:rFonts w:ascii="Arial" w:hAnsi="Arial"/>
              <w:sz w:val="18"/>
            </w:rPr>
            <w:instrText xml:space="preserve"> NUMPAGES </w:instrText>
          </w:r>
          <w:r w:rsidR="007F4D47">
            <w:rPr>
              <w:rFonts w:ascii="Arial" w:hAnsi="Arial"/>
              <w:sz w:val="18"/>
            </w:rPr>
            <w:fldChar w:fldCharType="separate"/>
          </w:r>
          <w:r w:rsidR="005277B9">
            <w:rPr>
              <w:rFonts w:ascii="Arial" w:hAnsi="Arial"/>
              <w:noProof/>
              <w:sz w:val="18"/>
            </w:rPr>
            <w:t>3</w:t>
          </w:r>
          <w:r w:rsidR="007F4D47">
            <w:rPr>
              <w:rFonts w:ascii="Arial" w:hAnsi="Arial"/>
              <w:sz w:val="18"/>
            </w:rPr>
            <w:fldChar w:fldCharType="end"/>
          </w:r>
        </w:p>
      </w:tc>
    </w:tr>
  </w:tbl>
  <w:p w:rsidR="00C75D7A" w:rsidRDefault="00C75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312" w:rsidRDefault="00785312">
      <w:r>
        <w:separator/>
      </w:r>
    </w:p>
  </w:footnote>
  <w:footnote w:type="continuationSeparator" w:id="0">
    <w:p w:rsidR="00785312" w:rsidRDefault="007853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D7A" w:rsidRDefault="00E60981">
    <w:pPr>
      <w:pStyle w:val="Header"/>
      <w:jc w:val="center"/>
      <w:rPr>
        <w:rFonts w:ascii="Arial" w:hAnsi="Arial"/>
        <w:b/>
        <w:sz w:val="28"/>
      </w:rPr>
    </w:pPr>
    <w:r>
      <w:rPr>
        <w:rFonts w:ascii="Arial" w:hAnsi="Arial"/>
        <w:b/>
        <w:sz w:val="28"/>
      </w:rPr>
      <w:t>Investigation of Positive Direct Antiglobulin Test (DAT)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D7A" w:rsidRDefault="00391FC1">
    <w:pPr>
      <w:pStyle w:val="Header"/>
      <w:tabs>
        <w:tab w:val="clear" w:pos="8640"/>
        <w:tab w:val="left" w:pos="5057"/>
      </w:tabs>
    </w:pPr>
    <w:r>
      <w:rPr>
        <w:noProof/>
      </w:rPr>
      <w:drawing>
        <wp:inline distT="0" distB="0" distL="0" distR="0" wp14:anchorId="7D239F84" wp14:editId="5AAB7F9E">
          <wp:extent cx="113538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BCON Logo.JPG"/>
                  <pic:cNvPicPr/>
                </pic:nvPicPr>
                <pic:blipFill>
                  <a:blip r:embed="rId1">
                    <a:extLst>
                      <a:ext uri="{28A0092B-C50C-407E-A947-70E740481C1C}">
                        <a14:useLocalDpi xmlns:a14="http://schemas.microsoft.com/office/drawing/2010/main" val="0"/>
                      </a:ext>
                    </a:extLst>
                  </a:blip>
                  <a:stretch>
                    <a:fillRect/>
                  </a:stretch>
                </pic:blipFill>
                <pic:spPr>
                  <a:xfrm>
                    <a:off x="0" y="0"/>
                    <a:ext cx="1135380" cy="457200"/>
                  </a:xfrm>
                  <a:prstGeom prst="rect">
                    <a:avLst/>
                  </a:prstGeom>
                </pic:spPr>
              </pic:pic>
            </a:graphicData>
          </a:graphic>
        </wp:inline>
      </w:drawing>
    </w:r>
  </w:p>
  <w:p w:rsidR="00C75D7A" w:rsidRPr="00B35031" w:rsidRDefault="00391FC1" w:rsidP="00391FC1">
    <w:pPr>
      <w:pStyle w:val="Header"/>
      <w:tabs>
        <w:tab w:val="clear" w:pos="8640"/>
        <w:tab w:val="left" w:pos="5057"/>
      </w:tabs>
      <w:jc w:val="center"/>
      <w:rPr>
        <w:rFonts w:ascii="Arial" w:hAnsi="Arial" w:cs="Arial"/>
        <w:b/>
        <w:bCs/>
        <w:sz w:val="22"/>
      </w:rPr>
    </w:pPr>
    <w:r w:rsidRPr="00B35031">
      <w:rPr>
        <w:rFonts w:ascii="Arial" w:hAnsi="Arial" w:cs="Arial"/>
        <w:b/>
        <w:bCs/>
        <w:sz w:val="22"/>
      </w:rPr>
      <w:t>Ontario Regional Blood Coordinating Network</w:t>
    </w:r>
  </w:p>
  <w:p w:rsidR="00391FC1" w:rsidRPr="00B35031" w:rsidRDefault="00391FC1" w:rsidP="00391FC1">
    <w:pPr>
      <w:pStyle w:val="Header"/>
      <w:tabs>
        <w:tab w:val="clear" w:pos="8640"/>
        <w:tab w:val="left" w:pos="5057"/>
      </w:tabs>
      <w:jc w:val="center"/>
      <w:rPr>
        <w:rFonts w:ascii="Arial" w:hAnsi="Arial" w:cs="Arial"/>
        <w:b/>
        <w:bCs/>
        <w:sz w:val="22"/>
      </w:rPr>
    </w:pPr>
    <w:r w:rsidRPr="00B35031">
      <w:rPr>
        <w:rFonts w:ascii="Arial" w:hAnsi="Arial" w:cs="Arial"/>
        <w:b/>
        <w:bCs/>
        <w:sz w:val="22"/>
      </w:rPr>
      <w:t>Transfusion Technical Resource Manual</w:t>
    </w:r>
  </w:p>
  <w:p w:rsidR="00391FC1" w:rsidRDefault="00391FC1">
    <w:pPr>
      <w:pStyle w:val="Header"/>
      <w:tabs>
        <w:tab w:val="clear" w:pos="8640"/>
        <w:tab w:val="left" w:pos="5057"/>
      </w:tabs>
      <w:rPr>
        <w:rFonts w:ascii="Arial" w:hAnsi="Arial" w:cs="Arial"/>
        <w:b/>
        <w:bCs/>
        <w:sz w:val="22"/>
      </w:rPr>
    </w:pPr>
  </w:p>
  <w:p w:rsidR="00C75D7A" w:rsidRDefault="00E60981">
    <w:pPr>
      <w:pStyle w:val="Header"/>
      <w:tabs>
        <w:tab w:val="left" w:pos="6617"/>
      </w:tabs>
      <w:jc w:val="center"/>
      <w:rPr>
        <w:rFonts w:ascii="Arial" w:hAnsi="Arial"/>
        <w:b/>
        <w:sz w:val="28"/>
      </w:rPr>
    </w:pPr>
    <w:r>
      <w:rPr>
        <w:rFonts w:ascii="Arial" w:hAnsi="Arial"/>
        <w:b/>
        <w:sz w:val="28"/>
      </w:rPr>
      <w:t>Investigation of Positive Direct Antiglobulin Test (DAT)</w:t>
    </w:r>
  </w:p>
  <w:p w:rsidR="00C75D7A" w:rsidRDefault="00C75D7A">
    <w:pPr>
      <w:pStyle w:val="Header"/>
      <w:tabs>
        <w:tab w:val="left" w:pos="6617"/>
      </w:tabs>
      <w:jc w:val="center"/>
      <w:rPr>
        <w:rFonts w:ascii="Arial" w:hAnsi="Arial"/>
        <w:b/>
        <w:sz w:val="28"/>
      </w:rPr>
    </w:pPr>
  </w:p>
  <w:p w:rsidR="00C75D7A" w:rsidRDefault="00C75D7A">
    <w:pPr>
      <w:pStyle w:val="Header"/>
      <w:tabs>
        <w:tab w:val="left" w:pos="6617"/>
      </w:tabs>
      <w:jc w:val="center"/>
      <w:rPr>
        <w:rFonts w:ascii="Arial" w:hAnsi="Arial" w:cs="Arial"/>
        <w:b/>
        <w:bCs/>
      </w:rPr>
    </w:pPr>
    <w:r>
      <w:rPr>
        <w:rFonts w:ascii="Arial" w:hAnsi="Arial" w:cs="Arial"/>
        <w:b/>
        <w:bCs/>
      </w:rPr>
      <w:tab/>
    </w:r>
    <w:r w:rsidR="00A523AA">
      <w:rPr>
        <w:rFonts w:ascii="Arial" w:hAnsi="Arial" w:cs="Arial"/>
        <w:noProof/>
      </w:rPr>
      <mc:AlternateContent>
        <mc:Choice Requires="wps">
          <w:drawing>
            <wp:anchor distT="0" distB="0" distL="114300" distR="114300" simplePos="0" relativeHeight="251657216" behindDoc="0" locked="0" layoutInCell="1" allowOverlap="1" wp14:anchorId="7DB7ECE4" wp14:editId="1407DE6B">
              <wp:simplePos x="0" y="0"/>
              <wp:positionH relativeFrom="column">
                <wp:posOffset>-62865</wp:posOffset>
              </wp:positionH>
              <wp:positionV relativeFrom="paragraph">
                <wp:posOffset>20955</wp:posOffset>
              </wp:positionV>
              <wp:extent cx="5600700" cy="0"/>
              <wp:effectExtent l="13335" t="11430" r="5715" b="762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F2B08"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y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GVxZch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322"/>
      <w:gridCol w:w="4318"/>
    </w:tblGrid>
    <w:tr w:rsidR="00C75D7A">
      <w:tc>
        <w:tcPr>
          <w:tcW w:w="4428" w:type="dxa"/>
        </w:tcPr>
        <w:p w:rsidR="00C75D7A" w:rsidRDefault="00C75D7A" w:rsidP="000447C6">
          <w:pPr>
            <w:pStyle w:val="Header"/>
            <w:rPr>
              <w:rFonts w:ascii="Arial" w:hAnsi="Arial" w:cs="Arial"/>
            </w:rPr>
          </w:pPr>
          <w:r>
            <w:rPr>
              <w:rFonts w:ascii="Arial" w:hAnsi="Arial" w:cs="Arial"/>
            </w:rPr>
            <w:t xml:space="preserve">Approved By:  </w:t>
          </w:r>
        </w:p>
      </w:tc>
      <w:tc>
        <w:tcPr>
          <w:tcW w:w="4428" w:type="dxa"/>
        </w:tcPr>
        <w:p w:rsidR="00C75D7A" w:rsidRDefault="00C75D7A" w:rsidP="00414E71">
          <w:pPr>
            <w:pStyle w:val="Header"/>
            <w:rPr>
              <w:rFonts w:ascii="Arial" w:hAnsi="Arial" w:cs="Arial"/>
            </w:rPr>
          </w:pPr>
          <w:r>
            <w:rPr>
              <w:rFonts w:ascii="Arial" w:hAnsi="Arial" w:cs="Arial"/>
            </w:rPr>
            <w:t xml:space="preserve">Document No: </w:t>
          </w:r>
          <w:r w:rsidR="00E60981">
            <w:rPr>
              <w:rFonts w:ascii="Arial" w:hAnsi="Arial" w:cs="Arial"/>
            </w:rPr>
            <w:t>NRT.005</w:t>
          </w:r>
        </w:p>
      </w:tc>
    </w:tr>
    <w:tr w:rsidR="00C75D7A">
      <w:tc>
        <w:tcPr>
          <w:tcW w:w="4428" w:type="dxa"/>
        </w:tcPr>
        <w:p w:rsidR="00C75D7A" w:rsidRDefault="00C75D7A">
          <w:pPr>
            <w:pStyle w:val="Header"/>
            <w:rPr>
              <w:rFonts w:ascii="Arial" w:hAnsi="Arial" w:cs="Arial"/>
            </w:rPr>
          </w:pPr>
          <w:r>
            <w:rPr>
              <w:rFonts w:ascii="Arial" w:hAnsi="Arial" w:cs="Arial"/>
            </w:rPr>
            <w:t>Date Issued:  2004/04/05</w:t>
          </w:r>
        </w:p>
      </w:tc>
      <w:tc>
        <w:tcPr>
          <w:tcW w:w="4428" w:type="dxa"/>
        </w:tcPr>
        <w:p w:rsidR="00C75D7A" w:rsidRDefault="00C75D7A">
          <w:pPr>
            <w:pStyle w:val="Header"/>
            <w:rPr>
              <w:rFonts w:ascii="Arial" w:hAnsi="Arial" w:cs="Arial"/>
            </w:rPr>
          </w:pPr>
          <w:r>
            <w:rPr>
              <w:rFonts w:ascii="Arial" w:hAnsi="Arial" w:cs="Arial"/>
            </w:rPr>
            <w:t>Category:  Non-Routine Testing</w:t>
          </w:r>
        </w:p>
      </w:tc>
    </w:tr>
    <w:tr w:rsidR="00C75D7A">
      <w:tc>
        <w:tcPr>
          <w:tcW w:w="4428" w:type="dxa"/>
        </w:tcPr>
        <w:p w:rsidR="00C75D7A" w:rsidRDefault="00C75D7A" w:rsidP="00616B60">
          <w:pPr>
            <w:pStyle w:val="Header"/>
            <w:rPr>
              <w:rFonts w:ascii="Arial" w:hAnsi="Arial" w:cs="Arial"/>
            </w:rPr>
          </w:pPr>
          <w:r>
            <w:rPr>
              <w:rFonts w:ascii="Arial" w:hAnsi="Arial" w:cs="Arial"/>
            </w:rPr>
            <w:t xml:space="preserve">Date Revised: </w:t>
          </w:r>
          <w:r w:rsidR="00616B60">
            <w:rPr>
              <w:rFonts w:ascii="Arial" w:hAnsi="Arial" w:cs="Arial"/>
            </w:rPr>
            <w:t>2009/09/01; 2014/03/01</w:t>
          </w:r>
        </w:p>
      </w:tc>
      <w:tc>
        <w:tcPr>
          <w:tcW w:w="4428" w:type="dxa"/>
        </w:tcPr>
        <w:p w:rsidR="00C75D7A" w:rsidRDefault="00C75D7A" w:rsidP="00414E71">
          <w:pPr>
            <w:pStyle w:val="Header"/>
            <w:rPr>
              <w:rFonts w:ascii="Arial" w:hAnsi="Arial" w:cs="Arial"/>
            </w:rPr>
          </w:pPr>
          <w:r>
            <w:rPr>
              <w:rFonts w:ascii="Arial" w:hAnsi="Arial" w:cs="Arial"/>
            </w:rPr>
            <w:t xml:space="preserve">Page </w:t>
          </w:r>
          <w:r w:rsidR="007F4D47">
            <w:rPr>
              <w:rFonts w:ascii="Arial" w:hAnsi="Arial" w:cs="Arial"/>
            </w:rPr>
            <w:fldChar w:fldCharType="begin"/>
          </w:r>
          <w:r>
            <w:rPr>
              <w:rFonts w:ascii="Arial" w:hAnsi="Arial" w:cs="Arial"/>
            </w:rPr>
            <w:instrText xml:space="preserve"> PAGE </w:instrText>
          </w:r>
          <w:r w:rsidR="007F4D47">
            <w:rPr>
              <w:rFonts w:ascii="Arial" w:hAnsi="Arial" w:cs="Arial"/>
            </w:rPr>
            <w:fldChar w:fldCharType="separate"/>
          </w:r>
          <w:r w:rsidR="005277B9">
            <w:rPr>
              <w:rFonts w:ascii="Arial" w:hAnsi="Arial" w:cs="Arial"/>
              <w:noProof/>
            </w:rPr>
            <w:t>1</w:t>
          </w:r>
          <w:r w:rsidR="007F4D47">
            <w:rPr>
              <w:rFonts w:ascii="Arial" w:hAnsi="Arial" w:cs="Arial"/>
            </w:rPr>
            <w:fldChar w:fldCharType="end"/>
          </w:r>
          <w:r>
            <w:rPr>
              <w:rFonts w:ascii="Arial" w:hAnsi="Arial" w:cs="Arial"/>
            </w:rPr>
            <w:t xml:space="preserve"> of </w:t>
          </w:r>
          <w:r w:rsidR="00A523AA">
            <w:rPr>
              <w:rFonts w:ascii="Arial" w:hAnsi="Arial" w:cs="Arial"/>
            </w:rPr>
            <w:t>8</w:t>
          </w:r>
        </w:p>
      </w:tc>
    </w:tr>
  </w:tbl>
  <w:p w:rsidR="00C75D7A" w:rsidRDefault="00A523AA">
    <w:pPr>
      <w:pStyle w:val="Heade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0CEC5E74" wp14:editId="62F048BA">
              <wp:simplePos x="0" y="0"/>
              <wp:positionH relativeFrom="column">
                <wp:posOffset>-62865</wp:posOffset>
              </wp:positionH>
              <wp:positionV relativeFrom="paragraph">
                <wp:posOffset>122555</wp:posOffset>
              </wp:positionV>
              <wp:extent cx="5600700" cy="0"/>
              <wp:effectExtent l="13335" t="8255" r="5715" b="1079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52B43"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YWN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h870xhUQUKmtDbXRk3o1z5p+d0jpqiVqzyPDt7OBtCxkJO9SwsYZwN/1XzSDGHLwOrbp&#10;1NguQEID0Cmqcb6pwU8eUTicztL0MQXR6OBLSDEkGuv8Z647FIwSS+Acgcnx2flAhBRDSLhH6Y2Q&#10;MootFepLvJhOpjHBaSlYcIYwZ/e7Slp0JGFc4herAs99mNUHxSJYywlbX21PhLzYcLlUAQ9KATpX&#10;6zIPPxbpYj1fz/NRPpmtR3la16NPmyofzTbZ47R+qKuqzn4GalletIIxrgK7YTaz/O+0v76Sy1Td&#10;pvPWhuQ9euwXkB3+kXTUMsh3GYSdZuetHTSGcYzB16cT5v1+D/b9A1/9AgAA//8DAFBLAwQUAAYA&#10;CAAAACEAHz2adNwAAAAIAQAADwAAAGRycy9kb3ducmV2LnhtbEyPwU7DMBBE70j8g7VIXKrWaSpB&#10;E+JUCMiNCwXEdRsvSUS8TmO3DXw9izjAcWdGs2+KzeR6daQxdJ4NLBcJKOLa244bAy/P1XwNKkRk&#10;i71nMvBJATbl+VmBufUnfqLjNjZKSjjkaKCNcci1DnVLDsPCD8TivfvRYZRzbLQd8STlrtdpklxp&#10;hx3LhxYHumup/tgenIFQvdK++prVs+Rt1XhK9/ePD2jM5cV0ewMq0hT/wvCDL+hQCtPOH9gG1RuY&#10;Z5kkRc9WoMRfX6dLULtfQZeF/j+g/AYAAP//AwBQSwECLQAUAAYACAAAACEAtoM4kv4AAADhAQAA&#10;EwAAAAAAAAAAAAAAAAAAAAAAW0NvbnRlbnRfVHlwZXNdLnhtbFBLAQItABQABgAIAAAAIQA4/SH/&#10;1gAAAJQBAAALAAAAAAAAAAAAAAAAAC8BAABfcmVscy8ucmVsc1BLAQItABQABgAIAAAAIQDSfYWN&#10;EgIAACgEAAAOAAAAAAAAAAAAAAAAAC4CAABkcnMvZTJvRG9jLnhtbFBLAQItABQABgAIAAAAIQAf&#10;PZp03AAAAAgBAAAPAAAAAAAAAAAAAAAAAGwEAABkcnMvZG93bnJldi54bWxQSwUGAAAAAAQABADz&#10;AAAAdQUAAAAA&#10;"/>
          </w:pict>
        </mc:Fallback>
      </mc:AlternateContent>
    </w:r>
    <w:r w:rsidR="00C75D7A">
      <w:rPr>
        <w:rFonts w:ascii="Arial" w:hAnsi="Arial" w:cs="Arial"/>
      </w:rPr>
      <w:tab/>
    </w:r>
  </w:p>
  <w:p w:rsidR="00C75D7A" w:rsidRDefault="00C75D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693"/>
    <w:multiLevelType w:val="hybridMultilevel"/>
    <w:tmpl w:val="D38640D8"/>
    <w:lvl w:ilvl="0" w:tplc="9FD66D6A">
      <w:numFmt w:val="decimal"/>
      <w:lvlText w:val="10.%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D16EC6"/>
    <w:multiLevelType w:val="multilevel"/>
    <w:tmpl w:val="ADF87322"/>
    <w:lvl w:ilvl="0">
      <w:start w:val="1"/>
      <w:numFmt w:val="decimal"/>
      <w:lvlText w:val="%1.0"/>
      <w:lvlJc w:val="left"/>
      <w:pPr>
        <w:tabs>
          <w:tab w:val="num" w:pos="720"/>
        </w:tabs>
        <w:ind w:left="720" w:hanging="720"/>
      </w:pPr>
      <w:rPr>
        <w:rFonts w:hint="default"/>
        <w:b/>
        <w:sz w:val="28"/>
      </w:rPr>
    </w:lvl>
    <w:lvl w:ilvl="1">
      <w:start w:val="1"/>
      <w:numFmt w:val="decimal"/>
      <w:lvlText w:val="%1.%2"/>
      <w:lvlJc w:val="left"/>
      <w:pPr>
        <w:tabs>
          <w:tab w:val="num" w:pos="1004"/>
        </w:tabs>
        <w:ind w:left="1004" w:hanging="720"/>
      </w:pPr>
      <w:rPr>
        <w:rFonts w:hint="default"/>
        <w:b w:val="0"/>
        <w:sz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A713F01"/>
    <w:multiLevelType w:val="hybridMultilevel"/>
    <w:tmpl w:val="9BBE606A"/>
    <w:lvl w:ilvl="0" w:tplc="33047290">
      <w:start w:val="1"/>
      <w:numFmt w:val="decimal"/>
      <w:lvlText w:val="6.1.%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263024F"/>
    <w:multiLevelType w:val="hybridMultilevel"/>
    <w:tmpl w:val="5F92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C4277"/>
    <w:multiLevelType w:val="hybridMultilevel"/>
    <w:tmpl w:val="86F04FA6"/>
    <w:lvl w:ilvl="0" w:tplc="B43AC7D0">
      <w:start w:val="1"/>
      <w:numFmt w:val="decimal"/>
      <w:lvlText w:val="6.4.%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5522485"/>
    <w:multiLevelType w:val="hybridMultilevel"/>
    <w:tmpl w:val="09DCAFD8"/>
    <w:lvl w:ilvl="0" w:tplc="3A62176C">
      <w:start w:val="1"/>
      <w:numFmt w:val="decimal"/>
      <w:lvlText w:val="6.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3452B"/>
    <w:multiLevelType w:val="hybridMultilevel"/>
    <w:tmpl w:val="A9E2C73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EC1770B"/>
    <w:multiLevelType w:val="hybridMultilevel"/>
    <w:tmpl w:val="5A32A5AE"/>
    <w:lvl w:ilvl="0" w:tplc="0B344EA4">
      <w:start w:val="1"/>
      <w:numFmt w:val="decimal"/>
      <w:lvlText w:val="6.5.%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8" w15:restartNumberingAfterBreak="0">
    <w:nsid w:val="220557AE"/>
    <w:multiLevelType w:val="singleLevel"/>
    <w:tmpl w:val="3AC04112"/>
    <w:lvl w:ilvl="0">
      <w:start w:val="1"/>
      <w:numFmt w:val="bullet"/>
      <w:lvlText w:val=""/>
      <w:lvlJc w:val="left"/>
      <w:pPr>
        <w:tabs>
          <w:tab w:val="num" w:pos="2061"/>
        </w:tabs>
        <w:ind w:left="2061" w:hanging="360"/>
      </w:pPr>
      <w:rPr>
        <w:rFonts w:ascii="Symbol" w:hAnsi="Symbol" w:hint="default"/>
      </w:rPr>
    </w:lvl>
  </w:abstractNum>
  <w:abstractNum w:abstractNumId="9" w15:restartNumberingAfterBreak="0">
    <w:nsid w:val="27661D0A"/>
    <w:multiLevelType w:val="hybridMultilevel"/>
    <w:tmpl w:val="7EB211B4"/>
    <w:lvl w:ilvl="0" w:tplc="10090001">
      <w:start w:val="1"/>
      <w:numFmt w:val="bullet"/>
      <w:lvlText w:val=""/>
      <w:lvlJc w:val="left"/>
      <w:pPr>
        <w:ind w:left="1778" w:hanging="360"/>
      </w:pPr>
      <w:rPr>
        <w:rFonts w:ascii="Symbol" w:hAnsi="Symbol"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10" w15:restartNumberingAfterBreak="0">
    <w:nsid w:val="38CC382A"/>
    <w:multiLevelType w:val="hybridMultilevel"/>
    <w:tmpl w:val="36C20A12"/>
    <w:lvl w:ilvl="0" w:tplc="C630C5B4">
      <w:start w:val="1"/>
      <w:numFmt w:val="decimal"/>
      <w:lvlText w:val="6.5.%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1" w15:restartNumberingAfterBreak="0">
    <w:nsid w:val="3E335BC0"/>
    <w:multiLevelType w:val="hybridMultilevel"/>
    <w:tmpl w:val="1B502A12"/>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2" w15:restartNumberingAfterBreak="0">
    <w:nsid w:val="3E7957B1"/>
    <w:multiLevelType w:val="hybridMultilevel"/>
    <w:tmpl w:val="C9567E1A"/>
    <w:lvl w:ilvl="0" w:tplc="A8986A88">
      <w:start w:val="1"/>
      <w:numFmt w:val="decimal"/>
      <w:lvlText w:val="6.2.%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995428"/>
    <w:multiLevelType w:val="hybridMultilevel"/>
    <w:tmpl w:val="59B4D3A6"/>
    <w:lvl w:ilvl="0" w:tplc="62C0C0A6">
      <w:start w:val="1"/>
      <w:numFmt w:val="decimal"/>
      <w:lvlText w:val="6.6.%1."/>
      <w:lvlJc w:val="left"/>
      <w:pPr>
        <w:ind w:left="13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4D1014"/>
    <w:multiLevelType w:val="hybridMultilevel"/>
    <w:tmpl w:val="3296FBAC"/>
    <w:lvl w:ilvl="0" w:tplc="8840A040">
      <w:start w:val="1"/>
      <w:numFmt w:val="decimal"/>
      <w:lvlText w:val="6.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3B3DE5"/>
    <w:multiLevelType w:val="multilevel"/>
    <w:tmpl w:val="907EABC6"/>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6D52A00"/>
    <w:multiLevelType w:val="hybridMultilevel"/>
    <w:tmpl w:val="37CCEDF8"/>
    <w:lvl w:ilvl="0" w:tplc="DDC6A64C">
      <w:start w:val="1"/>
      <w:numFmt w:val="decimal"/>
      <w:lvlText w:val="6.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6B1BA2"/>
    <w:multiLevelType w:val="hybridMultilevel"/>
    <w:tmpl w:val="7C126064"/>
    <w:lvl w:ilvl="0" w:tplc="A36286BA">
      <w:start w:val="1"/>
      <w:numFmt w:val="decimal"/>
      <w:lvlText w:val="6.3.%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480C32AF"/>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8936A21"/>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4DC42B8F"/>
    <w:multiLevelType w:val="multilevel"/>
    <w:tmpl w:val="0E784CFE"/>
    <w:lvl w:ilvl="0">
      <w:start w:val="1"/>
      <w:numFmt w:val="decimal"/>
      <w:lvlText w:val="10.%1"/>
      <w:lvlJc w:val="left"/>
      <w:pPr>
        <w:tabs>
          <w:tab w:val="num" w:pos="720"/>
        </w:tabs>
        <w:ind w:left="720" w:hanging="720"/>
      </w:pPr>
      <w:rPr>
        <w:rFonts w:hint="default"/>
      </w:rPr>
    </w:lvl>
    <w:lvl w:ilvl="1">
      <w:start w:val="1"/>
      <w:numFmt w:val="decimal"/>
      <w:lvlText w:val="2.%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54A75FFA"/>
    <w:multiLevelType w:val="multilevel"/>
    <w:tmpl w:val="EF1833AC"/>
    <w:lvl w:ilvl="0">
      <w:start w:val="1"/>
      <w:numFmt w:val="decimal"/>
      <w:lvlText w:val="%1.0"/>
      <w:lvlJc w:val="left"/>
      <w:pPr>
        <w:tabs>
          <w:tab w:val="num" w:pos="720"/>
        </w:tabs>
        <w:ind w:left="720" w:hanging="720"/>
      </w:pPr>
      <w:rPr>
        <w:rFonts w:hint="default"/>
      </w:rPr>
    </w:lvl>
    <w:lvl w:ilvl="1">
      <w:start w:val="1"/>
      <w:numFmt w:val="decimal"/>
      <w:lvlText w:val="9.%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5C9B6360"/>
    <w:multiLevelType w:val="hybridMultilevel"/>
    <w:tmpl w:val="54B65F7A"/>
    <w:lvl w:ilvl="0" w:tplc="16F6190E">
      <w:start w:val="1"/>
      <w:numFmt w:val="decimal"/>
      <w:lvlText w:val="6.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477904"/>
    <w:multiLevelType w:val="hybridMultilevel"/>
    <w:tmpl w:val="0D9C6C2C"/>
    <w:lvl w:ilvl="0" w:tplc="1D7C9106">
      <w:start w:val="1"/>
      <w:numFmt w:val="decimal"/>
      <w:lvlText w:val="7.%1"/>
      <w:lvlJc w:val="left"/>
      <w:pPr>
        <w:ind w:left="1288"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4" w15:restartNumberingAfterBreak="0">
    <w:nsid w:val="60B13135"/>
    <w:multiLevelType w:val="hybridMultilevel"/>
    <w:tmpl w:val="E60CD66C"/>
    <w:lvl w:ilvl="0" w:tplc="33047290">
      <w:start w:val="1"/>
      <w:numFmt w:val="decimal"/>
      <w:lvlText w:val="6.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FD7A7A"/>
    <w:multiLevelType w:val="hybridMultilevel"/>
    <w:tmpl w:val="D0642BFC"/>
    <w:lvl w:ilvl="0" w:tplc="A36286BA">
      <w:start w:val="1"/>
      <w:numFmt w:val="decimal"/>
      <w:lvlText w:val="6.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2F6753"/>
    <w:multiLevelType w:val="multilevel"/>
    <w:tmpl w:val="603E911E"/>
    <w:lvl w:ilvl="0">
      <w:start w:val="1"/>
      <w:numFmt w:val="decimal"/>
      <w:lvlText w:val="%1.0"/>
      <w:lvlJc w:val="left"/>
      <w:pPr>
        <w:tabs>
          <w:tab w:val="num" w:pos="720"/>
        </w:tabs>
        <w:ind w:left="720" w:hanging="720"/>
      </w:pPr>
      <w:rPr>
        <w:rFonts w:hint="default"/>
      </w:rPr>
    </w:lvl>
    <w:lvl w:ilvl="1">
      <w:start w:val="1"/>
      <w:numFmt w:val="decimal"/>
      <w:lvlText w:val="2.%2"/>
      <w:lvlJc w:val="left"/>
      <w:pPr>
        <w:tabs>
          <w:tab w:val="num" w:pos="1004"/>
        </w:tabs>
        <w:ind w:left="1004"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6535004F"/>
    <w:multiLevelType w:val="hybridMultilevel"/>
    <w:tmpl w:val="CB0044B0"/>
    <w:lvl w:ilvl="0" w:tplc="18C246C0">
      <w:start w:val="1"/>
      <w:numFmt w:val="decimal"/>
      <w:lvlText w:val="6.7.%1."/>
      <w:lvlJc w:val="left"/>
      <w:pPr>
        <w:ind w:left="13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F95DC9"/>
    <w:multiLevelType w:val="hybridMultilevel"/>
    <w:tmpl w:val="7C2651EA"/>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29" w15:restartNumberingAfterBreak="0">
    <w:nsid w:val="67126BA5"/>
    <w:multiLevelType w:val="hybridMultilevel"/>
    <w:tmpl w:val="E4402C1A"/>
    <w:lvl w:ilvl="0" w:tplc="10090001">
      <w:start w:val="1"/>
      <w:numFmt w:val="bullet"/>
      <w:lvlText w:val=""/>
      <w:lvlJc w:val="left"/>
      <w:pPr>
        <w:ind w:left="1636" w:hanging="360"/>
      </w:pPr>
      <w:rPr>
        <w:rFonts w:ascii="Symbol" w:hAnsi="Symbol" w:hint="default"/>
      </w:rPr>
    </w:lvl>
    <w:lvl w:ilvl="1" w:tplc="10090003" w:tentative="1">
      <w:start w:val="1"/>
      <w:numFmt w:val="bullet"/>
      <w:lvlText w:val="o"/>
      <w:lvlJc w:val="left"/>
      <w:pPr>
        <w:ind w:left="2356" w:hanging="360"/>
      </w:pPr>
      <w:rPr>
        <w:rFonts w:ascii="Courier New" w:hAnsi="Courier New" w:cs="Courier New" w:hint="default"/>
      </w:rPr>
    </w:lvl>
    <w:lvl w:ilvl="2" w:tplc="10090005" w:tentative="1">
      <w:start w:val="1"/>
      <w:numFmt w:val="bullet"/>
      <w:lvlText w:val=""/>
      <w:lvlJc w:val="left"/>
      <w:pPr>
        <w:ind w:left="3076" w:hanging="360"/>
      </w:pPr>
      <w:rPr>
        <w:rFonts w:ascii="Wingdings" w:hAnsi="Wingdings" w:hint="default"/>
      </w:rPr>
    </w:lvl>
    <w:lvl w:ilvl="3" w:tplc="10090001" w:tentative="1">
      <w:start w:val="1"/>
      <w:numFmt w:val="bullet"/>
      <w:lvlText w:val=""/>
      <w:lvlJc w:val="left"/>
      <w:pPr>
        <w:ind w:left="3796" w:hanging="360"/>
      </w:pPr>
      <w:rPr>
        <w:rFonts w:ascii="Symbol" w:hAnsi="Symbol" w:hint="default"/>
      </w:rPr>
    </w:lvl>
    <w:lvl w:ilvl="4" w:tplc="10090003" w:tentative="1">
      <w:start w:val="1"/>
      <w:numFmt w:val="bullet"/>
      <w:lvlText w:val="o"/>
      <w:lvlJc w:val="left"/>
      <w:pPr>
        <w:ind w:left="4516" w:hanging="360"/>
      </w:pPr>
      <w:rPr>
        <w:rFonts w:ascii="Courier New" w:hAnsi="Courier New" w:cs="Courier New" w:hint="default"/>
      </w:rPr>
    </w:lvl>
    <w:lvl w:ilvl="5" w:tplc="10090005" w:tentative="1">
      <w:start w:val="1"/>
      <w:numFmt w:val="bullet"/>
      <w:lvlText w:val=""/>
      <w:lvlJc w:val="left"/>
      <w:pPr>
        <w:ind w:left="5236" w:hanging="360"/>
      </w:pPr>
      <w:rPr>
        <w:rFonts w:ascii="Wingdings" w:hAnsi="Wingdings" w:hint="default"/>
      </w:rPr>
    </w:lvl>
    <w:lvl w:ilvl="6" w:tplc="10090001" w:tentative="1">
      <w:start w:val="1"/>
      <w:numFmt w:val="bullet"/>
      <w:lvlText w:val=""/>
      <w:lvlJc w:val="left"/>
      <w:pPr>
        <w:ind w:left="5956" w:hanging="360"/>
      </w:pPr>
      <w:rPr>
        <w:rFonts w:ascii="Symbol" w:hAnsi="Symbol" w:hint="default"/>
      </w:rPr>
    </w:lvl>
    <w:lvl w:ilvl="7" w:tplc="10090003" w:tentative="1">
      <w:start w:val="1"/>
      <w:numFmt w:val="bullet"/>
      <w:lvlText w:val="o"/>
      <w:lvlJc w:val="left"/>
      <w:pPr>
        <w:ind w:left="6676" w:hanging="360"/>
      </w:pPr>
      <w:rPr>
        <w:rFonts w:ascii="Courier New" w:hAnsi="Courier New" w:cs="Courier New" w:hint="default"/>
      </w:rPr>
    </w:lvl>
    <w:lvl w:ilvl="8" w:tplc="10090005" w:tentative="1">
      <w:start w:val="1"/>
      <w:numFmt w:val="bullet"/>
      <w:lvlText w:val=""/>
      <w:lvlJc w:val="left"/>
      <w:pPr>
        <w:ind w:left="7396" w:hanging="360"/>
      </w:pPr>
      <w:rPr>
        <w:rFonts w:ascii="Wingdings" w:hAnsi="Wingdings" w:hint="default"/>
      </w:rPr>
    </w:lvl>
  </w:abstractNum>
  <w:abstractNum w:abstractNumId="30" w15:restartNumberingAfterBreak="0">
    <w:nsid w:val="6AB56C7E"/>
    <w:multiLevelType w:val="singleLevel"/>
    <w:tmpl w:val="3AC0411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CEC6902"/>
    <w:multiLevelType w:val="hybridMultilevel"/>
    <w:tmpl w:val="1A801E56"/>
    <w:lvl w:ilvl="0" w:tplc="B5EE22AE">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3450DA"/>
    <w:multiLevelType w:val="hybridMultilevel"/>
    <w:tmpl w:val="E430BAE0"/>
    <w:lvl w:ilvl="0" w:tplc="A8507592">
      <w:start w:val="1"/>
      <w:numFmt w:val="decimal"/>
      <w:lvlText w:val="10.%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CE5C40"/>
    <w:multiLevelType w:val="singleLevel"/>
    <w:tmpl w:val="6B3A1032"/>
    <w:lvl w:ilvl="0">
      <w:start w:val="1"/>
      <w:numFmt w:val="bullet"/>
      <w:lvlText w:val=""/>
      <w:lvlJc w:val="left"/>
      <w:pPr>
        <w:tabs>
          <w:tab w:val="num" w:pos="360"/>
        </w:tabs>
        <w:ind w:left="360" w:hanging="360"/>
      </w:pPr>
      <w:rPr>
        <w:rFonts w:ascii="Symbol" w:hAnsi="Symbol" w:hint="default"/>
        <w:b w:val="0"/>
        <w:i w:val="0"/>
        <w:sz w:val="24"/>
      </w:rPr>
    </w:lvl>
  </w:abstractNum>
  <w:abstractNum w:abstractNumId="34" w15:restartNumberingAfterBreak="0">
    <w:nsid w:val="7A39425F"/>
    <w:multiLevelType w:val="hybridMultilevel"/>
    <w:tmpl w:val="F6F0DE4C"/>
    <w:lvl w:ilvl="0" w:tplc="76D06BB2">
      <w:start w:val="1"/>
      <w:numFmt w:val="decimal"/>
      <w:lvlText w:val="6.1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33"/>
  </w:num>
  <w:num w:numId="3">
    <w:abstractNumId w:val="31"/>
  </w:num>
  <w:num w:numId="4">
    <w:abstractNumId w:val="2"/>
  </w:num>
  <w:num w:numId="5">
    <w:abstractNumId w:val="24"/>
  </w:num>
  <w:num w:numId="6">
    <w:abstractNumId w:val="12"/>
  </w:num>
  <w:num w:numId="7">
    <w:abstractNumId w:val="25"/>
  </w:num>
  <w:num w:numId="8">
    <w:abstractNumId w:val="17"/>
  </w:num>
  <w:num w:numId="9">
    <w:abstractNumId w:val="4"/>
  </w:num>
  <w:num w:numId="10">
    <w:abstractNumId w:val="10"/>
  </w:num>
  <w:num w:numId="11">
    <w:abstractNumId w:val="7"/>
  </w:num>
  <w:num w:numId="12">
    <w:abstractNumId w:val="13"/>
  </w:num>
  <w:num w:numId="13">
    <w:abstractNumId w:val="26"/>
  </w:num>
  <w:num w:numId="14">
    <w:abstractNumId w:val="28"/>
  </w:num>
  <w:num w:numId="15">
    <w:abstractNumId w:val="18"/>
  </w:num>
  <w:num w:numId="16">
    <w:abstractNumId w:val="22"/>
  </w:num>
  <w:num w:numId="17">
    <w:abstractNumId w:val="3"/>
  </w:num>
  <w:num w:numId="18">
    <w:abstractNumId w:val="19"/>
  </w:num>
  <w:num w:numId="19">
    <w:abstractNumId w:val="14"/>
  </w:num>
  <w:num w:numId="20">
    <w:abstractNumId w:val="8"/>
  </w:num>
  <w:num w:numId="21">
    <w:abstractNumId w:val="16"/>
  </w:num>
  <w:num w:numId="22">
    <w:abstractNumId w:val="11"/>
  </w:num>
  <w:num w:numId="23">
    <w:abstractNumId w:val="30"/>
  </w:num>
  <w:num w:numId="24">
    <w:abstractNumId w:val="27"/>
  </w:num>
  <w:num w:numId="25">
    <w:abstractNumId w:val="34"/>
  </w:num>
  <w:num w:numId="26">
    <w:abstractNumId w:val="5"/>
  </w:num>
  <w:num w:numId="27">
    <w:abstractNumId w:val="23"/>
  </w:num>
  <w:num w:numId="28">
    <w:abstractNumId w:val="21"/>
  </w:num>
  <w:num w:numId="29">
    <w:abstractNumId w:val="20"/>
  </w:num>
  <w:num w:numId="30">
    <w:abstractNumId w:val="32"/>
  </w:num>
  <w:num w:numId="31">
    <w:abstractNumId w:val="0"/>
  </w:num>
  <w:num w:numId="32">
    <w:abstractNumId w:val="15"/>
  </w:num>
  <w:num w:numId="33">
    <w:abstractNumId w:val="9"/>
  </w:num>
  <w:num w:numId="34">
    <w:abstractNumId w:val="29"/>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041"/>
    <w:rsid w:val="00002263"/>
    <w:rsid w:val="00002C3F"/>
    <w:rsid w:val="000447C6"/>
    <w:rsid w:val="0007578E"/>
    <w:rsid w:val="000B5C94"/>
    <w:rsid w:val="000C5397"/>
    <w:rsid w:val="000F5534"/>
    <w:rsid w:val="001A53E6"/>
    <w:rsid w:val="001E0BEE"/>
    <w:rsid w:val="001F582D"/>
    <w:rsid w:val="00220245"/>
    <w:rsid w:val="00275060"/>
    <w:rsid w:val="002A6041"/>
    <w:rsid w:val="003174BD"/>
    <w:rsid w:val="003251B3"/>
    <w:rsid w:val="00391FC1"/>
    <w:rsid w:val="003C541D"/>
    <w:rsid w:val="00414E71"/>
    <w:rsid w:val="005277B9"/>
    <w:rsid w:val="00560D39"/>
    <w:rsid w:val="0060716B"/>
    <w:rsid w:val="00616B60"/>
    <w:rsid w:val="0071050B"/>
    <w:rsid w:val="00735D50"/>
    <w:rsid w:val="00753B75"/>
    <w:rsid w:val="0076030D"/>
    <w:rsid w:val="00785312"/>
    <w:rsid w:val="007C1AD8"/>
    <w:rsid w:val="007F4D47"/>
    <w:rsid w:val="00867D86"/>
    <w:rsid w:val="00880D34"/>
    <w:rsid w:val="008A5CDA"/>
    <w:rsid w:val="00A4497E"/>
    <w:rsid w:val="00A523AA"/>
    <w:rsid w:val="00B35031"/>
    <w:rsid w:val="00B453D5"/>
    <w:rsid w:val="00BA09E7"/>
    <w:rsid w:val="00BF42FB"/>
    <w:rsid w:val="00C036BF"/>
    <w:rsid w:val="00C75D7A"/>
    <w:rsid w:val="00D6246D"/>
    <w:rsid w:val="00E60981"/>
    <w:rsid w:val="00EF5911"/>
    <w:rsid w:val="00F26A68"/>
    <w:rsid w:val="00F50C0A"/>
    <w:rsid w:val="00F95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284D7902-BE89-4AAC-90F9-0D1936067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1FC1"/>
  </w:style>
  <w:style w:type="paragraph" w:styleId="Heading1">
    <w:name w:val="heading 1"/>
    <w:basedOn w:val="Normal"/>
    <w:next w:val="Normal"/>
    <w:qFormat/>
    <w:rsid w:val="000F5534"/>
    <w:pPr>
      <w:keepNext/>
      <w:outlineLvl w:val="0"/>
    </w:pPr>
    <w:rPr>
      <w:rFonts w:ascii="Arial" w:hAnsi="Arial"/>
      <w:b/>
      <w:sz w:val="24"/>
    </w:rPr>
  </w:style>
  <w:style w:type="paragraph" w:styleId="Heading2">
    <w:name w:val="heading 2"/>
    <w:basedOn w:val="Normal"/>
    <w:next w:val="Normal"/>
    <w:qFormat/>
    <w:rsid w:val="000F5534"/>
    <w:pPr>
      <w:keepNext/>
      <w:outlineLvl w:val="1"/>
    </w:pPr>
    <w:rPr>
      <w:rFonts w:ascii="Arial" w:hAnsi="Arial"/>
      <w:sz w:val="24"/>
    </w:rPr>
  </w:style>
  <w:style w:type="paragraph" w:styleId="Heading3">
    <w:name w:val="heading 3"/>
    <w:basedOn w:val="Normal"/>
    <w:next w:val="Normal"/>
    <w:qFormat/>
    <w:rsid w:val="000F5534"/>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5534"/>
    <w:pPr>
      <w:tabs>
        <w:tab w:val="center" w:pos="4320"/>
        <w:tab w:val="right" w:pos="8640"/>
      </w:tabs>
    </w:pPr>
  </w:style>
  <w:style w:type="paragraph" w:styleId="Footer">
    <w:name w:val="footer"/>
    <w:basedOn w:val="Normal"/>
    <w:rsid w:val="000F5534"/>
    <w:pPr>
      <w:tabs>
        <w:tab w:val="center" w:pos="4320"/>
        <w:tab w:val="right" w:pos="8640"/>
      </w:tabs>
    </w:pPr>
  </w:style>
  <w:style w:type="paragraph" w:styleId="BodyText">
    <w:name w:val="Body Text"/>
    <w:basedOn w:val="Normal"/>
    <w:rsid w:val="000F5534"/>
    <w:rPr>
      <w:rFonts w:ascii="Arial" w:hAnsi="Arial"/>
      <w:b/>
      <w:sz w:val="24"/>
    </w:rPr>
  </w:style>
  <w:style w:type="character" w:styleId="PageNumber">
    <w:name w:val="page number"/>
    <w:basedOn w:val="DefaultParagraphFont"/>
    <w:rsid w:val="000F5534"/>
  </w:style>
  <w:style w:type="paragraph" w:styleId="BalloonText">
    <w:name w:val="Balloon Text"/>
    <w:basedOn w:val="Normal"/>
    <w:link w:val="BalloonTextChar"/>
    <w:rsid w:val="000447C6"/>
    <w:rPr>
      <w:rFonts w:ascii="Tahoma" w:hAnsi="Tahoma" w:cs="Tahoma"/>
      <w:sz w:val="16"/>
      <w:szCs w:val="16"/>
    </w:rPr>
  </w:style>
  <w:style w:type="character" w:customStyle="1" w:styleId="BalloonTextChar">
    <w:name w:val="Balloon Text Char"/>
    <w:basedOn w:val="DefaultParagraphFont"/>
    <w:link w:val="BalloonText"/>
    <w:rsid w:val="000447C6"/>
    <w:rPr>
      <w:rFonts w:ascii="Tahoma" w:hAnsi="Tahoma" w:cs="Tahoma"/>
      <w:sz w:val="16"/>
      <w:szCs w:val="16"/>
    </w:rPr>
  </w:style>
  <w:style w:type="table" w:styleId="TableGrid">
    <w:name w:val="Table Grid"/>
    <w:basedOn w:val="TableNormal"/>
    <w:rsid w:val="00044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E60981"/>
    <w:pPr>
      <w:ind w:left="720"/>
      <w:contextualSpacing/>
    </w:pPr>
  </w:style>
  <w:style w:type="paragraph" w:styleId="BodyTextIndent">
    <w:name w:val="Body Text Indent"/>
    <w:basedOn w:val="Normal"/>
    <w:link w:val="BodyTextIndentChar"/>
    <w:rsid w:val="00E60981"/>
    <w:pPr>
      <w:spacing w:after="120"/>
      <w:ind w:left="283"/>
    </w:pPr>
  </w:style>
  <w:style w:type="character" w:customStyle="1" w:styleId="BodyTextIndentChar">
    <w:name w:val="Body Text Indent Char"/>
    <w:basedOn w:val="DefaultParagraphFont"/>
    <w:link w:val="BodyTextIndent"/>
    <w:rsid w:val="00E60981"/>
  </w:style>
  <w:style w:type="character" w:customStyle="1" w:styleId="HeaderChar">
    <w:name w:val="Header Char"/>
    <w:link w:val="Header"/>
    <w:rsid w:val="00B453D5"/>
  </w:style>
  <w:style w:type="character" w:styleId="CommentReference">
    <w:name w:val="annotation reference"/>
    <w:basedOn w:val="DefaultParagraphFont"/>
    <w:rsid w:val="00220245"/>
    <w:rPr>
      <w:sz w:val="16"/>
      <w:szCs w:val="16"/>
    </w:rPr>
  </w:style>
  <w:style w:type="paragraph" w:styleId="CommentText">
    <w:name w:val="annotation text"/>
    <w:basedOn w:val="Normal"/>
    <w:link w:val="CommentTextChar"/>
    <w:rsid w:val="00220245"/>
  </w:style>
  <w:style w:type="character" w:customStyle="1" w:styleId="CommentTextChar">
    <w:name w:val="Comment Text Char"/>
    <w:basedOn w:val="DefaultParagraphFont"/>
    <w:link w:val="CommentText"/>
    <w:rsid w:val="00220245"/>
  </w:style>
  <w:style w:type="paragraph" w:styleId="CommentSubject">
    <w:name w:val="annotation subject"/>
    <w:basedOn w:val="CommentText"/>
    <w:next w:val="CommentText"/>
    <w:link w:val="CommentSubjectChar"/>
    <w:rsid w:val="00220245"/>
    <w:rPr>
      <w:b/>
      <w:bCs/>
    </w:rPr>
  </w:style>
  <w:style w:type="character" w:customStyle="1" w:styleId="CommentSubjectChar">
    <w:name w:val="Comment Subject Char"/>
    <w:basedOn w:val="CommentTextChar"/>
    <w:link w:val="CommentSubject"/>
    <w:rsid w:val="002202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723565-396A-437C-91CD-55795EA5D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NRT.001 Prewarm Technique</vt:lpstr>
    </vt:vector>
  </TitlesOfParts>
  <Company>The Ottawa Hospital</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NRT.001 Prewarm Technique</dc:title>
  <dc:creator>Transfusion Ontario Program Office</dc:creator>
  <cp:lastModifiedBy>Nesrallah, Heather</cp:lastModifiedBy>
  <cp:revision>2</cp:revision>
  <cp:lastPrinted>2002-05-31T15:29:00Z</cp:lastPrinted>
  <dcterms:created xsi:type="dcterms:W3CDTF">2020-08-11T12:23:00Z</dcterms:created>
  <dcterms:modified xsi:type="dcterms:W3CDTF">2020-08-11T12:23:00Z</dcterms:modified>
</cp:coreProperties>
</file>