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8003"/>
      </w:tblGrid>
      <w:tr w:rsidR="00B333AD" w:rsidRPr="00C344BD">
        <w:trPr>
          <w:cantSplit/>
        </w:trPr>
        <w:tc>
          <w:tcPr>
            <w:tcW w:w="8838" w:type="dxa"/>
            <w:gridSpan w:val="2"/>
          </w:tcPr>
          <w:p w:rsidR="00B333AD" w:rsidRPr="00C344BD" w:rsidRDefault="00B333AD" w:rsidP="00C344BD">
            <w:pPr>
              <w:pStyle w:val="Heading1"/>
            </w:pPr>
            <w:bookmarkStart w:id="0" w:name="_GoBack"/>
            <w:bookmarkEnd w:id="0"/>
            <w:r w:rsidRPr="00C344BD">
              <w:t>Principe</w:t>
            </w:r>
          </w:p>
        </w:tc>
      </w:tr>
      <w:tr w:rsidR="00B333AD" w:rsidRPr="00C344BD">
        <w:trPr>
          <w:cantSplit/>
        </w:trPr>
        <w:tc>
          <w:tcPr>
            <w:tcW w:w="835" w:type="dxa"/>
          </w:tcPr>
          <w:p w:rsidR="00B333AD" w:rsidRPr="00411BBC" w:rsidRDefault="00B333AD">
            <w:pPr>
              <w:rPr>
                <w:rFonts w:ascii="Arial" w:hAnsi="Arial"/>
                <w:color w:val="FF0000"/>
                <w:lang w:val="fr-CA"/>
              </w:rPr>
            </w:pPr>
          </w:p>
        </w:tc>
        <w:tc>
          <w:tcPr>
            <w:tcW w:w="8003" w:type="dxa"/>
          </w:tcPr>
          <w:p w:rsidR="00411BBC" w:rsidRPr="00411BBC" w:rsidRDefault="002A5E0D">
            <w:pPr>
              <w:rPr>
                <w:rFonts w:ascii="Arial" w:hAnsi="Arial"/>
                <w:lang w:val="fr-CA"/>
              </w:rPr>
            </w:pPr>
            <w:r w:rsidRPr="00411BBC">
              <w:rPr>
                <w:rFonts w:ascii="Arial" w:hAnsi="Arial"/>
                <w:lang w:val="fr-CA"/>
              </w:rPr>
              <w:t xml:space="preserve">Pour fournir une procédure uniforme de suivi des composants </w:t>
            </w:r>
            <w:r w:rsidR="00243772">
              <w:rPr>
                <w:rFonts w:ascii="Arial" w:hAnsi="Arial"/>
                <w:lang w:val="fr-CA"/>
              </w:rPr>
              <w:t xml:space="preserve">et produits </w:t>
            </w:r>
            <w:r w:rsidRPr="00411BBC">
              <w:rPr>
                <w:rFonts w:ascii="Arial" w:hAnsi="Arial"/>
                <w:lang w:val="fr-CA"/>
              </w:rPr>
              <w:t xml:space="preserve">sanguins </w:t>
            </w:r>
            <w:r w:rsidR="00950A90">
              <w:rPr>
                <w:rFonts w:ascii="Arial" w:hAnsi="Arial"/>
                <w:lang w:val="fr-CA"/>
              </w:rPr>
              <w:t>qu</w:t>
            </w:r>
            <w:r w:rsidRPr="00411BBC">
              <w:rPr>
                <w:rFonts w:ascii="Arial" w:hAnsi="Arial"/>
                <w:lang w:val="fr-CA"/>
              </w:rPr>
              <w:t>i accompagnent un patient qui pourrait avoir besoin d’une transfusion pendant son trajet entre deux établissements.</w:t>
            </w:r>
          </w:p>
          <w:p w:rsidR="00B333AD" w:rsidRDefault="002A5E0D">
            <w:pPr>
              <w:rPr>
                <w:rFonts w:ascii="Arial" w:hAnsi="Arial"/>
                <w:lang w:val="fr-CA"/>
              </w:rPr>
            </w:pPr>
            <w:r w:rsidRPr="00411BBC">
              <w:rPr>
                <w:rFonts w:ascii="Arial" w:hAnsi="Arial"/>
                <w:lang w:val="fr-CA"/>
              </w:rPr>
              <w:t xml:space="preserve"> </w:t>
            </w:r>
          </w:p>
          <w:p w:rsidR="00411BBC" w:rsidRDefault="00411BBC">
            <w:pPr>
              <w:rPr>
                <w:rFonts w:ascii="Arial" w:hAnsi="Arial"/>
                <w:lang w:val="fr-CA"/>
              </w:rPr>
            </w:pPr>
            <w:r w:rsidRPr="00043D7E">
              <w:rPr>
                <w:rFonts w:ascii="Arial" w:hAnsi="Arial"/>
                <w:lang w:val="fr-CA"/>
              </w:rPr>
              <w:t xml:space="preserve">Pour assurer </w:t>
            </w:r>
            <w:r>
              <w:rPr>
                <w:rFonts w:ascii="Arial" w:hAnsi="Arial"/>
                <w:lang w:val="fr-CA"/>
              </w:rPr>
              <w:t>le maintien d’</w:t>
            </w:r>
            <w:r w:rsidRPr="00043D7E">
              <w:rPr>
                <w:rFonts w:ascii="Arial" w:hAnsi="Arial"/>
                <w:lang w:val="fr-CA"/>
              </w:rPr>
              <w:t>un éventail de température acceptable pendant le trajet</w:t>
            </w:r>
            <w:r>
              <w:rPr>
                <w:rFonts w:ascii="Arial" w:hAnsi="Arial"/>
                <w:lang w:val="fr-CA"/>
              </w:rPr>
              <w:t>.</w:t>
            </w:r>
          </w:p>
          <w:p w:rsidR="00411BBC" w:rsidRDefault="00411BBC">
            <w:pPr>
              <w:rPr>
                <w:rFonts w:ascii="Arial" w:hAnsi="Arial"/>
                <w:lang w:val="fr-CA"/>
              </w:rPr>
            </w:pPr>
          </w:p>
          <w:p w:rsidR="00411BBC" w:rsidRPr="00411BBC" w:rsidRDefault="00411BBC">
            <w:pPr>
              <w:rPr>
                <w:rFonts w:ascii="Arial" w:hAnsi="Arial"/>
                <w:color w:val="FF0000"/>
                <w:lang w:val="fr-CA"/>
              </w:rPr>
            </w:pPr>
            <w:r w:rsidRPr="00043D7E">
              <w:rPr>
                <w:rFonts w:ascii="Arial" w:hAnsi="Arial"/>
                <w:lang w:val="fr-CA"/>
              </w:rPr>
              <w:t>Pour fournir une procédure uniforme de suivi des composants sanguins et des produits d</w:t>
            </w:r>
            <w:r w:rsidR="00B74D5C">
              <w:rPr>
                <w:rFonts w:ascii="Arial" w:hAnsi="Arial"/>
                <w:lang w:val="fr-CA"/>
              </w:rPr>
              <w:t>e protéines plasmatiques</w:t>
            </w:r>
            <w:r w:rsidRPr="00043D7E">
              <w:rPr>
                <w:rFonts w:ascii="Arial" w:hAnsi="Arial"/>
                <w:lang w:val="fr-CA"/>
              </w:rPr>
              <w:t>.</w:t>
            </w:r>
          </w:p>
          <w:p w:rsidR="00411BBC" w:rsidRPr="00411BBC" w:rsidRDefault="00411BBC">
            <w:pPr>
              <w:rPr>
                <w:rFonts w:ascii="Arial" w:hAnsi="Arial"/>
                <w:color w:val="FF0000"/>
                <w:lang w:val="fr-CA"/>
              </w:rPr>
            </w:pPr>
          </w:p>
        </w:tc>
      </w:tr>
    </w:tbl>
    <w:p w:rsidR="00B333AD" w:rsidRPr="00C344BD" w:rsidRDefault="00B333AD">
      <w:pPr>
        <w:rPr>
          <w:rFonts w:ascii="Arial" w:hAnsi="Arial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803"/>
        <w:gridCol w:w="32"/>
        <w:gridCol w:w="835"/>
        <w:gridCol w:w="33"/>
        <w:gridCol w:w="90"/>
        <w:gridCol w:w="6210"/>
      </w:tblGrid>
      <w:tr w:rsidR="00B333AD" w:rsidRPr="00C344BD">
        <w:trPr>
          <w:cantSplit/>
        </w:trPr>
        <w:tc>
          <w:tcPr>
            <w:tcW w:w="8838" w:type="dxa"/>
            <w:gridSpan w:val="7"/>
          </w:tcPr>
          <w:p w:rsidR="00B333AD" w:rsidRPr="002A5E0D" w:rsidRDefault="006831F5" w:rsidP="00C344BD">
            <w:pPr>
              <w:pStyle w:val="Heading1"/>
            </w:pPr>
            <w:r w:rsidRPr="002A5E0D">
              <w:t>Portée et politiques connexes</w:t>
            </w:r>
          </w:p>
        </w:tc>
      </w:tr>
      <w:tr w:rsidR="00CF1E79" w:rsidRPr="00C344BD" w:rsidTr="00FB6EF9">
        <w:trPr>
          <w:cantSplit/>
        </w:trPr>
        <w:tc>
          <w:tcPr>
            <w:tcW w:w="835" w:type="dxa"/>
          </w:tcPr>
          <w:p w:rsidR="00CF1E79" w:rsidRPr="002A5E0D" w:rsidRDefault="00CF1E79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003" w:type="dxa"/>
            <w:gridSpan w:val="6"/>
          </w:tcPr>
          <w:p w:rsidR="00CF1E79" w:rsidRPr="002A5E0D" w:rsidRDefault="00CF1E79" w:rsidP="00CF1E7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2.1</w:t>
            </w:r>
            <w:r>
              <w:rPr>
                <w:rFonts w:ascii="Arial" w:hAnsi="Arial"/>
                <w:color w:val="000000"/>
                <w:lang w:val="fr-CA"/>
              </w:rPr>
              <w:tab/>
              <w:t>L</w:t>
            </w:r>
            <w:r w:rsidRPr="002A5E0D">
              <w:rPr>
                <w:rFonts w:ascii="Arial" w:hAnsi="Arial"/>
                <w:color w:val="000000"/>
                <w:lang w:val="fr-CA"/>
              </w:rPr>
              <w:t>e formulaire G</w:t>
            </w:r>
            <w:r>
              <w:rPr>
                <w:rFonts w:ascii="Arial" w:hAnsi="Arial"/>
                <w:color w:val="000000"/>
                <w:lang w:val="fr-CA"/>
              </w:rPr>
              <w:t>S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.007F1 </w:t>
            </w:r>
            <w:r>
              <w:rPr>
                <w:rFonts w:ascii="Arial" w:hAnsi="Arial"/>
                <w:color w:val="000000"/>
                <w:lang w:val="fr-CA"/>
              </w:rPr>
              <w:t>(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Formulaire d’échange </w:t>
            </w:r>
            <w:proofErr w:type="spellStart"/>
            <w:r w:rsidRPr="002A5E0D">
              <w:rPr>
                <w:rFonts w:ascii="Arial" w:hAnsi="Arial"/>
                <w:color w:val="000000"/>
                <w:lang w:val="fr-CA"/>
              </w:rPr>
              <w:t>interhospitalier</w:t>
            </w:r>
            <w:proofErr w:type="spellEnd"/>
            <w:r w:rsidRPr="002A5E0D">
              <w:rPr>
                <w:rFonts w:ascii="Arial" w:hAnsi="Arial"/>
                <w:color w:val="000000"/>
                <w:lang w:val="fr-CA"/>
              </w:rPr>
              <w:t xml:space="preserve"> – </w:t>
            </w:r>
            <w:r>
              <w:rPr>
                <w:rFonts w:ascii="Arial" w:hAnsi="Arial"/>
                <w:color w:val="000000"/>
                <w:lang w:val="fr-CA"/>
              </w:rPr>
              <w:tab/>
              <w:t>t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ransport de </w:t>
            </w:r>
            <w:r>
              <w:rPr>
                <w:rFonts w:ascii="Arial" w:hAnsi="Arial"/>
                <w:color w:val="000000"/>
                <w:lang w:val="fr-CA"/>
              </w:rPr>
              <w:t xml:space="preserve">composant ou 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produit sanguin avec le </w:t>
            </w:r>
            <w:r>
              <w:rPr>
                <w:rFonts w:ascii="Arial" w:hAnsi="Arial"/>
                <w:color w:val="000000"/>
                <w:lang w:val="fr-CA"/>
              </w:rPr>
              <w:t xml:space="preserve">patient) 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doit </w:t>
            </w:r>
            <w:r>
              <w:rPr>
                <w:rFonts w:ascii="Arial" w:hAnsi="Arial"/>
                <w:color w:val="000000"/>
                <w:lang w:val="fr-CA"/>
              </w:rPr>
              <w:tab/>
            </w:r>
            <w:r w:rsidR="00AC7666">
              <w:rPr>
                <w:rFonts w:ascii="Arial" w:hAnsi="Arial"/>
                <w:color w:val="000000"/>
                <w:lang w:val="fr-CA"/>
              </w:rPr>
              <w:t>a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ccompagner le sang, les composants sanguins </w:t>
            </w:r>
            <w:r>
              <w:rPr>
                <w:rFonts w:ascii="Arial" w:hAnsi="Arial"/>
                <w:color w:val="000000"/>
                <w:lang w:val="fr-CA"/>
              </w:rPr>
              <w:t>ou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 les </w:t>
            </w:r>
            <w:r w:rsidRPr="00411BBC">
              <w:rPr>
                <w:rFonts w:ascii="Arial" w:hAnsi="Arial"/>
                <w:lang w:val="fr-CA"/>
              </w:rPr>
              <w:t>pro</w:t>
            </w:r>
            <w:r>
              <w:rPr>
                <w:rFonts w:ascii="Arial" w:hAnsi="Arial"/>
                <w:lang w:val="fr-CA"/>
              </w:rPr>
              <w:t xml:space="preserve">téines </w:t>
            </w:r>
            <w:r>
              <w:rPr>
                <w:rFonts w:ascii="Arial" w:hAnsi="Arial"/>
                <w:lang w:val="fr-CA"/>
              </w:rPr>
              <w:tab/>
              <w:t xml:space="preserve">plasmatiques </w:t>
            </w:r>
            <w:r w:rsidRPr="002A5E0D">
              <w:rPr>
                <w:rFonts w:ascii="Arial" w:hAnsi="Arial"/>
                <w:color w:val="000000"/>
                <w:lang w:val="fr-CA"/>
              </w:rPr>
              <w:t>expédiés.</w:t>
            </w:r>
          </w:p>
        </w:tc>
      </w:tr>
      <w:tr w:rsidR="00B333AD" w:rsidRPr="00C344BD">
        <w:trPr>
          <w:cantSplit/>
          <w:trHeight w:val="2065"/>
        </w:trPr>
        <w:tc>
          <w:tcPr>
            <w:tcW w:w="835" w:type="dxa"/>
          </w:tcPr>
          <w:p w:rsidR="00B333AD" w:rsidRPr="00C344BD" w:rsidRDefault="00B333A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B333AD" w:rsidRPr="00C344BD" w:rsidRDefault="00B333A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2.2</w:t>
            </w:r>
          </w:p>
        </w:tc>
        <w:tc>
          <w:tcPr>
            <w:tcW w:w="7200" w:type="dxa"/>
            <w:gridSpan w:val="5"/>
          </w:tcPr>
          <w:p w:rsidR="00B74D5C" w:rsidRDefault="00F90032" w:rsidP="00B74D5C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Lorsque les caractéristiques démographiques du patient sont connues et que le patient est transporté hors de l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établissement avec des composants sanguins ou des </w:t>
            </w:r>
            <w:r w:rsidR="00950A90" w:rsidRPr="00411BBC">
              <w:rPr>
                <w:rFonts w:ascii="Arial" w:hAnsi="Arial"/>
                <w:lang w:val="fr-CA"/>
              </w:rPr>
              <w:t>pro</w:t>
            </w:r>
            <w:r w:rsidR="00950A90">
              <w:rPr>
                <w:rFonts w:ascii="Arial" w:hAnsi="Arial"/>
                <w:lang w:val="fr-CA"/>
              </w:rPr>
              <w:t>téines plasmatiques</w:t>
            </w:r>
            <w:r w:rsidRPr="00C344BD">
              <w:rPr>
                <w:rFonts w:ascii="Arial" w:hAnsi="Arial"/>
                <w:color w:val="000000"/>
                <w:lang w:val="fr-CA"/>
              </w:rPr>
              <w:t>, l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>établissement qui recevra le patient est responsable des notes et documents concernant la disposition finale du produit</w:t>
            </w:r>
            <w:r w:rsidR="00B74D5C">
              <w:rPr>
                <w:rFonts w:ascii="Arial" w:hAnsi="Arial"/>
                <w:color w:val="000000"/>
                <w:lang w:val="fr-CA"/>
              </w:rPr>
              <w:t xml:space="preserve"> reçu (c.-à-d. non transfusé pendant le trajet)</w:t>
            </w:r>
            <w:r w:rsidR="00B74D5C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="00950A90">
              <w:rPr>
                <w:rFonts w:ascii="Arial" w:hAnsi="Arial"/>
                <w:color w:val="000000"/>
                <w:lang w:val="fr-CA"/>
              </w:rPr>
              <w:t>. L’établissement expéditeur doit aviser le Service transfusionnel de l’établissement destinataire</w:t>
            </w:r>
            <w:r w:rsidR="00B74D5C">
              <w:rPr>
                <w:rFonts w:ascii="Arial" w:hAnsi="Arial"/>
                <w:color w:val="000000"/>
                <w:lang w:val="fr-CA"/>
              </w:rPr>
              <w:t xml:space="preserve"> des composants ou produits envoyés</w:t>
            </w:r>
            <w:r w:rsidRPr="00C344BD">
              <w:rPr>
                <w:rFonts w:ascii="Arial" w:hAnsi="Arial"/>
                <w:color w:val="000000"/>
                <w:lang w:val="fr-CA"/>
              </w:rPr>
              <w:t>.</w:t>
            </w:r>
          </w:p>
          <w:p w:rsidR="00B333AD" w:rsidRPr="00C344BD" w:rsidRDefault="00C344BD" w:rsidP="00B74D5C">
            <w:p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2.3</w:t>
            </w:r>
          </w:p>
        </w:tc>
        <w:tc>
          <w:tcPr>
            <w:tcW w:w="7200" w:type="dxa"/>
            <w:gridSpan w:val="5"/>
          </w:tcPr>
          <w:p w:rsidR="00C344BD" w:rsidRPr="00411BBC" w:rsidRDefault="00411BBC" w:rsidP="00B333AD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Si on ne sait pas où le patient sera dirigé, l’hôpital expéditeur </w:t>
            </w:r>
            <w:r w:rsidR="00B74D5C">
              <w:rPr>
                <w:rFonts w:ascii="Arial" w:hAnsi="Arial"/>
                <w:lang w:val="fr-CA"/>
              </w:rPr>
              <w:t xml:space="preserve">doit faire un suivi pour s’assurer que </w:t>
            </w:r>
            <w:r>
              <w:rPr>
                <w:rFonts w:ascii="Arial" w:hAnsi="Arial"/>
                <w:lang w:val="fr-CA"/>
              </w:rPr>
              <w:t xml:space="preserve">la disposition finale du </w:t>
            </w:r>
            <w:r w:rsidR="00B74D5C">
              <w:rPr>
                <w:rFonts w:ascii="Arial" w:hAnsi="Arial"/>
                <w:lang w:val="fr-CA"/>
              </w:rPr>
              <w:t>composant ou produit expédié a été documentée</w:t>
            </w:r>
            <w:r>
              <w:rPr>
                <w:rFonts w:ascii="Arial" w:hAnsi="Arial"/>
                <w:vertAlign w:val="superscript"/>
                <w:lang w:val="fr-CA"/>
              </w:rPr>
              <w:t>9.1</w:t>
            </w:r>
            <w:r>
              <w:rPr>
                <w:rFonts w:ascii="Arial" w:hAnsi="Arial"/>
                <w:lang w:val="fr-CA"/>
              </w:rPr>
              <w:t>.</w:t>
            </w:r>
          </w:p>
          <w:p w:rsidR="00C344BD" w:rsidRPr="00C344BD" w:rsidRDefault="00C344BD" w:rsidP="00B333AD">
            <w:pPr>
              <w:pStyle w:val="HTML"/>
              <w:rPr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2.4</w:t>
            </w:r>
          </w:p>
        </w:tc>
        <w:tc>
          <w:tcPr>
            <w:tcW w:w="7200" w:type="dxa"/>
            <w:gridSpan w:val="5"/>
          </w:tcPr>
          <w:p w:rsidR="00C344BD" w:rsidRPr="00C344BD" w:rsidRDefault="00C344BD" w:rsidP="00F90032">
            <w:p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 xml:space="preserve">Il faut inspecter visuellement tous les produits sanguins à la recherche d’anomalies évidentes </w:t>
            </w:r>
            <w:r w:rsidR="00950A90">
              <w:rPr>
                <w:rFonts w:ascii="Arial" w:hAnsi="Arial"/>
                <w:color w:val="000000"/>
                <w:lang w:val="fr-CA"/>
              </w:rPr>
              <w:t xml:space="preserve">immédiatement </w:t>
            </w:r>
            <w:r w:rsidRPr="00C344BD">
              <w:rPr>
                <w:rFonts w:ascii="Arial" w:hAnsi="Arial"/>
                <w:color w:val="000000"/>
                <w:lang w:val="fr-CA"/>
              </w:rPr>
              <w:t>avant leur expédition et documenter cette inspection visuelle</w:t>
            </w:r>
            <w:r w:rsidRPr="00C344BD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C344BD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2.5</w:t>
            </w:r>
          </w:p>
          <w:p w:rsidR="00B50E59" w:rsidRDefault="00B50E59" w:rsidP="00B50E59">
            <w:pPr>
              <w:rPr>
                <w:lang w:val="fr-CA"/>
              </w:rPr>
            </w:pPr>
          </w:p>
          <w:p w:rsidR="00B50E59" w:rsidRDefault="00B50E59" w:rsidP="00B50E59">
            <w:pPr>
              <w:rPr>
                <w:lang w:val="fr-CA"/>
              </w:rPr>
            </w:pPr>
          </w:p>
          <w:p w:rsidR="00B50E59" w:rsidRDefault="00B50E59" w:rsidP="00B50E59">
            <w:pPr>
              <w:rPr>
                <w:lang w:val="fr-CA"/>
              </w:rPr>
            </w:pPr>
          </w:p>
          <w:p w:rsidR="005C2B72" w:rsidRDefault="005C2B72" w:rsidP="00B50E59">
            <w:pPr>
              <w:rPr>
                <w:lang w:val="fr-CA"/>
              </w:rPr>
            </w:pPr>
          </w:p>
          <w:p w:rsidR="00B50E59" w:rsidRPr="00B50E59" w:rsidRDefault="00B50E59" w:rsidP="00B50E59">
            <w:pPr>
              <w:rPr>
                <w:rFonts w:ascii="Arial" w:hAnsi="Arial" w:cs="Arial"/>
                <w:lang w:val="fr-CA"/>
              </w:rPr>
            </w:pPr>
            <w:r w:rsidRPr="00B50E59">
              <w:rPr>
                <w:rFonts w:ascii="Arial" w:hAnsi="Arial" w:cs="Arial"/>
                <w:lang w:val="fr-CA"/>
              </w:rPr>
              <w:t>2.6</w:t>
            </w:r>
          </w:p>
          <w:p w:rsidR="00B50E59" w:rsidRPr="00B50E59" w:rsidRDefault="00B50E59" w:rsidP="00B50E59">
            <w:pPr>
              <w:rPr>
                <w:lang w:val="fr-CA"/>
              </w:rPr>
            </w:pPr>
          </w:p>
        </w:tc>
        <w:tc>
          <w:tcPr>
            <w:tcW w:w="7200" w:type="dxa"/>
            <w:gridSpan w:val="5"/>
          </w:tcPr>
          <w:p w:rsidR="005C2B72" w:rsidRPr="008330DF" w:rsidRDefault="005C2B72" w:rsidP="005C2B72">
            <w:pPr>
              <w:rPr>
                <w:rFonts w:ascii="Arial" w:hAnsi="Arial"/>
                <w:lang w:val="fr-CA"/>
              </w:rPr>
            </w:pPr>
            <w:r w:rsidRPr="008330DF">
              <w:rPr>
                <w:rFonts w:ascii="Arial" w:hAnsi="Arial"/>
                <w:lang w:val="fr-CA"/>
              </w:rPr>
              <w:t>Les contenants d’expédition de sang et de composants sanguins doivent être de construction solide pour résister aux dommages</w:t>
            </w:r>
            <w:r>
              <w:rPr>
                <w:rFonts w:ascii="Arial" w:hAnsi="Arial"/>
                <w:lang w:val="fr-CA"/>
              </w:rPr>
              <w:t xml:space="preserve"> et </w:t>
            </w:r>
            <w:r w:rsidRPr="008330DF">
              <w:rPr>
                <w:rFonts w:ascii="Arial" w:hAnsi="Arial"/>
                <w:lang w:val="fr-CA"/>
              </w:rPr>
              <w:t>comprendre un témoin d’effraction</w:t>
            </w:r>
            <w:r>
              <w:rPr>
                <w:rFonts w:ascii="Arial" w:hAnsi="Arial"/>
                <w:lang w:val="fr-CA"/>
              </w:rPr>
              <w:t xml:space="preserve"> visible; ils doivent être examinés à la recherche de tout dommage avant leur utilisation</w:t>
            </w:r>
            <w:r w:rsidRPr="008330DF">
              <w:rPr>
                <w:rFonts w:ascii="Arial" w:hAnsi="Arial"/>
                <w:vertAlign w:val="superscript"/>
                <w:lang w:val="fr-CA"/>
              </w:rPr>
              <w:t>9.1</w:t>
            </w:r>
            <w:r w:rsidRPr="008330DF">
              <w:rPr>
                <w:rFonts w:ascii="Arial" w:hAnsi="Arial"/>
                <w:lang w:val="fr-CA"/>
              </w:rPr>
              <w:t>.</w:t>
            </w:r>
          </w:p>
          <w:p w:rsidR="00B50E59" w:rsidRDefault="00B50E59">
            <w:pPr>
              <w:rPr>
                <w:rFonts w:ascii="Arial" w:hAnsi="Arial"/>
                <w:color w:val="000000"/>
                <w:lang w:val="fr-CA"/>
              </w:rPr>
            </w:pPr>
          </w:p>
          <w:p w:rsidR="00C344BD" w:rsidRDefault="00C344BD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 xml:space="preserve">Les composants </w:t>
            </w:r>
            <w:r w:rsidR="00CF1E79">
              <w:rPr>
                <w:rFonts w:ascii="Arial" w:hAnsi="Arial"/>
                <w:color w:val="000000"/>
                <w:lang w:val="fr-CA"/>
              </w:rPr>
              <w:t xml:space="preserve">et produits 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sanguins seront expédiés </w:t>
            </w:r>
            <w:r w:rsidR="00B50E59">
              <w:rPr>
                <w:rFonts w:ascii="Arial" w:hAnsi="Arial"/>
                <w:color w:val="000000"/>
                <w:lang w:val="fr-CA"/>
              </w:rPr>
              <w:t xml:space="preserve">dans un contenant validé 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de façon à maintenir </w:t>
            </w:r>
            <w:r w:rsidR="008508DA">
              <w:rPr>
                <w:rFonts w:ascii="Arial" w:hAnsi="Arial"/>
                <w:color w:val="000000"/>
                <w:lang w:val="fr-CA"/>
              </w:rPr>
              <w:t>la température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 d’entreposage </w:t>
            </w:r>
            <w:r w:rsidR="00570BAD">
              <w:rPr>
                <w:rFonts w:ascii="Arial" w:hAnsi="Arial"/>
                <w:color w:val="000000"/>
                <w:lang w:val="fr-CA"/>
              </w:rPr>
              <w:t>précisée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 par le fournisseur</w:t>
            </w:r>
            <w:r w:rsidRPr="00C344BD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C344BD">
              <w:rPr>
                <w:rFonts w:ascii="Arial" w:hAnsi="Arial"/>
                <w:color w:val="000000"/>
                <w:lang w:val="fr-CA"/>
              </w:rPr>
              <w:t>.</w:t>
            </w:r>
            <w:r w:rsidR="003E0DE0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B50E59">
              <w:rPr>
                <w:rFonts w:ascii="Arial" w:hAnsi="Arial"/>
                <w:color w:val="000000"/>
                <w:lang w:val="fr-CA"/>
              </w:rPr>
              <w:t>L</w:t>
            </w:r>
            <w:r w:rsidR="00CF1E79">
              <w:rPr>
                <w:rFonts w:ascii="Arial" w:hAnsi="Arial"/>
                <w:color w:val="000000"/>
                <w:lang w:val="fr-CA"/>
              </w:rPr>
              <w:t>’obligation de r</w:t>
            </w:r>
            <w:r w:rsidR="00B50E59">
              <w:rPr>
                <w:rFonts w:ascii="Arial" w:hAnsi="Arial"/>
                <w:color w:val="000000"/>
                <w:lang w:val="fr-CA"/>
              </w:rPr>
              <w:t>espect</w:t>
            </w:r>
            <w:r w:rsidR="00CF1E79">
              <w:rPr>
                <w:rFonts w:ascii="Arial" w:hAnsi="Arial"/>
                <w:color w:val="000000"/>
                <w:lang w:val="fr-CA"/>
              </w:rPr>
              <w:t>er</w:t>
            </w:r>
            <w:r w:rsidR="00B50E59">
              <w:rPr>
                <w:rFonts w:ascii="Arial" w:hAnsi="Arial"/>
                <w:color w:val="000000"/>
                <w:lang w:val="fr-CA"/>
              </w:rPr>
              <w:t xml:space="preserve"> ces </w:t>
            </w:r>
            <w:r w:rsidR="00CF1E79">
              <w:rPr>
                <w:rFonts w:ascii="Arial" w:hAnsi="Arial"/>
                <w:color w:val="000000"/>
                <w:lang w:val="fr-CA"/>
              </w:rPr>
              <w:t>exigences</w:t>
            </w:r>
            <w:r w:rsidR="00B50E59">
              <w:rPr>
                <w:rFonts w:ascii="Arial" w:hAnsi="Arial"/>
                <w:color w:val="000000"/>
                <w:lang w:val="fr-CA"/>
              </w:rPr>
              <w:t xml:space="preserve"> est reconnu</w:t>
            </w:r>
            <w:r w:rsidR="00CF1E79">
              <w:rPr>
                <w:rFonts w:ascii="Arial" w:hAnsi="Arial"/>
                <w:color w:val="000000"/>
                <w:lang w:val="fr-CA"/>
              </w:rPr>
              <w:t>e</w:t>
            </w:r>
            <w:r w:rsidR="00B50E59">
              <w:rPr>
                <w:rFonts w:ascii="Arial" w:hAnsi="Arial"/>
                <w:color w:val="000000"/>
                <w:lang w:val="fr-CA"/>
              </w:rPr>
              <w:t xml:space="preserve"> dans l’entente signée gardée en dossier par le </w:t>
            </w:r>
            <w:proofErr w:type="spellStart"/>
            <w:r w:rsidR="00B50E59">
              <w:rPr>
                <w:rFonts w:ascii="Arial" w:hAnsi="Arial"/>
                <w:color w:val="000000"/>
                <w:lang w:val="fr-CA"/>
              </w:rPr>
              <w:t>RRoCS</w:t>
            </w:r>
            <w:proofErr w:type="spellEnd"/>
            <w:r w:rsidR="00B50E59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C344BD" w:rsidRDefault="00C344BD" w:rsidP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C344BD" w:rsidRPr="00C344B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990" w:type="dxa"/>
            <w:gridSpan w:val="4"/>
          </w:tcPr>
          <w:p w:rsidR="00C344BD" w:rsidRPr="00C344BD" w:rsidRDefault="00C344BD" w:rsidP="00CF1E79">
            <w:pPr>
              <w:pStyle w:val="Heading3"/>
              <w:numPr>
                <w:ilvl w:val="0"/>
                <w:numId w:val="20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6210" w:type="dxa"/>
          </w:tcPr>
          <w:p w:rsidR="00C344BD" w:rsidRPr="00C344BD" w:rsidRDefault="00C344B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L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>arrêt de l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>agitation de plaquettes durant le transit ne doit pas durer plus de 24 heures</w:t>
            </w:r>
            <w:r w:rsidRPr="00C344BD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C344BD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C344B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C344BD" w:rsidRPr="00C344BD" w:rsidRDefault="00C344BD" w:rsidP="00B50E5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2.</w:t>
            </w:r>
            <w:r w:rsidR="00B50E59">
              <w:rPr>
                <w:rFonts w:ascii="Arial" w:hAnsi="Arial"/>
                <w:lang w:val="fr-CA"/>
              </w:rPr>
              <w:t>7</w:t>
            </w:r>
          </w:p>
        </w:tc>
        <w:tc>
          <w:tcPr>
            <w:tcW w:w="7200" w:type="dxa"/>
            <w:gridSpan w:val="5"/>
          </w:tcPr>
          <w:p w:rsidR="00C344BD" w:rsidRPr="00B74D5C" w:rsidRDefault="002A5E0D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Il faut suivre les directives d’emballage décrites dans </w:t>
            </w:r>
            <w:r w:rsidR="008508DA">
              <w:rPr>
                <w:rFonts w:ascii="Arial" w:hAnsi="Arial"/>
                <w:lang w:val="fr-CA"/>
              </w:rPr>
              <w:t>la procédure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Pr="002A5E0D">
              <w:rPr>
                <w:rFonts w:ascii="Arial" w:hAnsi="Arial"/>
                <w:lang w:val="fr-CA"/>
              </w:rPr>
              <w:t>G</w:t>
            </w:r>
            <w:r w:rsidR="00411BBC">
              <w:rPr>
                <w:rFonts w:ascii="Arial" w:hAnsi="Arial"/>
                <w:lang w:val="fr-CA"/>
              </w:rPr>
              <w:t>S</w:t>
            </w:r>
            <w:r w:rsidRPr="002A5E0D">
              <w:rPr>
                <w:rFonts w:ascii="Arial" w:hAnsi="Arial"/>
                <w:lang w:val="fr-CA"/>
              </w:rPr>
              <w:t>.006</w:t>
            </w:r>
            <w:r w:rsidR="008508DA">
              <w:rPr>
                <w:rFonts w:ascii="Arial" w:hAnsi="Arial"/>
                <w:lang w:val="fr-CA"/>
              </w:rPr>
              <w:t xml:space="preserve"> -</w:t>
            </w:r>
            <w:r w:rsidRPr="002A5E0D">
              <w:rPr>
                <w:rFonts w:ascii="Arial" w:hAnsi="Arial"/>
                <w:lang w:val="fr-CA"/>
              </w:rPr>
              <w:t xml:space="preserve"> Expédition de composants sanguins à des sites</w:t>
            </w:r>
            <w:r>
              <w:rPr>
                <w:rFonts w:ascii="Arial" w:hAnsi="Arial"/>
                <w:lang w:val="fr-CA"/>
              </w:rPr>
              <w:t xml:space="preserve"> externes afin d’assurer le maintien d’un éventail de température</w:t>
            </w:r>
            <w:r w:rsidR="00950A90">
              <w:rPr>
                <w:rFonts w:ascii="Arial" w:hAnsi="Arial"/>
                <w:lang w:val="fr-CA"/>
              </w:rPr>
              <w:t>s</w:t>
            </w:r>
            <w:r>
              <w:rPr>
                <w:rFonts w:ascii="Arial" w:hAnsi="Arial"/>
                <w:lang w:val="fr-CA"/>
              </w:rPr>
              <w:t xml:space="preserve"> acceptable</w:t>
            </w:r>
            <w:r w:rsidR="00C344BD" w:rsidRPr="00C344BD">
              <w:rPr>
                <w:rFonts w:ascii="Arial" w:hAnsi="Arial"/>
                <w:lang w:val="fr-CA"/>
              </w:rPr>
              <w:t>.</w:t>
            </w:r>
            <w:r w:rsidR="00B74D5C">
              <w:rPr>
                <w:rFonts w:ascii="Arial" w:hAnsi="Arial"/>
                <w:lang w:val="fr-CA"/>
              </w:rPr>
              <w:t xml:space="preserve"> Le personnel affecté à l’emballage doit être formé</w:t>
            </w:r>
            <w:r w:rsidR="00B74D5C">
              <w:rPr>
                <w:rFonts w:ascii="Arial" w:hAnsi="Arial"/>
                <w:vertAlign w:val="superscript"/>
                <w:lang w:val="fr-CA"/>
              </w:rPr>
              <w:t>9.1</w:t>
            </w:r>
            <w:r w:rsidR="00B74D5C">
              <w:rPr>
                <w:rFonts w:ascii="Arial" w:hAnsi="Arial"/>
                <w:lang w:val="fr-CA"/>
              </w:rPr>
              <w:t>.</w:t>
            </w:r>
          </w:p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</w:tr>
      <w:tr w:rsidR="00B50E59" w:rsidRPr="00C344BD">
        <w:trPr>
          <w:cantSplit/>
        </w:trPr>
        <w:tc>
          <w:tcPr>
            <w:tcW w:w="835" w:type="dxa"/>
          </w:tcPr>
          <w:p w:rsidR="00B50E59" w:rsidRPr="00C344BD" w:rsidRDefault="00B50E5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B50E59" w:rsidRDefault="005C2B72" w:rsidP="00B50E5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2.8</w:t>
            </w:r>
          </w:p>
        </w:tc>
        <w:tc>
          <w:tcPr>
            <w:tcW w:w="7200" w:type="dxa"/>
            <w:gridSpan w:val="5"/>
          </w:tcPr>
          <w:p w:rsidR="005C2B72" w:rsidRDefault="005C2B72" w:rsidP="005C2B72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Tout contenant d’expédition sera muni d’une étiquette externe conforme aux exigences de transport provinciales, territoriales et fédérales qui précise</w:t>
            </w:r>
            <w:r w:rsidR="00CF1E79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t>les éléments suivants</w:t>
            </w:r>
            <w:r w:rsidR="00CF1E79" w:rsidRPr="00CF1E79">
              <w:rPr>
                <w:rFonts w:ascii="Arial" w:hAnsi="Arial"/>
                <w:vertAlign w:val="superscript"/>
                <w:lang w:val="fr-CA"/>
              </w:rPr>
              <w:t>9.1</w:t>
            </w:r>
            <w:r w:rsidR="00CF1E79">
              <w:rPr>
                <w:rFonts w:ascii="Arial" w:hAnsi="Arial"/>
                <w:vertAlign w:val="superscript"/>
                <w:lang w:val="fr-CA"/>
              </w:rPr>
              <w:t> </w:t>
            </w:r>
            <w:r>
              <w:rPr>
                <w:rFonts w:ascii="Arial" w:hAnsi="Arial"/>
                <w:lang w:val="fr-CA"/>
              </w:rPr>
              <w:t xml:space="preserve">: </w:t>
            </w:r>
          </w:p>
          <w:p w:rsidR="005C2B72" w:rsidRDefault="005C2B72" w:rsidP="005C2B7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 w:rsidRPr="008330DF">
              <w:rPr>
                <w:rFonts w:ascii="Arial" w:hAnsi="Arial"/>
                <w:lang w:val="fr-CA"/>
              </w:rPr>
              <w:t>Nom des établissements d’expédition et de destination</w:t>
            </w:r>
          </w:p>
          <w:p w:rsidR="005C2B72" w:rsidRDefault="005C2B72" w:rsidP="005C2B7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Mention sur le contenu de composants ou produits de sang humain </w:t>
            </w:r>
          </w:p>
          <w:p w:rsidR="005C2B72" w:rsidRPr="008330DF" w:rsidRDefault="005C2B72" w:rsidP="005C2B7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Toute autre mise en garde ou description</w:t>
            </w:r>
          </w:p>
          <w:p w:rsidR="00B50E59" w:rsidRDefault="00B50E59" w:rsidP="00A872F2">
            <w:pPr>
              <w:rPr>
                <w:rFonts w:ascii="Arial" w:hAnsi="Arial"/>
                <w:lang w:val="fr-CA"/>
              </w:rPr>
            </w:pPr>
          </w:p>
        </w:tc>
      </w:tr>
      <w:tr w:rsidR="00411BBC" w:rsidRPr="00C344BD">
        <w:trPr>
          <w:cantSplit/>
        </w:trPr>
        <w:tc>
          <w:tcPr>
            <w:tcW w:w="835" w:type="dxa"/>
          </w:tcPr>
          <w:p w:rsidR="00411BBC" w:rsidRPr="00C344BD" w:rsidRDefault="00411BBC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11BBC" w:rsidRPr="00C344BD" w:rsidRDefault="00411BBC" w:rsidP="00B50E5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2.</w:t>
            </w:r>
            <w:r w:rsidR="00B50E59">
              <w:rPr>
                <w:rFonts w:ascii="Arial" w:hAnsi="Arial"/>
                <w:lang w:val="fr-CA"/>
              </w:rPr>
              <w:t>9</w:t>
            </w:r>
          </w:p>
        </w:tc>
        <w:tc>
          <w:tcPr>
            <w:tcW w:w="7200" w:type="dxa"/>
            <w:gridSpan w:val="5"/>
          </w:tcPr>
          <w:p w:rsidR="00A872F2" w:rsidRDefault="005C2B72" w:rsidP="00A872F2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La documentation qui accompagne toute </w:t>
            </w:r>
            <w:r w:rsidRPr="008330DF">
              <w:rPr>
                <w:rFonts w:ascii="Arial" w:hAnsi="Arial"/>
                <w:lang w:val="fr-CA"/>
              </w:rPr>
              <w:t xml:space="preserve">expédition de </w:t>
            </w:r>
            <w:r w:rsidR="00CF1E79">
              <w:rPr>
                <w:rFonts w:ascii="Arial" w:hAnsi="Arial"/>
                <w:lang w:val="fr-CA"/>
              </w:rPr>
              <w:t>produits</w:t>
            </w:r>
            <w:r>
              <w:rPr>
                <w:rFonts w:ascii="Arial" w:hAnsi="Arial"/>
                <w:lang w:val="fr-CA"/>
              </w:rPr>
              <w:t>-</w:t>
            </w:r>
            <w:r w:rsidRPr="008330DF">
              <w:rPr>
                <w:rFonts w:ascii="Arial" w:hAnsi="Arial"/>
                <w:lang w:val="fr-CA"/>
              </w:rPr>
              <w:t xml:space="preserve"> sanguins </w:t>
            </w:r>
            <w:r>
              <w:rPr>
                <w:rFonts w:ascii="Arial" w:hAnsi="Arial"/>
                <w:lang w:val="fr-CA"/>
              </w:rPr>
              <w:t xml:space="preserve">doit comprendre un bon </w:t>
            </w:r>
            <w:r w:rsidRPr="008330DF">
              <w:rPr>
                <w:rFonts w:ascii="Arial" w:hAnsi="Arial"/>
                <w:lang w:val="fr-CA"/>
              </w:rPr>
              <w:t xml:space="preserve">de connaissement ou </w:t>
            </w:r>
            <w:proofErr w:type="spellStart"/>
            <w:r w:rsidRPr="008330DF">
              <w:rPr>
                <w:rFonts w:ascii="Arial" w:hAnsi="Arial"/>
                <w:lang w:val="fr-CA"/>
              </w:rPr>
              <w:t>formu</w:t>
            </w:r>
            <w:r w:rsidR="00CF1E79">
              <w:rPr>
                <w:rFonts w:ascii="Arial" w:hAnsi="Arial"/>
                <w:lang w:val="fr-CA"/>
              </w:rPr>
              <w:t>-</w:t>
            </w:r>
            <w:r w:rsidRPr="008330DF">
              <w:rPr>
                <w:rFonts w:ascii="Arial" w:hAnsi="Arial"/>
                <w:lang w:val="fr-CA"/>
              </w:rPr>
              <w:t>laire</w:t>
            </w:r>
            <w:proofErr w:type="spellEnd"/>
            <w:r w:rsidRPr="008330DF">
              <w:rPr>
                <w:rFonts w:ascii="Arial" w:hAnsi="Arial"/>
                <w:lang w:val="fr-CA"/>
              </w:rPr>
              <w:t xml:space="preserve"> d’expédition</w:t>
            </w:r>
            <w:r>
              <w:rPr>
                <w:rFonts w:ascii="Arial" w:hAnsi="Arial"/>
                <w:lang w:val="fr-CA"/>
              </w:rPr>
              <w:t xml:space="preserve"> qui fournit les renseignements </w:t>
            </w:r>
            <w:r w:rsidRPr="005C2B72">
              <w:rPr>
                <w:rFonts w:ascii="Arial" w:hAnsi="Arial"/>
                <w:lang w:val="fr-CA"/>
              </w:rPr>
              <w:t>suivants</w:t>
            </w:r>
            <w:r>
              <w:rPr>
                <w:rFonts w:ascii="Arial" w:hAnsi="Arial"/>
                <w:vertAlign w:val="superscript"/>
                <w:lang w:val="fr-CA"/>
              </w:rPr>
              <w:t xml:space="preserve"> 9</w:t>
            </w:r>
            <w:r w:rsidRPr="005C2B72">
              <w:rPr>
                <w:rFonts w:ascii="Arial" w:hAnsi="Arial"/>
                <w:vertAlign w:val="superscript"/>
                <w:lang w:val="fr-CA"/>
              </w:rPr>
              <w:t>1</w:t>
            </w:r>
            <w:r w:rsidRPr="008330DF">
              <w:rPr>
                <w:rFonts w:ascii="Arial" w:hAnsi="Arial"/>
                <w:lang w:val="fr-CA"/>
              </w:rPr>
              <w:t> </w:t>
            </w:r>
            <w:r w:rsidR="00A872F2">
              <w:rPr>
                <w:rFonts w:ascii="Arial" w:hAnsi="Arial"/>
                <w:lang w:val="fr-CA"/>
              </w:rPr>
              <w:t>:</w:t>
            </w:r>
            <w:r w:rsidR="00950A90">
              <w:rPr>
                <w:rFonts w:ascii="Arial" w:hAnsi="Arial"/>
                <w:lang w:val="fr-CA"/>
              </w:rPr>
              <w:br/>
            </w:r>
          </w:p>
          <w:p w:rsidR="00A872F2" w:rsidRDefault="00A872F2" w:rsidP="00A872F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Nom des établissements d’expédition et de destination</w:t>
            </w:r>
          </w:p>
          <w:p w:rsidR="00A872F2" w:rsidRDefault="00A872F2" w:rsidP="00A872F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Identification des </w:t>
            </w:r>
            <w:r w:rsidR="00B74D5C">
              <w:rPr>
                <w:rFonts w:ascii="Arial" w:hAnsi="Arial"/>
                <w:lang w:val="fr-CA"/>
              </w:rPr>
              <w:t xml:space="preserve">composants ou </w:t>
            </w:r>
            <w:r>
              <w:rPr>
                <w:rFonts w:ascii="Arial" w:hAnsi="Arial"/>
                <w:lang w:val="fr-CA"/>
              </w:rPr>
              <w:t>produits expédiés (numéros d’unités, description des produits</w:t>
            </w:r>
            <w:r w:rsidR="00950A90">
              <w:rPr>
                <w:rFonts w:ascii="Arial" w:hAnsi="Arial"/>
                <w:lang w:val="fr-CA"/>
              </w:rPr>
              <w:t>)</w:t>
            </w:r>
            <w:r>
              <w:rPr>
                <w:rFonts w:ascii="Arial" w:hAnsi="Arial"/>
                <w:lang w:val="fr-CA"/>
              </w:rPr>
              <w:t xml:space="preserve"> et nombre d’unités</w:t>
            </w:r>
            <w:r w:rsidR="00CF1E79">
              <w:rPr>
                <w:rFonts w:ascii="Arial" w:hAnsi="Arial"/>
                <w:lang w:val="fr-CA"/>
              </w:rPr>
              <w:t>/flacons</w:t>
            </w:r>
          </w:p>
          <w:p w:rsidR="00A872F2" w:rsidRDefault="00A872F2" w:rsidP="00A872F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Date et heure de l’expédition</w:t>
            </w:r>
          </w:p>
          <w:p w:rsidR="00A872F2" w:rsidRDefault="00A872F2" w:rsidP="00A872F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Nom </w:t>
            </w:r>
            <w:r w:rsidR="00CF1E79">
              <w:rPr>
                <w:rFonts w:ascii="Arial" w:hAnsi="Arial"/>
                <w:lang w:val="fr-CA"/>
              </w:rPr>
              <w:t xml:space="preserve">et signature </w:t>
            </w:r>
            <w:r>
              <w:rPr>
                <w:rFonts w:ascii="Arial" w:hAnsi="Arial"/>
                <w:lang w:val="fr-CA"/>
              </w:rPr>
              <w:t>de la personne qui a préparé l’envoi</w:t>
            </w:r>
          </w:p>
          <w:p w:rsidR="00A872F2" w:rsidRPr="004767C6" w:rsidRDefault="00A872F2" w:rsidP="00A872F2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  <w:r w:rsidRPr="004767C6">
              <w:rPr>
                <w:rFonts w:ascii="Arial" w:hAnsi="Arial"/>
                <w:lang w:val="fr-CA"/>
              </w:rPr>
              <w:t xml:space="preserve">Numéro unique </w:t>
            </w:r>
            <w:r w:rsidR="00950A90">
              <w:rPr>
                <w:rFonts w:ascii="Arial" w:hAnsi="Arial"/>
                <w:lang w:val="fr-CA"/>
              </w:rPr>
              <w:t xml:space="preserve">d’expédition </w:t>
            </w:r>
            <w:r w:rsidRPr="004767C6">
              <w:rPr>
                <w:rFonts w:ascii="Arial" w:hAnsi="Arial"/>
                <w:lang w:val="fr-CA"/>
              </w:rPr>
              <w:t>qui permet de retracer le colis</w:t>
            </w:r>
          </w:p>
          <w:p w:rsidR="00411BBC" w:rsidRDefault="00411BBC">
            <w:pPr>
              <w:rPr>
                <w:rFonts w:ascii="Arial" w:hAnsi="Arial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838" w:type="dxa"/>
            <w:gridSpan w:val="7"/>
          </w:tcPr>
          <w:p w:rsidR="005C2B72" w:rsidRDefault="005C2B72" w:rsidP="005C2B72">
            <w:pPr>
              <w:pStyle w:val="Heading1"/>
            </w:pPr>
            <w:r>
              <w:t>Dossiers, formulaires</w:t>
            </w:r>
            <w:r w:rsidR="00123C81">
              <w:t>,</w:t>
            </w:r>
            <w:r>
              <w:t xml:space="preserve"> document</w:t>
            </w:r>
            <w:r w:rsidR="00123C81">
              <w:t>s</w:t>
            </w:r>
          </w:p>
          <w:p w:rsidR="005C2B72" w:rsidRPr="005C2B72" w:rsidRDefault="005C2B72" w:rsidP="005C2B72">
            <w:pPr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5C2B72">
              <w:rPr>
                <w:rFonts w:ascii="Arial" w:hAnsi="Arial" w:cs="Arial"/>
                <w:lang w:val="fr-CA"/>
              </w:rPr>
              <w:t>GS.007F</w:t>
            </w:r>
            <w:proofErr w:type="gramStart"/>
            <w:r w:rsidRPr="005C2B72">
              <w:rPr>
                <w:rFonts w:ascii="Arial" w:hAnsi="Arial" w:cs="Arial"/>
                <w:lang w:val="fr-CA"/>
              </w:rPr>
              <w:t xml:space="preserve">1  </w:t>
            </w:r>
            <w:r w:rsidRPr="005C2B72">
              <w:rPr>
                <w:rFonts w:ascii="Arial" w:hAnsi="Arial"/>
                <w:color w:val="000000"/>
                <w:lang w:val="fr-CA"/>
              </w:rPr>
              <w:t>Formulaire</w:t>
            </w:r>
            <w:proofErr w:type="gramEnd"/>
            <w:r w:rsidRPr="005C2B72">
              <w:rPr>
                <w:rFonts w:ascii="Arial" w:hAnsi="Arial"/>
                <w:color w:val="000000"/>
                <w:lang w:val="fr-CA"/>
              </w:rPr>
              <w:t xml:space="preserve"> d’échange </w:t>
            </w:r>
            <w:proofErr w:type="spellStart"/>
            <w:r w:rsidRPr="005C2B72">
              <w:rPr>
                <w:rFonts w:ascii="Arial" w:hAnsi="Arial"/>
                <w:color w:val="000000"/>
                <w:lang w:val="fr-CA"/>
              </w:rPr>
              <w:t>interhospitalier</w:t>
            </w:r>
            <w:proofErr w:type="spellEnd"/>
            <w:r w:rsidRPr="005C2B72">
              <w:rPr>
                <w:rFonts w:ascii="Arial" w:hAnsi="Arial"/>
                <w:color w:val="000000"/>
                <w:lang w:val="fr-CA"/>
              </w:rPr>
              <w:t xml:space="preserve"> - transport de composant/produit sanguin avec le patient</w:t>
            </w:r>
          </w:p>
          <w:p w:rsidR="00CF1E79" w:rsidRPr="005C2B72" w:rsidRDefault="005C2B72" w:rsidP="00CF1E79">
            <w:pPr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5C2B72">
              <w:rPr>
                <w:rFonts w:ascii="Arial" w:hAnsi="Arial" w:cs="Arial"/>
                <w:lang w:val="fr-CA"/>
              </w:rPr>
              <w:t>GS.007F</w:t>
            </w:r>
            <w:proofErr w:type="gramStart"/>
            <w:r w:rsidRPr="005C2B72">
              <w:rPr>
                <w:rFonts w:ascii="Arial" w:hAnsi="Arial" w:cs="Arial"/>
                <w:lang w:val="fr-CA"/>
              </w:rPr>
              <w:t>2  Étiquette</w:t>
            </w:r>
            <w:proofErr w:type="gramEnd"/>
            <w:r w:rsidRPr="005C2B72">
              <w:rPr>
                <w:rFonts w:ascii="Arial" w:hAnsi="Arial" w:cs="Arial"/>
                <w:lang w:val="fr-CA"/>
              </w:rPr>
              <w:t xml:space="preserve"> d’adresse d’expédition</w:t>
            </w:r>
            <w:r w:rsidRPr="005C2B72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CF1E79" w:rsidRPr="005C2B72">
              <w:rPr>
                <w:rFonts w:ascii="Arial" w:hAnsi="Arial"/>
                <w:color w:val="000000"/>
                <w:lang w:val="fr-CA"/>
              </w:rPr>
              <w:t>de composant/produit sanguin avec le patient</w:t>
            </w:r>
          </w:p>
          <w:p w:rsidR="00C344BD" w:rsidRPr="003E5B06" w:rsidRDefault="005C2B72" w:rsidP="005C2B72">
            <w:pPr>
              <w:numPr>
                <w:ilvl w:val="0"/>
                <w:numId w:val="19"/>
              </w:numPr>
              <w:tabs>
                <w:tab w:val="num" w:pos="1134"/>
              </w:tabs>
              <w:ind w:hanging="371"/>
              <w:rPr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Demande d’</w:t>
            </w:r>
            <w:r w:rsidRPr="002A5E0D">
              <w:rPr>
                <w:rFonts w:ascii="Arial" w:hAnsi="Arial"/>
                <w:color w:val="000000"/>
                <w:lang w:val="fr-CA"/>
              </w:rPr>
              <w:t>épreuve de compatibilité, le cas échéant</w:t>
            </w:r>
          </w:p>
          <w:p w:rsidR="00A77794" w:rsidRPr="003E5B06" w:rsidRDefault="00A77794" w:rsidP="005C2B72">
            <w:pPr>
              <w:numPr>
                <w:ilvl w:val="0"/>
                <w:numId w:val="19"/>
              </w:numPr>
              <w:tabs>
                <w:tab w:val="num" w:pos="1134"/>
              </w:tabs>
              <w:ind w:hanging="371"/>
              <w:rPr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Copie papier du SIL sur les produits, composants et résultats (le cas échéant)</w:t>
            </w:r>
          </w:p>
          <w:p w:rsidR="00A77794" w:rsidRPr="003E5B06" w:rsidRDefault="00A77794" w:rsidP="00A77794">
            <w:pPr>
              <w:ind w:left="1080"/>
              <w:rPr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838" w:type="dxa"/>
            <w:gridSpan w:val="7"/>
          </w:tcPr>
          <w:p w:rsidR="00C344BD" w:rsidRPr="00C344BD" w:rsidRDefault="00C344BD" w:rsidP="00C344BD">
            <w:pPr>
              <w:pStyle w:val="Heading1"/>
            </w:pPr>
            <w:r w:rsidRPr="00C344BD">
              <w:t>Matériel</w:t>
            </w: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003" w:type="dxa"/>
            <w:gridSpan w:val="6"/>
          </w:tcPr>
          <w:p w:rsidR="00C344BD" w:rsidRPr="002A5E0D" w:rsidRDefault="002A5E0D" w:rsidP="002A5E0D">
            <w:pPr>
              <w:pStyle w:val="Header"/>
              <w:tabs>
                <w:tab w:val="clear" w:pos="4320"/>
                <w:tab w:val="clear" w:pos="8640"/>
              </w:tabs>
              <w:ind w:left="1595" w:hanging="1530"/>
              <w:rPr>
                <w:color w:val="000000"/>
                <w:lang w:val="fr-CA"/>
              </w:rPr>
            </w:pPr>
            <w:r w:rsidRPr="002A5E0D">
              <w:rPr>
                <w:rFonts w:ascii="Arial" w:hAnsi="Arial" w:cs="Arial"/>
                <w:b/>
                <w:bCs/>
                <w:color w:val="000000"/>
                <w:lang w:val="fr-CA"/>
              </w:rPr>
              <w:t>Fournitures</w:t>
            </w:r>
            <w:r w:rsidR="00570BAD">
              <w:rPr>
                <w:rFonts w:ascii="Arial" w:hAnsi="Arial" w:cs="Arial"/>
                <w:b/>
                <w:bCs/>
                <w:color w:val="000000"/>
                <w:lang w:val="fr-CA"/>
              </w:rPr>
              <w:t> :</w:t>
            </w:r>
            <w:r w:rsidR="00C344BD" w:rsidRPr="002A5E0D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Pr="002A5E0D">
              <w:rPr>
                <w:rFonts w:ascii="Arial" w:hAnsi="Arial" w:cs="Arial"/>
                <w:color w:val="000000"/>
                <w:lang w:val="fr-CA"/>
              </w:rPr>
              <w:t xml:space="preserve">les mêmes que pour la procédure </w:t>
            </w:r>
            <w:hyperlink r:id="rId8" w:history="1">
              <w:r w:rsidRPr="00886C32">
                <w:rPr>
                  <w:rStyle w:val="Hyperlink"/>
                  <w:rFonts w:ascii="Arial" w:hAnsi="Arial" w:cs="Arial"/>
                  <w:lang w:val="fr-CA"/>
                </w:rPr>
                <w:t>G</w:t>
              </w:r>
              <w:r w:rsidR="00A872F2" w:rsidRPr="00886C32">
                <w:rPr>
                  <w:rStyle w:val="Hyperlink"/>
                  <w:rFonts w:ascii="Arial" w:hAnsi="Arial" w:cs="Arial"/>
                  <w:lang w:val="fr-CA"/>
                </w:rPr>
                <w:t>S</w:t>
              </w:r>
              <w:r w:rsidRPr="00886C32">
                <w:rPr>
                  <w:rStyle w:val="Hyperlink"/>
                  <w:rFonts w:ascii="Arial" w:hAnsi="Arial" w:cs="Arial"/>
                  <w:lang w:val="fr-CA"/>
                </w:rPr>
                <w:t>.</w:t>
              </w:r>
              <w:r w:rsidR="00C344BD" w:rsidRPr="00886C32">
                <w:rPr>
                  <w:rStyle w:val="Hyperlink"/>
                  <w:rFonts w:ascii="Arial" w:hAnsi="Arial" w:cs="Arial"/>
                  <w:lang w:val="fr-CA"/>
                </w:rPr>
                <w:t xml:space="preserve">006 </w:t>
              </w:r>
              <w:r w:rsidR="00CF1E79" w:rsidRPr="00886C32">
                <w:rPr>
                  <w:rStyle w:val="Hyperlink"/>
                  <w:rFonts w:ascii="Arial" w:hAnsi="Arial" w:cs="Arial"/>
                  <w:lang w:val="fr-CA"/>
                </w:rPr>
                <w:t>Expédition de composants sanguins dans des contenants J82/E38</w:t>
              </w:r>
            </w:hyperlink>
          </w:p>
          <w:p w:rsidR="00C344BD" w:rsidRPr="002A5E0D" w:rsidRDefault="00C344BD" w:rsidP="005C2B72">
            <w:pPr>
              <w:pStyle w:val="BodyTextIndent2"/>
              <w:ind w:left="1595" w:hanging="1530"/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  <w:trHeight w:val="468"/>
        </w:trPr>
        <w:tc>
          <w:tcPr>
            <w:tcW w:w="8838" w:type="dxa"/>
            <w:gridSpan w:val="7"/>
          </w:tcPr>
          <w:p w:rsidR="00C344BD" w:rsidRPr="002A5E0D" w:rsidRDefault="00C344BD" w:rsidP="00C344BD">
            <w:pPr>
              <w:pStyle w:val="Heading1"/>
            </w:pPr>
            <w:r w:rsidRPr="002A5E0D">
              <w:t>Contrôle de la qualité</w:t>
            </w: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03" w:type="dxa"/>
            <w:gridSpan w:val="6"/>
          </w:tcPr>
          <w:p w:rsidR="00C344BD" w:rsidRDefault="00B74D5C" w:rsidP="002A5E0D">
            <w:pPr>
              <w:pStyle w:val="BodyTextIndent2"/>
              <w:ind w:left="65" w:firstLine="0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Consulter</w:t>
            </w:r>
            <w:r w:rsidR="002A5E0D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la </w:t>
            </w:r>
            <w:r w:rsidR="002A5E0D">
              <w:rPr>
                <w:rFonts w:ascii="Arial" w:hAnsi="Arial"/>
                <w:color w:val="000000"/>
                <w:lang w:val="fr-CA"/>
              </w:rPr>
              <w:t xml:space="preserve">procédure </w:t>
            </w:r>
            <w:hyperlink r:id="rId9" w:history="1">
              <w:r w:rsidR="002A5E0D" w:rsidRPr="00886C32">
                <w:rPr>
                  <w:rStyle w:val="Hyperlink"/>
                  <w:rFonts w:ascii="Arial" w:hAnsi="Arial" w:cs="Arial"/>
                  <w:lang w:val="fr-CA"/>
                </w:rPr>
                <w:t>G</w:t>
              </w:r>
              <w:r w:rsidR="00A872F2" w:rsidRPr="00886C32">
                <w:rPr>
                  <w:rStyle w:val="Hyperlink"/>
                  <w:rFonts w:ascii="Arial" w:hAnsi="Arial" w:cs="Arial"/>
                  <w:lang w:val="fr-CA"/>
                </w:rPr>
                <w:t>S</w:t>
              </w:r>
              <w:r w:rsidR="002A5E0D" w:rsidRPr="00886C32">
                <w:rPr>
                  <w:rStyle w:val="Hyperlink"/>
                  <w:rFonts w:ascii="Arial" w:hAnsi="Arial" w:cs="Arial"/>
                  <w:lang w:val="fr-CA"/>
                </w:rPr>
                <w:t xml:space="preserve">.006 – Expédition de </w:t>
              </w:r>
              <w:r w:rsidR="00A77794" w:rsidRPr="00886C32">
                <w:rPr>
                  <w:rStyle w:val="Hyperlink"/>
                  <w:rFonts w:ascii="Arial" w:hAnsi="Arial" w:cs="Arial"/>
                  <w:lang w:val="fr-CA"/>
                </w:rPr>
                <w:t>composants</w:t>
              </w:r>
              <w:r w:rsidR="002A5E0D" w:rsidRPr="00886C32">
                <w:rPr>
                  <w:rStyle w:val="Hyperlink"/>
                  <w:rFonts w:ascii="Arial" w:hAnsi="Arial" w:cs="Arial"/>
                  <w:lang w:val="fr-CA"/>
                </w:rPr>
                <w:t xml:space="preserve"> sanguins </w:t>
              </w:r>
              <w:r w:rsidRPr="00886C32">
                <w:rPr>
                  <w:rStyle w:val="Hyperlink"/>
                  <w:rFonts w:ascii="Arial" w:hAnsi="Arial" w:cs="Arial"/>
                  <w:lang w:val="fr-CA"/>
                </w:rPr>
                <w:t xml:space="preserve">dans des contenants </w:t>
              </w:r>
              <w:r w:rsidR="00A77794" w:rsidRPr="00886C32">
                <w:rPr>
                  <w:rStyle w:val="Hyperlink"/>
                  <w:rFonts w:ascii="Arial" w:hAnsi="Arial" w:cs="Arial"/>
                  <w:lang w:val="fr-CA"/>
                </w:rPr>
                <w:t>J82/E38</w:t>
              </w:r>
              <w:r w:rsidR="00C344BD" w:rsidRPr="00886C32">
                <w:rPr>
                  <w:rStyle w:val="Hyperlink"/>
                  <w:rFonts w:ascii="Arial" w:hAnsi="Arial"/>
                  <w:lang w:val="fr-CA"/>
                </w:rPr>
                <w:t>.</w:t>
              </w:r>
            </w:hyperlink>
          </w:p>
          <w:p w:rsidR="002A5E0D" w:rsidRPr="002A5E0D" w:rsidRDefault="002A5E0D" w:rsidP="002A5E0D">
            <w:pPr>
              <w:pStyle w:val="BodyTextIndent2"/>
              <w:ind w:left="65" w:firstLine="0"/>
              <w:rPr>
                <w:b/>
                <w:lang w:val="fr-CA"/>
              </w:rPr>
            </w:pPr>
          </w:p>
        </w:tc>
      </w:tr>
      <w:tr w:rsidR="00C344BD" w:rsidRPr="00C344BD">
        <w:trPr>
          <w:cantSplit/>
          <w:trHeight w:val="612"/>
        </w:trPr>
        <w:tc>
          <w:tcPr>
            <w:tcW w:w="8838" w:type="dxa"/>
            <w:gridSpan w:val="7"/>
          </w:tcPr>
          <w:p w:rsidR="00C344BD" w:rsidRPr="00C344BD" w:rsidRDefault="00C344BD" w:rsidP="00C344BD">
            <w:pPr>
              <w:pStyle w:val="Heading1"/>
            </w:pPr>
            <w:r w:rsidRPr="00C344BD">
              <w:t>Procédure</w:t>
            </w:r>
          </w:p>
        </w:tc>
      </w:tr>
      <w:tr w:rsidR="00C344BD" w:rsidRPr="00C344BD">
        <w:trPr>
          <w:cantSplit/>
          <w:trHeight w:val="549"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2A5E0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6.1</w:t>
            </w:r>
          </w:p>
        </w:tc>
        <w:tc>
          <w:tcPr>
            <w:tcW w:w="7168" w:type="dxa"/>
            <w:gridSpan w:val="4"/>
          </w:tcPr>
          <w:p w:rsidR="00C344BD" w:rsidRPr="002A5E0D" w:rsidRDefault="00C344B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 xml:space="preserve">Revoir la demande de 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composants ou 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produits sanguins. </w:t>
            </w:r>
          </w:p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2A5E0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6.2</w:t>
            </w:r>
          </w:p>
        </w:tc>
        <w:tc>
          <w:tcPr>
            <w:tcW w:w="7168" w:type="dxa"/>
            <w:gridSpan w:val="4"/>
          </w:tcPr>
          <w:p w:rsidR="00C344BD" w:rsidRPr="002A5E0D" w:rsidRDefault="002A5E0D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 xml:space="preserve">Si l’identité du patient est connue, 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suivre le protocole de </w:t>
            </w:r>
            <w:proofErr w:type="gramStart"/>
            <w:r w:rsidR="00A77794">
              <w:rPr>
                <w:rFonts w:ascii="Arial" w:hAnsi="Arial"/>
                <w:color w:val="000000"/>
                <w:lang w:val="fr-CA"/>
              </w:rPr>
              <w:t>l’hôpital  pour</w:t>
            </w:r>
            <w:proofErr w:type="gramEnd"/>
            <w:r w:rsidR="00A77794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2A5E0D">
              <w:rPr>
                <w:rFonts w:ascii="Arial" w:hAnsi="Arial"/>
                <w:color w:val="000000"/>
                <w:lang w:val="fr-CA"/>
              </w:rPr>
              <w:t>choisir les composants sanguins appropriés</w:t>
            </w:r>
            <w:r w:rsidR="00C344BD" w:rsidRPr="002A5E0D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8" w:type="dxa"/>
            <w:gridSpan w:val="2"/>
          </w:tcPr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6.2.1</w:t>
            </w:r>
          </w:p>
        </w:tc>
        <w:tc>
          <w:tcPr>
            <w:tcW w:w="6300" w:type="dxa"/>
            <w:gridSpan w:val="2"/>
          </w:tcPr>
          <w:p w:rsidR="00A77794" w:rsidRDefault="002A5E0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 xml:space="preserve">Si l’identité du patient est inconnue, 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suivre le protocole de l’hôpital pour 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choisir </w:t>
            </w:r>
            <w:r w:rsidR="00A77794">
              <w:rPr>
                <w:rFonts w:ascii="Arial" w:hAnsi="Arial"/>
                <w:color w:val="000000"/>
                <w:lang w:val="fr-CA"/>
              </w:rPr>
              <w:t>le composant sanguin approprié</w:t>
            </w:r>
            <w:r w:rsidR="00CF1E79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6.3</w:t>
            </w:r>
          </w:p>
        </w:tc>
        <w:tc>
          <w:tcPr>
            <w:tcW w:w="7168" w:type="dxa"/>
            <w:gridSpan w:val="4"/>
          </w:tcPr>
          <w:p w:rsidR="00C344BD" w:rsidRPr="00C344BD" w:rsidRDefault="00C344BD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Co</w:t>
            </w:r>
            <w:r w:rsidR="002A5E0D">
              <w:rPr>
                <w:rFonts w:ascii="Arial" w:hAnsi="Arial"/>
                <w:color w:val="000000"/>
                <w:lang w:val="fr-CA"/>
              </w:rPr>
              <w:t>mmuniquer avec l’unité de soins du patient ou le personnel paramédical pour savoir où s’en va le patient</w:t>
            </w:r>
            <w:r w:rsidR="00950A90">
              <w:rPr>
                <w:rFonts w:ascii="Arial" w:hAnsi="Arial"/>
                <w:color w:val="000000"/>
                <w:lang w:val="fr-CA"/>
              </w:rPr>
              <w:t>.</w:t>
            </w:r>
            <w:r w:rsidR="002A5E0D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C344BD" w:rsidRPr="00C344B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6.4</w:t>
            </w:r>
          </w:p>
        </w:tc>
        <w:tc>
          <w:tcPr>
            <w:tcW w:w="7168" w:type="dxa"/>
            <w:gridSpan w:val="4"/>
          </w:tcPr>
          <w:p w:rsidR="00C344BD" w:rsidRPr="002A5E0D" w:rsidRDefault="00C344B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Préparer les produits sanguins qui seront transportés avec le patient</w:t>
            </w:r>
            <w:r w:rsidR="00CF1E79">
              <w:rPr>
                <w:rFonts w:ascii="Arial" w:hAnsi="Arial"/>
                <w:color w:val="000000"/>
                <w:lang w:val="fr-CA"/>
              </w:rPr>
              <w:t xml:space="preserve"> en suivant le protocole de l’hôpital</w:t>
            </w:r>
            <w:r w:rsidR="00570BAD">
              <w:rPr>
                <w:rFonts w:ascii="Arial" w:hAnsi="Arial"/>
                <w:color w:val="000000"/>
                <w:lang w:val="fr-CA"/>
              </w:rPr>
              <w:t xml:space="preserve">. 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Voir </w:t>
            </w:r>
            <w:hyperlink r:id="rId10" w:history="1">
              <w:r w:rsidRPr="00886C32">
                <w:rPr>
                  <w:rStyle w:val="Hyperlink"/>
                  <w:rFonts w:ascii="Arial" w:hAnsi="Arial"/>
                  <w:lang w:val="fr-CA"/>
                </w:rPr>
                <w:t>CCP.001 - Choix des composants sanguins à transfuser.</w:t>
              </w:r>
            </w:hyperlink>
            <w:r w:rsidRPr="002A5E0D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  <w:gridSpan w:val="2"/>
          </w:tcPr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6.4.1</w:t>
            </w:r>
          </w:p>
        </w:tc>
        <w:tc>
          <w:tcPr>
            <w:tcW w:w="6300" w:type="dxa"/>
            <w:gridSpan w:val="2"/>
          </w:tcPr>
          <w:p w:rsidR="00C344BD" w:rsidRPr="002A5E0D" w:rsidRDefault="002A5E0D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 xml:space="preserve">Étiqueter les </w:t>
            </w:r>
            <w:r w:rsidR="001E0921">
              <w:rPr>
                <w:rFonts w:ascii="Arial" w:hAnsi="Arial"/>
                <w:color w:val="000000"/>
                <w:lang w:val="fr-CA"/>
              </w:rPr>
              <w:t>composants/</w:t>
            </w:r>
            <w:r w:rsidRPr="002A5E0D">
              <w:rPr>
                <w:rFonts w:ascii="Arial" w:hAnsi="Arial"/>
                <w:color w:val="000000"/>
                <w:lang w:val="fr-CA"/>
              </w:rPr>
              <w:t xml:space="preserve">produits sanguins </w:t>
            </w:r>
            <w:r w:rsidR="00C344BD" w:rsidRPr="002A5E0D">
              <w:rPr>
                <w:rFonts w:ascii="Arial" w:hAnsi="Arial"/>
                <w:color w:val="000000"/>
                <w:lang w:val="fr-CA"/>
              </w:rPr>
              <w:t>(</w:t>
            </w:r>
            <w:r w:rsidRPr="002A5E0D">
              <w:rPr>
                <w:rFonts w:ascii="Arial" w:hAnsi="Arial"/>
                <w:color w:val="000000"/>
                <w:lang w:val="fr-CA"/>
              </w:rPr>
              <w:t>en se servant d’une étiquette de compatibilité</w:t>
            </w:r>
            <w:r w:rsidR="00C344BD" w:rsidRPr="002A5E0D">
              <w:rPr>
                <w:rFonts w:ascii="Arial" w:hAnsi="Arial"/>
                <w:color w:val="000000"/>
                <w:lang w:val="fr-CA"/>
              </w:rPr>
              <w:t xml:space="preserve">) </w:t>
            </w:r>
            <w:r w:rsidRPr="002A5E0D">
              <w:rPr>
                <w:rFonts w:ascii="Arial" w:hAnsi="Arial"/>
                <w:color w:val="000000"/>
                <w:lang w:val="fr-CA"/>
              </w:rPr>
              <w:t>et y inscrire toutes les données connues sur le patient conformément aux procédures établies</w:t>
            </w:r>
            <w:r w:rsidR="00C344BD" w:rsidRPr="002A5E0D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  <w:gridSpan w:val="2"/>
          </w:tcPr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6.4.2</w:t>
            </w:r>
          </w:p>
        </w:tc>
        <w:tc>
          <w:tcPr>
            <w:tcW w:w="6300" w:type="dxa"/>
            <w:gridSpan w:val="2"/>
          </w:tcPr>
          <w:p w:rsidR="00C344BD" w:rsidRPr="002A5E0D" w:rsidRDefault="002A5E0D">
            <w:pPr>
              <w:rPr>
                <w:rFonts w:ascii="Arial" w:hAnsi="Arial"/>
                <w:color w:val="000000"/>
                <w:lang w:val="fr-CA"/>
              </w:rPr>
            </w:pPr>
            <w:r w:rsidRPr="002A5E0D">
              <w:rPr>
                <w:rFonts w:ascii="Arial" w:hAnsi="Arial"/>
                <w:color w:val="000000"/>
                <w:lang w:val="fr-CA"/>
              </w:rPr>
              <w:t>Inscrire sur la demande appropriée les données sur le produit sanguin</w:t>
            </w:r>
            <w:r w:rsidR="00C344BD" w:rsidRPr="002A5E0D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2A5E0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6.5</w:t>
            </w:r>
          </w:p>
        </w:tc>
        <w:tc>
          <w:tcPr>
            <w:tcW w:w="7168" w:type="dxa"/>
            <w:gridSpan w:val="4"/>
          </w:tcPr>
          <w:p w:rsidR="00C344BD" w:rsidRPr="00C344BD" w:rsidRDefault="00C344B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Faire une inspection visuelle de chaque produit sanguin</w:t>
            </w:r>
            <w:r w:rsidR="00E0471D">
              <w:rPr>
                <w:rFonts w:ascii="Arial" w:hAnsi="Arial"/>
                <w:color w:val="000000"/>
                <w:lang w:val="fr-CA"/>
              </w:rPr>
              <w:t>.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 Voir </w:t>
            </w:r>
            <w:hyperlink r:id="rId11" w:history="1">
              <w:r w:rsidRPr="00886C32">
                <w:rPr>
                  <w:rStyle w:val="Hyperlink"/>
                  <w:rFonts w:ascii="Arial" w:hAnsi="Arial"/>
                  <w:lang w:val="fr-CA"/>
                </w:rPr>
                <w:t>G</w:t>
              </w:r>
              <w:r w:rsidR="00A872F2" w:rsidRPr="00886C32">
                <w:rPr>
                  <w:rStyle w:val="Hyperlink"/>
                  <w:rFonts w:ascii="Arial" w:hAnsi="Arial"/>
                  <w:lang w:val="fr-CA"/>
                </w:rPr>
                <w:t>S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.003 - </w:t>
              </w:r>
              <w:r w:rsidR="00E0471D" w:rsidRPr="00886C32">
                <w:rPr>
                  <w:rStyle w:val="Hyperlink"/>
                  <w:rFonts w:ascii="Arial" w:hAnsi="Arial"/>
                  <w:lang w:val="fr-CA"/>
                </w:rPr>
                <w:t>I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nspection visuelle des composants sanguins et des </w:t>
              </w:r>
              <w:r w:rsidR="00950A90" w:rsidRPr="00886C32">
                <w:rPr>
                  <w:rStyle w:val="Hyperlink"/>
                  <w:rFonts w:ascii="Arial" w:hAnsi="Arial"/>
                  <w:lang w:val="fr-CA"/>
                </w:rPr>
                <w:t>protéines plasmatiques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. </w:t>
              </w:r>
            </w:hyperlink>
          </w:p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6.6</w:t>
            </w:r>
          </w:p>
        </w:tc>
        <w:tc>
          <w:tcPr>
            <w:tcW w:w="7168" w:type="dxa"/>
            <w:gridSpan w:val="4"/>
          </w:tcPr>
          <w:p w:rsidR="00C344BD" w:rsidRPr="00C344BD" w:rsidRDefault="00C344B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 xml:space="preserve">Remplir le </w:t>
            </w:r>
            <w:r w:rsidR="002A5E0D" w:rsidRPr="00C344BD">
              <w:rPr>
                <w:rFonts w:ascii="Arial" w:hAnsi="Arial"/>
                <w:color w:val="000000"/>
                <w:lang w:val="fr-CA"/>
              </w:rPr>
              <w:t xml:space="preserve">formulaire </w:t>
            </w:r>
            <w:hyperlink r:id="rId12" w:history="1">
              <w:r w:rsidRPr="00886C32">
                <w:rPr>
                  <w:rStyle w:val="Hyperlink"/>
                  <w:rFonts w:ascii="Arial" w:hAnsi="Arial"/>
                  <w:lang w:val="fr-CA"/>
                </w:rPr>
                <w:t>G</w:t>
              </w:r>
              <w:r w:rsidR="00A872F2" w:rsidRPr="00886C32">
                <w:rPr>
                  <w:rStyle w:val="Hyperlink"/>
                  <w:rFonts w:ascii="Arial" w:hAnsi="Arial"/>
                  <w:lang w:val="fr-CA"/>
                </w:rPr>
                <w:t>S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>.007</w:t>
              </w:r>
              <w:r w:rsidR="002A5E0D" w:rsidRPr="00886C32">
                <w:rPr>
                  <w:rStyle w:val="Hyperlink"/>
                  <w:rFonts w:ascii="Arial" w:hAnsi="Arial"/>
                  <w:lang w:val="fr-CA"/>
                </w:rPr>
                <w:t>F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1 </w:t>
              </w:r>
              <w:r w:rsidR="00E0471D" w:rsidRPr="00886C32">
                <w:rPr>
                  <w:rStyle w:val="Hyperlink"/>
                  <w:rFonts w:ascii="Arial" w:hAnsi="Arial"/>
                  <w:lang w:val="fr-CA"/>
                </w:rPr>
                <w:t xml:space="preserve">Formulaire 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>d</w:t>
              </w:r>
              <w:r w:rsidR="00AD2BBF" w:rsidRPr="00886C32">
                <w:rPr>
                  <w:rStyle w:val="Hyperlink"/>
                  <w:rFonts w:ascii="Arial" w:hAnsi="Arial"/>
                  <w:lang w:val="fr-CA"/>
                </w:rPr>
                <w:t>’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échange </w:t>
              </w:r>
              <w:proofErr w:type="spellStart"/>
              <w:r w:rsidRPr="00886C32">
                <w:rPr>
                  <w:rStyle w:val="Hyperlink"/>
                  <w:rFonts w:ascii="Arial" w:hAnsi="Arial"/>
                  <w:lang w:val="fr-CA"/>
                </w:rPr>
                <w:t>interhospitalier</w:t>
              </w:r>
              <w:proofErr w:type="spellEnd"/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 - transport de </w:t>
              </w:r>
              <w:r w:rsidR="001E0921" w:rsidRPr="00886C32">
                <w:rPr>
                  <w:rStyle w:val="Hyperlink"/>
                  <w:rFonts w:ascii="Arial" w:hAnsi="Arial"/>
                  <w:lang w:val="fr-CA"/>
                </w:rPr>
                <w:t>composant/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>produit sanguin avec le patient.</w:t>
              </w:r>
            </w:hyperlink>
          </w:p>
          <w:p w:rsidR="00C344BD" w:rsidRPr="00C344B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6.6.1</w:t>
            </w:r>
          </w:p>
        </w:tc>
        <w:tc>
          <w:tcPr>
            <w:tcW w:w="6333" w:type="dxa"/>
            <w:gridSpan w:val="3"/>
          </w:tcPr>
          <w:p w:rsidR="00C344BD" w:rsidRPr="00C344BD" w:rsidRDefault="002A5E0D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Inscrire autant de données que possible sur le patient. </w:t>
            </w:r>
          </w:p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6.7</w:t>
            </w:r>
          </w:p>
        </w:tc>
        <w:tc>
          <w:tcPr>
            <w:tcW w:w="7168" w:type="dxa"/>
            <w:gridSpan w:val="4"/>
          </w:tcPr>
          <w:p w:rsidR="00C344BD" w:rsidRPr="00C344BD" w:rsidRDefault="00C344BD" w:rsidP="00A872F2">
            <w:p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Remplir G</w:t>
            </w:r>
            <w:r w:rsidR="00A872F2">
              <w:rPr>
                <w:rFonts w:ascii="Arial" w:hAnsi="Arial"/>
                <w:lang w:val="fr-CA"/>
              </w:rPr>
              <w:t>S</w:t>
            </w:r>
            <w:r w:rsidRPr="00C344BD">
              <w:rPr>
                <w:rFonts w:ascii="Arial" w:hAnsi="Arial"/>
                <w:lang w:val="fr-CA"/>
              </w:rPr>
              <w:t xml:space="preserve">.007F2 qui servira d’étiquette à la boîte d’expédition. </w:t>
            </w: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6.8</w:t>
            </w:r>
          </w:p>
        </w:tc>
        <w:tc>
          <w:tcPr>
            <w:tcW w:w="7168" w:type="dxa"/>
            <w:gridSpan w:val="4"/>
          </w:tcPr>
          <w:p w:rsidR="00C344BD" w:rsidRPr="00C344BD" w:rsidRDefault="00C344BD" w:rsidP="00F90032">
            <w:p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Documenter la mise en circulation des produits sanguins</w:t>
            </w:r>
            <w:r w:rsidR="00570BAD">
              <w:rPr>
                <w:rFonts w:ascii="Arial" w:hAnsi="Arial"/>
                <w:color w:val="000000"/>
                <w:lang w:val="fr-CA"/>
              </w:rPr>
              <w:t xml:space="preserve">. 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Voir </w:t>
            </w:r>
            <w:hyperlink r:id="rId13" w:history="1">
              <w:r w:rsidRPr="00886C32">
                <w:rPr>
                  <w:rStyle w:val="Hyperlink"/>
                  <w:rFonts w:ascii="Arial" w:hAnsi="Arial"/>
                  <w:lang w:val="fr-CA"/>
                </w:rPr>
                <w:t>G</w:t>
              </w:r>
              <w:r w:rsidR="00A872F2" w:rsidRPr="00886C32">
                <w:rPr>
                  <w:rStyle w:val="Hyperlink"/>
                  <w:rFonts w:ascii="Arial" w:hAnsi="Arial"/>
                  <w:lang w:val="fr-CA"/>
                </w:rPr>
                <w:t>S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>.004 - Mise en circulation manuelle de composants sanguins et d</w:t>
              </w:r>
              <w:r w:rsidR="001E0921" w:rsidRPr="00886C32">
                <w:rPr>
                  <w:rStyle w:val="Hyperlink"/>
                  <w:rFonts w:ascii="Arial" w:hAnsi="Arial"/>
                  <w:lang w:val="fr-CA"/>
                </w:rPr>
                <w:t>e produits de protéines plasmatiques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 en se servant du registre de mise en circulation /</w:t>
              </w:r>
              <w:r w:rsidR="00950A90" w:rsidRPr="00886C32">
                <w:rPr>
                  <w:rStyle w:val="Hyperlink"/>
                  <w:rFonts w:ascii="Arial" w:hAnsi="Arial"/>
                  <w:lang w:val="fr-CA"/>
                </w:rPr>
                <w:t xml:space="preserve"> 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>de transfusion de produit</w:t>
              </w:r>
              <w:r w:rsidR="00950A90" w:rsidRPr="00886C32">
                <w:rPr>
                  <w:rStyle w:val="Hyperlink"/>
                  <w:rFonts w:ascii="Arial" w:hAnsi="Arial"/>
                  <w:lang w:val="fr-CA"/>
                </w:rPr>
                <w:t>s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 xml:space="preserve"> sanguins.</w:t>
              </w:r>
            </w:hyperlink>
          </w:p>
          <w:p w:rsidR="00C344BD" w:rsidRPr="00182C2B" w:rsidRDefault="00C344BD">
            <w:pPr>
              <w:rPr>
                <w:rFonts w:ascii="Arial" w:hAnsi="Arial"/>
                <w:sz w:val="16"/>
                <w:szCs w:val="16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6.9</w:t>
            </w:r>
          </w:p>
        </w:tc>
        <w:tc>
          <w:tcPr>
            <w:tcW w:w="7168" w:type="dxa"/>
            <w:gridSpan w:val="4"/>
          </w:tcPr>
          <w:p w:rsidR="00C344BD" w:rsidRPr="003B10C0" w:rsidRDefault="002A5E0D">
            <w:pPr>
              <w:rPr>
                <w:rFonts w:ascii="Arial" w:hAnsi="Arial"/>
                <w:color w:val="000000"/>
                <w:lang w:val="fr-CA"/>
              </w:rPr>
            </w:pPr>
            <w:r w:rsidRPr="003B10C0">
              <w:rPr>
                <w:rFonts w:ascii="Arial" w:hAnsi="Arial"/>
                <w:color w:val="000000"/>
                <w:lang w:val="fr-CA"/>
              </w:rPr>
              <w:t xml:space="preserve">Emballer les </w:t>
            </w:r>
            <w:r w:rsidR="00A77794">
              <w:rPr>
                <w:rFonts w:ascii="Arial" w:hAnsi="Arial"/>
                <w:color w:val="000000"/>
                <w:lang w:val="fr-CA"/>
              </w:rPr>
              <w:t>composants</w:t>
            </w:r>
            <w:r w:rsidRPr="003B10C0">
              <w:rPr>
                <w:rFonts w:ascii="Arial" w:hAnsi="Arial"/>
                <w:color w:val="000000"/>
                <w:lang w:val="fr-CA"/>
              </w:rPr>
              <w:t xml:space="preserve"> sanguins pour le transport conformément à la procédure </w:t>
            </w:r>
            <w:hyperlink r:id="rId14" w:history="1">
              <w:r w:rsidRPr="00886C32">
                <w:rPr>
                  <w:rStyle w:val="Hyperlink"/>
                  <w:rFonts w:ascii="Arial" w:hAnsi="Arial"/>
                  <w:lang w:val="fr-CA"/>
                </w:rPr>
                <w:t>G</w:t>
              </w:r>
              <w:r w:rsidR="00A872F2" w:rsidRPr="00886C32">
                <w:rPr>
                  <w:rStyle w:val="Hyperlink"/>
                  <w:rFonts w:ascii="Arial" w:hAnsi="Arial"/>
                  <w:lang w:val="fr-CA"/>
                </w:rPr>
                <w:t>S</w:t>
              </w:r>
              <w:r w:rsidR="00C344BD" w:rsidRPr="00886C32">
                <w:rPr>
                  <w:rStyle w:val="Hyperlink"/>
                  <w:rFonts w:ascii="Arial" w:hAnsi="Arial"/>
                  <w:lang w:val="fr-CA"/>
                </w:rPr>
                <w:t xml:space="preserve">.006 – </w:t>
              </w:r>
              <w:r w:rsidRPr="00886C32">
                <w:rPr>
                  <w:rStyle w:val="Hyperlink"/>
                  <w:rFonts w:ascii="Arial" w:hAnsi="Arial"/>
                  <w:lang w:val="fr-CA"/>
                </w:rPr>
                <w:t>Expédition de</w:t>
              </w:r>
              <w:r w:rsidR="001E0921" w:rsidRPr="00886C32">
                <w:rPr>
                  <w:rStyle w:val="Hyperlink"/>
                  <w:rFonts w:ascii="Arial" w:hAnsi="Arial"/>
                  <w:lang w:val="fr-CA"/>
                </w:rPr>
                <w:t xml:space="preserve"> </w:t>
              </w:r>
              <w:r w:rsidR="003B10C0" w:rsidRPr="00886C32">
                <w:rPr>
                  <w:rStyle w:val="Hyperlink"/>
                  <w:rFonts w:ascii="Arial" w:hAnsi="Arial"/>
                  <w:lang w:val="fr-CA"/>
                </w:rPr>
                <w:t>composants</w:t>
              </w:r>
              <w:r w:rsidR="001E0921" w:rsidRPr="00886C32">
                <w:rPr>
                  <w:rStyle w:val="Hyperlink"/>
                  <w:rFonts w:ascii="Arial" w:hAnsi="Arial"/>
                  <w:lang w:val="fr-CA"/>
                </w:rPr>
                <w:t>/produits</w:t>
              </w:r>
              <w:r w:rsidR="003B10C0" w:rsidRPr="00886C32">
                <w:rPr>
                  <w:rStyle w:val="Hyperlink"/>
                  <w:rFonts w:ascii="Arial" w:hAnsi="Arial"/>
                  <w:lang w:val="fr-CA"/>
                </w:rPr>
                <w:t xml:space="preserve"> sanguins </w:t>
              </w:r>
              <w:r w:rsidR="00A77794" w:rsidRPr="00886C32">
                <w:rPr>
                  <w:rStyle w:val="Hyperlink"/>
                  <w:rFonts w:ascii="Arial" w:hAnsi="Arial"/>
                  <w:lang w:val="fr-CA"/>
                </w:rPr>
                <w:t>dans des contenants J82/E38</w:t>
              </w:r>
              <w:r w:rsidR="00C344BD" w:rsidRPr="00886C32">
                <w:rPr>
                  <w:rStyle w:val="Hyperlink"/>
                  <w:rFonts w:ascii="Arial" w:hAnsi="Arial"/>
                  <w:lang w:val="fr-CA"/>
                </w:rPr>
                <w:t>.</w:t>
              </w:r>
            </w:hyperlink>
          </w:p>
          <w:p w:rsidR="00C344BD" w:rsidRPr="003B10C0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  <w:gridSpan w:val="2"/>
          </w:tcPr>
          <w:p w:rsidR="00C344BD" w:rsidRDefault="00C344B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6.9.1</w:t>
            </w:r>
          </w:p>
          <w:p w:rsidR="00A77794" w:rsidRDefault="00A77794" w:rsidP="00A77794">
            <w:pPr>
              <w:rPr>
                <w:lang w:val="fr-CA"/>
              </w:rPr>
            </w:pPr>
          </w:p>
          <w:p w:rsidR="00A77794" w:rsidRDefault="00A77794" w:rsidP="00A77794">
            <w:pPr>
              <w:rPr>
                <w:lang w:val="fr-CA"/>
              </w:rPr>
            </w:pPr>
          </w:p>
          <w:p w:rsidR="00A77794" w:rsidRPr="00A77794" w:rsidRDefault="00A77794" w:rsidP="00A77794">
            <w:pPr>
              <w:rPr>
                <w:rFonts w:ascii="Arial" w:hAnsi="Arial" w:cs="Arial"/>
                <w:lang w:val="fr-CA"/>
              </w:rPr>
            </w:pPr>
            <w:r w:rsidRPr="00A77794">
              <w:rPr>
                <w:rFonts w:ascii="Arial" w:hAnsi="Arial" w:cs="Arial"/>
                <w:lang w:val="fr-CA"/>
              </w:rPr>
              <w:t>6.9.2</w:t>
            </w:r>
          </w:p>
        </w:tc>
        <w:tc>
          <w:tcPr>
            <w:tcW w:w="6300" w:type="dxa"/>
            <w:gridSpan w:val="2"/>
          </w:tcPr>
          <w:p w:rsidR="00A77794" w:rsidRDefault="00A77794" w:rsidP="00A77794">
            <w:pPr>
              <w:rPr>
                <w:rFonts w:ascii="Arial" w:hAnsi="Arial"/>
                <w:color w:val="000000"/>
                <w:lang w:val="fr-CA"/>
              </w:rPr>
            </w:pPr>
            <w:proofErr w:type="gramStart"/>
            <w:r>
              <w:rPr>
                <w:rFonts w:ascii="Arial" w:hAnsi="Arial"/>
                <w:color w:val="000000"/>
                <w:lang w:val="fr-CA"/>
              </w:rPr>
              <w:t xml:space="preserve">Placer </w:t>
            </w:r>
            <w:r w:rsidR="003B10C0" w:rsidRPr="003B10C0">
              <w:rPr>
                <w:rFonts w:ascii="Arial" w:hAnsi="Arial"/>
                <w:color w:val="000000"/>
                <w:lang w:val="fr-CA"/>
              </w:rPr>
              <w:t xml:space="preserve"> le</w:t>
            </w:r>
            <w:proofErr w:type="gramEnd"/>
            <w:r w:rsidR="003B10C0" w:rsidRPr="003B10C0">
              <w:rPr>
                <w:rFonts w:ascii="Arial" w:hAnsi="Arial"/>
                <w:color w:val="000000"/>
                <w:lang w:val="fr-CA"/>
              </w:rPr>
              <w:t xml:space="preserve"> </w:t>
            </w:r>
            <w:r>
              <w:rPr>
                <w:rFonts w:ascii="Arial" w:hAnsi="Arial"/>
                <w:color w:val="000000"/>
                <w:lang w:val="fr-CA"/>
              </w:rPr>
              <w:t>formulaire GS.007F1</w:t>
            </w:r>
            <w:r w:rsidR="00CF1E79">
              <w:rPr>
                <w:rFonts w:ascii="Arial" w:hAnsi="Arial"/>
                <w:color w:val="000000"/>
                <w:lang w:val="fr-CA"/>
              </w:rPr>
              <w:t>-</w:t>
            </w:r>
            <w:r w:rsidRPr="005C2B72">
              <w:rPr>
                <w:rFonts w:ascii="Arial" w:hAnsi="Arial" w:cs="Arial"/>
                <w:lang w:val="fr-CA"/>
              </w:rPr>
              <w:t xml:space="preserve"> </w:t>
            </w:r>
            <w:r w:rsidRPr="005C2B72">
              <w:rPr>
                <w:rFonts w:ascii="Arial" w:hAnsi="Arial"/>
                <w:color w:val="000000"/>
                <w:lang w:val="fr-CA"/>
              </w:rPr>
              <w:t xml:space="preserve">Formulaire d’échange </w:t>
            </w:r>
            <w:proofErr w:type="spellStart"/>
            <w:r w:rsidRPr="005C2B72">
              <w:rPr>
                <w:rFonts w:ascii="Arial" w:hAnsi="Arial"/>
                <w:color w:val="000000"/>
                <w:lang w:val="fr-CA"/>
              </w:rPr>
              <w:t>interhospitalier</w:t>
            </w:r>
            <w:proofErr w:type="spellEnd"/>
            <w:r w:rsidRPr="005C2B72">
              <w:rPr>
                <w:rFonts w:ascii="Arial" w:hAnsi="Arial"/>
                <w:color w:val="000000"/>
                <w:lang w:val="fr-CA"/>
              </w:rPr>
              <w:t xml:space="preserve"> - transport de composant/produit sanguin avec le patient</w:t>
            </w:r>
            <w:r>
              <w:rPr>
                <w:rFonts w:ascii="Arial" w:hAnsi="Arial"/>
                <w:color w:val="000000"/>
                <w:lang w:val="fr-CA"/>
              </w:rPr>
              <w:t xml:space="preserve"> dans le contenant d’expédition</w:t>
            </w:r>
            <w:r w:rsidRPr="003B10C0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C344BD" w:rsidRDefault="00A77794" w:rsidP="00A77794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Étiqueter le contenant d’expédition avec le do</w:t>
            </w:r>
            <w:r w:rsidR="003B10C0" w:rsidRPr="003B10C0">
              <w:rPr>
                <w:rFonts w:ascii="Arial" w:hAnsi="Arial"/>
                <w:color w:val="000000"/>
                <w:lang w:val="fr-CA"/>
              </w:rPr>
              <w:t>cument G</w:t>
            </w:r>
            <w:r w:rsidR="00A872F2">
              <w:rPr>
                <w:rFonts w:ascii="Arial" w:hAnsi="Arial"/>
                <w:color w:val="000000"/>
                <w:lang w:val="fr-CA"/>
              </w:rPr>
              <w:t>S</w:t>
            </w:r>
            <w:r w:rsidR="00C344BD" w:rsidRPr="003B10C0">
              <w:rPr>
                <w:rFonts w:ascii="Arial" w:hAnsi="Arial"/>
                <w:color w:val="000000"/>
                <w:lang w:val="fr-CA"/>
              </w:rPr>
              <w:t>.007F2.</w:t>
            </w:r>
          </w:p>
          <w:p w:rsidR="00CF1E79" w:rsidRPr="003B10C0" w:rsidRDefault="00CF1E79" w:rsidP="00A7779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6.10</w:t>
            </w:r>
          </w:p>
        </w:tc>
        <w:tc>
          <w:tcPr>
            <w:tcW w:w="7168" w:type="dxa"/>
            <w:gridSpan w:val="4"/>
          </w:tcPr>
          <w:p w:rsidR="00C344BD" w:rsidRPr="003B10C0" w:rsidRDefault="003B10C0">
            <w:pPr>
              <w:rPr>
                <w:rFonts w:ascii="Arial" w:hAnsi="Arial"/>
                <w:color w:val="000000"/>
                <w:lang w:val="fr-CA"/>
              </w:rPr>
            </w:pPr>
            <w:r w:rsidRPr="003B10C0">
              <w:rPr>
                <w:rFonts w:ascii="Arial" w:hAnsi="Arial"/>
                <w:color w:val="000000"/>
                <w:lang w:val="fr-CA"/>
              </w:rPr>
              <w:t xml:space="preserve">Communiquer avec le personnel assurant le </w:t>
            </w:r>
            <w:r w:rsidR="00C344BD" w:rsidRPr="003B10C0">
              <w:rPr>
                <w:rFonts w:ascii="Arial" w:hAnsi="Arial"/>
                <w:color w:val="000000"/>
                <w:lang w:val="fr-CA"/>
              </w:rPr>
              <w:t xml:space="preserve">transport </w:t>
            </w:r>
            <w:r w:rsidRPr="003B10C0">
              <w:rPr>
                <w:rFonts w:ascii="Arial" w:hAnsi="Arial"/>
                <w:color w:val="000000"/>
                <w:lang w:val="fr-CA"/>
              </w:rPr>
              <w:t>pour organiser la prise en charge d</w:t>
            </w:r>
            <w:r w:rsidR="00A77794">
              <w:rPr>
                <w:rFonts w:ascii="Arial" w:hAnsi="Arial"/>
                <w:color w:val="000000"/>
                <w:lang w:val="fr-CA"/>
              </w:rPr>
              <w:t>u contenant d’expédition</w:t>
            </w:r>
            <w:r w:rsidR="00C344BD" w:rsidRPr="003B10C0">
              <w:rPr>
                <w:rFonts w:ascii="Arial" w:hAnsi="Arial"/>
                <w:color w:val="000000"/>
                <w:lang w:val="fr-CA"/>
              </w:rPr>
              <w:t>.</w:t>
            </w:r>
          </w:p>
          <w:p w:rsidR="00C344BD" w:rsidRPr="003B10C0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3B10C0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3B10C0">
              <w:rPr>
                <w:rFonts w:ascii="Arial" w:hAnsi="Arial"/>
                <w:color w:val="000000"/>
                <w:lang w:val="fr-CA"/>
              </w:rPr>
              <w:t>6.11</w:t>
            </w:r>
          </w:p>
        </w:tc>
        <w:tc>
          <w:tcPr>
            <w:tcW w:w="7168" w:type="dxa"/>
            <w:gridSpan w:val="4"/>
          </w:tcPr>
          <w:p w:rsidR="00C344BD" w:rsidRPr="003B10C0" w:rsidRDefault="003B10C0">
            <w:pPr>
              <w:rPr>
                <w:rFonts w:ascii="Arial" w:hAnsi="Arial"/>
                <w:color w:val="000000"/>
                <w:lang w:val="fr-CA"/>
              </w:rPr>
            </w:pPr>
            <w:r w:rsidRPr="003B10C0">
              <w:rPr>
                <w:rFonts w:ascii="Arial" w:hAnsi="Arial"/>
                <w:color w:val="000000"/>
                <w:lang w:val="fr-CA"/>
              </w:rPr>
              <w:t xml:space="preserve">Si l’établissement de destination est connu, communiquer avec le Service transfusionnel pour les aviser du transport des composants 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ou produits </w:t>
            </w:r>
            <w:r w:rsidRPr="003B10C0">
              <w:rPr>
                <w:rFonts w:ascii="Arial" w:hAnsi="Arial"/>
                <w:color w:val="000000"/>
                <w:lang w:val="fr-CA"/>
              </w:rPr>
              <w:t xml:space="preserve">sanguins et y télécopier le </w:t>
            </w:r>
            <w:r w:rsidR="00243772">
              <w:rPr>
                <w:rFonts w:ascii="Arial" w:hAnsi="Arial"/>
                <w:color w:val="000000"/>
                <w:lang w:val="fr-CA"/>
              </w:rPr>
              <w:t>formulaire</w:t>
            </w:r>
            <w:r w:rsidRPr="003B10C0">
              <w:rPr>
                <w:rFonts w:ascii="Arial" w:hAnsi="Arial"/>
                <w:color w:val="000000"/>
                <w:lang w:val="fr-CA"/>
              </w:rPr>
              <w:t xml:space="preserve"> d’échange </w:t>
            </w:r>
            <w:proofErr w:type="spellStart"/>
            <w:r w:rsidRPr="003B10C0">
              <w:rPr>
                <w:rFonts w:ascii="Arial" w:hAnsi="Arial"/>
                <w:color w:val="000000"/>
                <w:lang w:val="fr-CA"/>
              </w:rPr>
              <w:t>interhospitalier</w:t>
            </w:r>
            <w:proofErr w:type="spellEnd"/>
            <w:r w:rsidR="00950A90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C344BD" w:rsidRPr="003B10C0">
              <w:rPr>
                <w:rFonts w:ascii="Arial" w:hAnsi="Arial"/>
                <w:color w:val="000000"/>
                <w:lang w:val="fr-CA"/>
              </w:rPr>
              <w:t>(</w:t>
            </w:r>
            <w:r w:rsidRPr="003B10C0">
              <w:rPr>
                <w:rFonts w:ascii="Arial" w:hAnsi="Arial"/>
                <w:color w:val="000000"/>
                <w:lang w:val="fr-CA"/>
              </w:rPr>
              <w:t>G</w:t>
            </w:r>
            <w:r w:rsidR="00A872F2">
              <w:rPr>
                <w:rFonts w:ascii="Arial" w:hAnsi="Arial"/>
                <w:color w:val="000000"/>
                <w:lang w:val="fr-CA"/>
              </w:rPr>
              <w:t>S</w:t>
            </w:r>
            <w:r w:rsidR="00C344BD" w:rsidRPr="003B10C0">
              <w:rPr>
                <w:rFonts w:ascii="Arial" w:hAnsi="Arial"/>
                <w:color w:val="000000"/>
                <w:lang w:val="fr-CA"/>
              </w:rPr>
              <w:t>.007F1).</w:t>
            </w:r>
          </w:p>
          <w:p w:rsidR="00C344BD" w:rsidRPr="003B10C0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838" w:type="dxa"/>
            <w:gridSpan w:val="7"/>
          </w:tcPr>
          <w:p w:rsidR="00C344BD" w:rsidRPr="00C344BD" w:rsidRDefault="00C344BD" w:rsidP="00C344BD">
            <w:pPr>
              <w:pStyle w:val="Heading1"/>
            </w:pPr>
            <w:r w:rsidRPr="00C344BD">
              <w:t>Documentation</w:t>
            </w: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3B10C0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3B10C0">
              <w:rPr>
                <w:rFonts w:ascii="Arial" w:hAnsi="Arial"/>
                <w:color w:val="000000"/>
                <w:lang w:val="fr-CA"/>
              </w:rPr>
              <w:t>7.1</w:t>
            </w:r>
          </w:p>
        </w:tc>
        <w:tc>
          <w:tcPr>
            <w:tcW w:w="7168" w:type="dxa"/>
            <w:gridSpan w:val="4"/>
          </w:tcPr>
          <w:p w:rsidR="00C344BD" w:rsidRPr="003B10C0" w:rsidRDefault="003B10C0">
            <w:pPr>
              <w:rPr>
                <w:rFonts w:ascii="Arial" w:hAnsi="Arial"/>
                <w:color w:val="000000"/>
                <w:lang w:val="fr-CA"/>
              </w:rPr>
            </w:pPr>
            <w:r w:rsidRPr="003B10C0">
              <w:rPr>
                <w:rFonts w:ascii="Arial" w:hAnsi="Arial"/>
                <w:color w:val="000000"/>
                <w:lang w:val="fr-CA"/>
              </w:rPr>
              <w:t xml:space="preserve">L’établissement expéditeur doit remplir le formulaire d’échange </w:t>
            </w:r>
            <w:proofErr w:type="spellStart"/>
            <w:r w:rsidRPr="003B10C0">
              <w:rPr>
                <w:rFonts w:ascii="Arial" w:hAnsi="Arial"/>
                <w:color w:val="000000"/>
                <w:lang w:val="fr-CA"/>
              </w:rPr>
              <w:t>interhospitalier</w:t>
            </w:r>
            <w:proofErr w:type="spellEnd"/>
            <w:r w:rsidRPr="003B10C0">
              <w:rPr>
                <w:rFonts w:ascii="Arial" w:hAnsi="Arial"/>
                <w:color w:val="000000"/>
                <w:lang w:val="fr-CA"/>
              </w:rPr>
              <w:t xml:space="preserve"> (G</w:t>
            </w:r>
            <w:r w:rsidR="00A872F2">
              <w:rPr>
                <w:rFonts w:ascii="Arial" w:hAnsi="Arial"/>
                <w:color w:val="000000"/>
                <w:lang w:val="fr-CA"/>
              </w:rPr>
              <w:t>S</w:t>
            </w:r>
            <w:r w:rsidR="00C344BD" w:rsidRPr="003B10C0">
              <w:rPr>
                <w:rFonts w:ascii="Arial" w:hAnsi="Arial"/>
                <w:color w:val="000000"/>
                <w:lang w:val="fr-CA"/>
              </w:rPr>
              <w:t xml:space="preserve">.007F1).  </w:t>
            </w:r>
          </w:p>
          <w:p w:rsidR="00C344BD" w:rsidRPr="00182C2B" w:rsidRDefault="00C344BD">
            <w:p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</w:p>
          <w:p w:rsidR="00A77794" w:rsidRPr="00A77794" w:rsidRDefault="003B10C0" w:rsidP="00A77794">
            <w:pPr>
              <w:numPr>
                <w:ilvl w:val="0"/>
                <w:numId w:val="8"/>
              </w:num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  <w:r w:rsidRPr="00A77794">
              <w:rPr>
                <w:rFonts w:ascii="Arial" w:hAnsi="Arial"/>
                <w:color w:val="000000"/>
                <w:lang w:val="fr-CA"/>
              </w:rPr>
              <w:t>Garder une copie de ce formulaire.</w:t>
            </w:r>
          </w:p>
          <w:p w:rsidR="00A77794" w:rsidRPr="00A77794" w:rsidRDefault="00A77794" w:rsidP="00A77794">
            <w:pPr>
              <w:numPr>
                <w:ilvl w:val="0"/>
                <w:numId w:val="8"/>
              </w:num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Communiquer avec le Service transfusionnel destinataire</w:t>
            </w:r>
          </w:p>
          <w:p w:rsidR="00A77794" w:rsidRPr="00182C2B" w:rsidRDefault="00A77794" w:rsidP="00A77794">
            <w:pPr>
              <w:numPr>
                <w:ilvl w:val="0"/>
                <w:numId w:val="8"/>
              </w:num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Télécopier le formulaire d’échange </w:t>
            </w:r>
            <w:proofErr w:type="spellStart"/>
            <w:r>
              <w:rPr>
                <w:rFonts w:ascii="Arial" w:hAnsi="Arial"/>
                <w:color w:val="000000"/>
                <w:lang w:val="fr-CA"/>
              </w:rPr>
              <w:t>interhospitalier</w:t>
            </w:r>
            <w:proofErr w:type="spellEnd"/>
            <w:r>
              <w:rPr>
                <w:rFonts w:ascii="Arial" w:hAnsi="Arial"/>
                <w:color w:val="000000"/>
                <w:lang w:val="fr-CA"/>
              </w:rPr>
              <w:t xml:space="preserve"> GS.007F1 </w:t>
            </w:r>
            <w:r w:rsidR="00CF1E79">
              <w:rPr>
                <w:rFonts w:ascii="Arial" w:hAnsi="Arial"/>
                <w:color w:val="000000"/>
                <w:lang w:val="fr-CA"/>
              </w:rPr>
              <w:t>à l’établissement destinataire</w:t>
            </w:r>
            <w:r>
              <w:rPr>
                <w:rFonts w:ascii="Arial" w:hAnsi="Arial"/>
                <w:color w:val="000000"/>
                <w:lang w:val="fr-CA"/>
              </w:rPr>
              <w:t xml:space="preserve">- </w:t>
            </w: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C344BD">
              <w:rPr>
                <w:rFonts w:ascii="Arial" w:hAnsi="Arial"/>
                <w:lang w:val="fr-CA"/>
              </w:rPr>
              <w:t>7.2</w:t>
            </w:r>
          </w:p>
        </w:tc>
        <w:tc>
          <w:tcPr>
            <w:tcW w:w="7168" w:type="dxa"/>
            <w:gridSpan w:val="4"/>
          </w:tcPr>
          <w:p w:rsidR="00C344BD" w:rsidRPr="00C344BD" w:rsidRDefault="003B10C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L’établissement destinataire reçoit le formulaire G</w:t>
            </w:r>
            <w:r w:rsidR="00A872F2">
              <w:rPr>
                <w:rFonts w:ascii="Arial" w:hAnsi="Arial"/>
                <w:color w:val="000000"/>
                <w:lang w:val="fr-CA"/>
              </w:rPr>
              <w:t>S</w:t>
            </w:r>
            <w:r w:rsidR="00C344BD" w:rsidRPr="00C344BD">
              <w:rPr>
                <w:rFonts w:ascii="Arial" w:hAnsi="Arial"/>
                <w:color w:val="000000"/>
                <w:lang w:val="fr-CA"/>
              </w:rPr>
              <w:t xml:space="preserve">.007F1 </w:t>
            </w:r>
            <w:r>
              <w:rPr>
                <w:rFonts w:ascii="Arial" w:hAnsi="Arial"/>
                <w:color w:val="000000"/>
                <w:lang w:val="fr-CA"/>
              </w:rPr>
              <w:t xml:space="preserve">avec ou sans les produits sanguins : </w:t>
            </w:r>
          </w:p>
          <w:p w:rsidR="00C344BD" w:rsidRPr="00182C2B" w:rsidRDefault="00C344BD">
            <w:p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</w:p>
          <w:p w:rsidR="00C344BD" w:rsidRPr="00C344BD" w:rsidRDefault="003B10C0">
            <w:pPr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Si les unités ont été transfusées pendant le trajet, noter les données transfusionnelles sur le formulaire</w:t>
            </w:r>
          </w:p>
          <w:p w:rsidR="00C344BD" w:rsidRPr="00182C2B" w:rsidRDefault="00C344BD">
            <w:pPr>
              <w:ind w:left="360"/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</w:p>
          <w:p w:rsidR="00C344BD" w:rsidRPr="00C344BD" w:rsidRDefault="00C344BD" w:rsidP="00F90032">
            <w:pPr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Si le nombre de produits reçus ne correspond pas au nombre de produits envoyés,</w:t>
            </w:r>
            <w:r w:rsidR="003B10C0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C344BD">
              <w:rPr>
                <w:rFonts w:ascii="Arial" w:hAnsi="Arial"/>
                <w:color w:val="000000"/>
                <w:lang w:val="fr-CA"/>
              </w:rPr>
              <w:t xml:space="preserve">inscrire sur le formulaire les données des 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composants ou </w:t>
            </w:r>
            <w:r w:rsidRPr="00C344BD">
              <w:rPr>
                <w:rFonts w:ascii="Arial" w:hAnsi="Arial"/>
                <w:color w:val="000000"/>
                <w:lang w:val="fr-CA"/>
              </w:rPr>
              <w:t>produits manquants</w:t>
            </w:r>
          </w:p>
          <w:p w:rsidR="00C344BD" w:rsidRPr="00182C2B" w:rsidRDefault="00C344BD">
            <w:p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</w:p>
          <w:p w:rsidR="00386700" w:rsidRDefault="00C344BD" w:rsidP="00386700">
            <w:pPr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Si parmi les unités qui ont été envoyées, certaines n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>ont pas été reçues et n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>ont pas été inscrites comme ayant été transfusées, examiner les dossiers médicaux pour déterminer si l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Pr="00C344BD">
              <w:rPr>
                <w:rFonts w:ascii="Arial" w:hAnsi="Arial"/>
                <w:color w:val="000000"/>
                <w:lang w:val="fr-CA"/>
              </w:rPr>
              <w:t>unité ou les unités ont été transfusées.</w:t>
            </w:r>
            <w:r w:rsidR="00A77794">
              <w:rPr>
                <w:rFonts w:ascii="Arial" w:hAnsi="Arial"/>
                <w:color w:val="000000"/>
                <w:lang w:val="fr-CA"/>
              </w:rPr>
              <w:t xml:space="preserve"> Faire un suivi avec l’établissement expéditeur, le service de transport</w:t>
            </w:r>
            <w:r w:rsidR="00A77794" w:rsidRPr="00AC7666">
              <w:rPr>
                <w:rFonts w:ascii="Arial" w:hAnsi="Arial"/>
                <w:color w:val="000000"/>
                <w:lang w:val="fr-CA"/>
              </w:rPr>
              <w:t>, O</w:t>
            </w:r>
            <w:r w:rsidR="00370543" w:rsidRPr="00AC7666">
              <w:rPr>
                <w:rFonts w:ascii="Arial" w:hAnsi="Arial"/>
                <w:color w:val="000000"/>
                <w:lang w:val="fr-CA"/>
              </w:rPr>
              <w:t>RNGE</w:t>
            </w:r>
            <w:r w:rsidR="00386700" w:rsidRPr="00AC7666">
              <w:rPr>
                <w:rFonts w:ascii="Arial" w:hAnsi="Arial"/>
                <w:color w:val="000000"/>
                <w:lang w:val="fr-CA"/>
              </w:rPr>
              <w:t xml:space="preserve"> et</w:t>
            </w:r>
            <w:r w:rsidR="00386700">
              <w:rPr>
                <w:rFonts w:ascii="Arial" w:hAnsi="Arial"/>
                <w:color w:val="000000"/>
                <w:lang w:val="fr-CA"/>
              </w:rPr>
              <w:t xml:space="preserve"> l’unité de soins où se trouve le patient.</w:t>
            </w:r>
          </w:p>
          <w:p w:rsidR="00386700" w:rsidRDefault="00386700" w:rsidP="00386700">
            <w:pPr>
              <w:ind w:left="720"/>
              <w:rPr>
                <w:rFonts w:ascii="Arial" w:hAnsi="Arial"/>
                <w:color w:val="000000"/>
                <w:lang w:val="fr-CA"/>
              </w:rPr>
            </w:pPr>
          </w:p>
          <w:p w:rsidR="00386700" w:rsidRDefault="00386700" w:rsidP="00386700">
            <w:pPr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L’établissement expéditeur est responsable de la disposition finale du produit.</w:t>
            </w:r>
            <w:r>
              <w:rPr>
                <w:rFonts w:ascii="Arial" w:hAnsi="Arial"/>
                <w:color w:val="000000"/>
                <w:lang w:val="fr-CA"/>
              </w:rPr>
              <w:br/>
            </w:r>
          </w:p>
          <w:p w:rsidR="00A872F2" w:rsidRPr="00C344BD" w:rsidRDefault="00A872F2" w:rsidP="00386700">
            <w:pPr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Autrement, on doit « présumer » que les</w:t>
            </w:r>
            <w:r>
              <w:rPr>
                <w:rFonts w:ascii="Arial" w:hAnsi="Arial"/>
                <w:color w:val="000000"/>
                <w:lang w:val="fr-CA"/>
              </w:rPr>
              <w:t xml:space="preserve"> produits ont été transfusés</w:t>
            </w:r>
            <w:r w:rsidR="00570BAD">
              <w:rPr>
                <w:rFonts w:ascii="Arial" w:hAnsi="Arial"/>
                <w:color w:val="000000"/>
                <w:lang w:val="fr-CA"/>
              </w:rPr>
              <w:t xml:space="preserve">. </w:t>
            </w:r>
            <w:r>
              <w:rPr>
                <w:rFonts w:ascii="Arial" w:hAnsi="Arial"/>
                <w:color w:val="000000"/>
                <w:lang w:val="fr-CA"/>
              </w:rPr>
              <w:t>D</w:t>
            </w:r>
            <w:r w:rsidRPr="00C344BD">
              <w:rPr>
                <w:rFonts w:ascii="Arial" w:hAnsi="Arial"/>
                <w:color w:val="000000"/>
                <w:lang w:val="fr-CA"/>
              </w:rPr>
              <w:t>ans une telle situation, inscrire les unités non comptabilisées dans la colonne des transfusions en cours de route, comme ayant été « transfusées ».</w:t>
            </w:r>
          </w:p>
          <w:p w:rsidR="00C344BD" w:rsidRPr="00C344BD" w:rsidRDefault="00C344BD" w:rsidP="00A872F2">
            <w:pPr>
              <w:ind w:left="720"/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C344BD" w:rsidRPr="00C344BD">
        <w:trPr>
          <w:cantSplit/>
        </w:trPr>
        <w:tc>
          <w:tcPr>
            <w:tcW w:w="835" w:type="dxa"/>
          </w:tcPr>
          <w:p w:rsidR="00C344BD" w:rsidRPr="00C344BD" w:rsidRDefault="00C344B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C344BD" w:rsidRPr="00C344BD" w:rsidRDefault="00C344B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7168" w:type="dxa"/>
            <w:gridSpan w:val="4"/>
          </w:tcPr>
          <w:p w:rsidR="00C344BD" w:rsidRPr="00182C2B" w:rsidRDefault="00C344BD">
            <w:p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</w:p>
          <w:p w:rsidR="00C344BD" w:rsidRPr="00C344BD" w:rsidRDefault="00202AFF" w:rsidP="00202AFF">
            <w:pPr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Télécopier le </w:t>
            </w:r>
            <w:r w:rsidR="00C344BD" w:rsidRPr="00C344BD">
              <w:rPr>
                <w:rFonts w:ascii="Arial" w:hAnsi="Arial"/>
                <w:color w:val="000000"/>
                <w:lang w:val="fr-CA"/>
              </w:rPr>
              <w:t>formulaire G</w:t>
            </w:r>
            <w:r w:rsidR="00A872F2">
              <w:rPr>
                <w:rFonts w:ascii="Arial" w:hAnsi="Arial"/>
                <w:color w:val="000000"/>
                <w:lang w:val="fr-CA"/>
              </w:rPr>
              <w:t>S</w:t>
            </w:r>
            <w:r w:rsidR="00C344BD" w:rsidRPr="00C344BD">
              <w:rPr>
                <w:rFonts w:ascii="Arial" w:hAnsi="Arial"/>
                <w:color w:val="000000"/>
                <w:lang w:val="fr-CA"/>
              </w:rPr>
              <w:t xml:space="preserve">.007F1 </w:t>
            </w:r>
            <w:r>
              <w:rPr>
                <w:rFonts w:ascii="Arial" w:hAnsi="Arial"/>
                <w:color w:val="000000"/>
                <w:lang w:val="fr-CA"/>
              </w:rPr>
              <w:t xml:space="preserve">rempli </w:t>
            </w:r>
            <w:r w:rsidR="00C344BD" w:rsidRPr="00C344BD">
              <w:rPr>
                <w:rFonts w:ascii="Arial" w:hAnsi="Arial"/>
                <w:color w:val="000000"/>
                <w:lang w:val="fr-CA"/>
              </w:rPr>
              <w:t>à l</w:t>
            </w:r>
            <w:r w:rsidR="00AD2BBF">
              <w:rPr>
                <w:rFonts w:ascii="Arial" w:hAnsi="Arial"/>
                <w:color w:val="000000"/>
                <w:lang w:val="fr-CA"/>
              </w:rPr>
              <w:t>’</w:t>
            </w:r>
            <w:r w:rsidR="00C344BD" w:rsidRPr="00C344BD">
              <w:rPr>
                <w:rFonts w:ascii="Arial" w:hAnsi="Arial"/>
                <w:color w:val="000000"/>
                <w:lang w:val="fr-CA"/>
              </w:rPr>
              <w:t xml:space="preserve">hôpital </w:t>
            </w:r>
            <w:r w:rsidR="00950A90">
              <w:rPr>
                <w:rFonts w:ascii="Arial" w:hAnsi="Arial"/>
                <w:color w:val="000000"/>
                <w:lang w:val="fr-CA"/>
              </w:rPr>
              <w:t>expéditeur</w:t>
            </w:r>
            <w:r w:rsidR="00C344BD" w:rsidRPr="00C344BD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</w:tbl>
    <w:p w:rsidR="00B333AD" w:rsidRPr="00C344BD" w:rsidRDefault="00B333AD">
      <w:pPr>
        <w:rPr>
          <w:rFonts w:ascii="Arial" w:hAnsi="Arial"/>
          <w:color w:val="000000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7168"/>
      </w:tblGrid>
      <w:tr w:rsidR="00B333AD" w:rsidRPr="00C344BD">
        <w:trPr>
          <w:cantSplit/>
        </w:trPr>
        <w:tc>
          <w:tcPr>
            <w:tcW w:w="8838" w:type="dxa"/>
            <w:gridSpan w:val="3"/>
          </w:tcPr>
          <w:p w:rsidR="00B333AD" w:rsidRPr="00C344BD" w:rsidRDefault="00F90032" w:rsidP="00C344BD">
            <w:pPr>
              <w:pStyle w:val="Heading1"/>
            </w:pPr>
            <w:r w:rsidRPr="00C344BD">
              <w:t>Remarques - S.O.</w:t>
            </w:r>
          </w:p>
        </w:tc>
      </w:tr>
      <w:tr w:rsidR="00B333AD" w:rsidRPr="00C344BD">
        <w:trPr>
          <w:cantSplit/>
        </w:trPr>
        <w:tc>
          <w:tcPr>
            <w:tcW w:w="8838" w:type="dxa"/>
            <w:gridSpan w:val="3"/>
          </w:tcPr>
          <w:p w:rsidR="00B333AD" w:rsidRPr="00C344BD" w:rsidRDefault="00F90032" w:rsidP="00C344BD">
            <w:pPr>
              <w:pStyle w:val="Heading1"/>
            </w:pPr>
            <w:r w:rsidRPr="00C344BD">
              <w:t>Références</w:t>
            </w:r>
          </w:p>
        </w:tc>
      </w:tr>
      <w:tr w:rsidR="00B333AD" w:rsidRPr="00C344BD">
        <w:tc>
          <w:tcPr>
            <w:tcW w:w="835" w:type="dxa"/>
          </w:tcPr>
          <w:p w:rsidR="00B333AD" w:rsidRPr="00C344BD" w:rsidRDefault="00B333A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B333AD" w:rsidRPr="00C344BD" w:rsidRDefault="00B333A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9.1</w:t>
            </w:r>
          </w:p>
        </w:tc>
        <w:tc>
          <w:tcPr>
            <w:tcW w:w="7168" w:type="dxa"/>
          </w:tcPr>
          <w:p w:rsidR="00B333AD" w:rsidRPr="00182C2B" w:rsidRDefault="00950A90" w:rsidP="00386700">
            <w:pPr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  <w:r w:rsidRPr="003E5B06">
              <w:rPr>
                <w:rFonts w:ascii="Arial" w:hAnsi="Arial"/>
                <w:i/>
                <w:lang w:val="fr-CA"/>
              </w:rPr>
              <w:t xml:space="preserve">Standards for Hospital Transfusion </w:t>
            </w:r>
            <w:proofErr w:type="gramStart"/>
            <w:r w:rsidRPr="003E5B06">
              <w:rPr>
                <w:rFonts w:ascii="Arial" w:hAnsi="Arial"/>
                <w:i/>
                <w:lang w:val="fr-CA"/>
              </w:rPr>
              <w:t>Services</w:t>
            </w:r>
            <w:r w:rsidRPr="003E5B06">
              <w:rPr>
                <w:rFonts w:ascii="Arial" w:hAnsi="Arial"/>
                <w:lang w:val="fr-CA"/>
              </w:rPr>
              <w:t xml:space="preserve"> ,</w:t>
            </w:r>
            <w:proofErr w:type="gramEnd"/>
            <w:r w:rsidRPr="003E5B06">
              <w:rPr>
                <w:rFonts w:ascii="Arial" w:hAnsi="Arial"/>
                <w:lang w:val="fr-CA"/>
              </w:rPr>
              <w:t xml:space="preserve"> version </w:t>
            </w:r>
            <w:r w:rsidR="00386700" w:rsidRPr="003E5B06">
              <w:rPr>
                <w:rFonts w:ascii="Arial" w:hAnsi="Arial"/>
                <w:lang w:val="fr-CA"/>
              </w:rPr>
              <w:t>4</w:t>
            </w:r>
            <w:r w:rsidRPr="003E5B06">
              <w:rPr>
                <w:rFonts w:ascii="Arial" w:hAnsi="Arial"/>
                <w:lang w:val="fr-CA"/>
              </w:rPr>
              <w:t xml:space="preserve"> – </w:t>
            </w:r>
            <w:r w:rsidR="00386700" w:rsidRPr="003E5B06">
              <w:rPr>
                <w:rFonts w:ascii="Arial" w:hAnsi="Arial"/>
                <w:lang w:val="fr-CA"/>
              </w:rPr>
              <w:t>avril</w:t>
            </w:r>
            <w:r w:rsidR="00202AFF" w:rsidRPr="003E5B06">
              <w:rPr>
                <w:rFonts w:ascii="Arial" w:hAnsi="Arial"/>
                <w:lang w:val="fr-CA"/>
              </w:rPr>
              <w:t xml:space="preserve"> 201</w:t>
            </w:r>
            <w:r w:rsidR="00386700" w:rsidRPr="003E5B06">
              <w:rPr>
                <w:rFonts w:ascii="Arial" w:hAnsi="Arial"/>
                <w:lang w:val="fr-CA"/>
              </w:rPr>
              <w:t>7</w:t>
            </w:r>
            <w:r w:rsidRPr="003E5B06">
              <w:rPr>
                <w:rFonts w:ascii="Arial" w:hAnsi="Arial"/>
                <w:lang w:val="fr-CA"/>
              </w:rPr>
              <w:t xml:space="preserve">, </w:t>
            </w:r>
            <w:r w:rsidRPr="00C344BD">
              <w:rPr>
                <w:rFonts w:ascii="Arial" w:hAnsi="Arial"/>
                <w:color w:val="000000"/>
                <w:lang w:val="fr-CA"/>
              </w:rPr>
              <w:t>Société canadienne de médecine transfusionnelle</w:t>
            </w:r>
            <w:r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Pr="003E5B06">
              <w:rPr>
                <w:rFonts w:ascii="Arial" w:hAnsi="Arial"/>
                <w:lang w:val="fr-CA"/>
              </w:rPr>
              <w:t>5.</w:t>
            </w:r>
            <w:r w:rsidR="00386700" w:rsidRPr="003E5B06">
              <w:rPr>
                <w:rFonts w:ascii="Arial" w:hAnsi="Arial"/>
                <w:lang w:val="fr-CA"/>
              </w:rPr>
              <w:t>7</w:t>
            </w:r>
            <w:r w:rsidRPr="003E5B06">
              <w:rPr>
                <w:rFonts w:ascii="Arial" w:hAnsi="Arial"/>
                <w:lang w:val="fr-CA"/>
              </w:rPr>
              <w:t>.1</w:t>
            </w:r>
            <w:r w:rsidR="00386700" w:rsidRPr="003E5B06">
              <w:rPr>
                <w:rFonts w:ascii="Arial" w:hAnsi="Arial"/>
                <w:lang w:val="fr-CA"/>
              </w:rPr>
              <w:t xml:space="preserve"> Transport</w:t>
            </w:r>
            <w:r w:rsidR="00202AFF" w:rsidRPr="003E5B06">
              <w:rPr>
                <w:rFonts w:ascii="Arial" w:hAnsi="Arial"/>
                <w:lang w:val="fr-CA"/>
              </w:rPr>
              <w:br/>
            </w:r>
          </w:p>
        </w:tc>
      </w:tr>
      <w:tr w:rsidR="00B333AD" w:rsidRPr="00C344BD">
        <w:tc>
          <w:tcPr>
            <w:tcW w:w="835" w:type="dxa"/>
          </w:tcPr>
          <w:p w:rsidR="00B333AD" w:rsidRPr="00C344BD" w:rsidRDefault="00B333A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</w:tcPr>
          <w:p w:rsidR="00B333AD" w:rsidRPr="00C344BD" w:rsidRDefault="00B333A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C344BD">
              <w:rPr>
                <w:rFonts w:ascii="Arial" w:hAnsi="Arial"/>
                <w:color w:val="000000"/>
                <w:lang w:val="fr-CA"/>
              </w:rPr>
              <w:t>9.2</w:t>
            </w:r>
          </w:p>
        </w:tc>
        <w:tc>
          <w:tcPr>
            <w:tcW w:w="7168" w:type="dxa"/>
          </w:tcPr>
          <w:p w:rsidR="00B333AD" w:rsidRPr="00C344BD" w:rsidRDefault="00202AFF" w:rsidP="00386700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CSA Z902</w:t>
            </w:r>
            <w:r w:rsidR="00E57BCB">
              <w:rPr>
                <w:rFonts w:ascii="Arial" w:hAnsi="Arial"/>
                <w:color w:val="000000"/>
                <w:lang w:val="fr-CA"/>
              </w:rPr>
              <w:t>-15</w:t>
            </w:r>
            <w:r>
              <w:rPr>
                <w:rFonts w:ascii="Arial" w:hAnsi="Arial"/>
                <w:color w:val="000000"/>
                <w:lang w:val="fr-CA"/>
              </w:rPr>
              <w:t>. Sang et produits sanguins labiles. 201</w:t>
            </w:r>
            <w:r w:rsidR="00386700">
              <w:rPr>
                <w:rFonts w:ascii="Arial" w:hAnsi="Arial"/>
                <w:color w:val="000000"/>
                <w:lang w:val="fr-CA"/>
              </w:rPr>
              <w:t>5</w:t>
            </w:r>
            <w:r>
              <w:rPr>
                <w:rFonts w:ascii="Arial" w:hAnsi="Arial"/>
                <w:color w:val="000000"/>
                <w:lang w:val="fr-CA"/>
              </w:rPr>
              <w:t>: 9.5.2</w:t>
            </w:r>
          </w:p>
        </w:tc>
      </w:tr>
    </w:tbl>
    <w:p w:rsidR="00CF1E79" w:rsidRDefault="00CF1E79">
      <w:pPr>
        <w:rPr>
          <w:rFonts w:ascii="Arial" w:hAnsi="Arial"/>
          <w:lang w:val="fr-CA"/>
        </w:rPr>
      </w:pPr>
    </w:p>
    <w:p w:rsidR="00B333AD" w:rsidRDefault="00CF1E79" w:rsidP="00CF1E79">
      <w:pPr>
        <w:rPr>
          <w:lang w:val="fr-CA"/>
        </w:rPr>
      </w:pPr>
      <w:r>
        <w:rPr>
          <w:lang w:val="fr-CA"/>
        </w:rPr>
        <w:br w:type="page"/>
      </w:r>
    </w:p>
    <w:p w:rsidR="001B6B6C" w:rsidRPr="0076251F" w:rsidRDefault="001B6B6C" w:rsidP="001B6B6C">
      <w:pPr>
        <w:spacing w:line="228" w:lineRule="auto"/>
        <w:ind w:left="720" w:hanging="720"/>
        <w:rPr>
          <w:b/>
          <w:lang w:val="fr-CA"/>
        </w:rPr>
      </w:pPr>
      <w:r>
        <w:rPr>
          <w:rFonts w:ascii="Arial" w:hAnsi="Arial" w:cs="Arial"/>
          <w:b/>
          <w:sz w:val="28"/>
          <w:lang w:val="fr-CA"/>
        </w:rPr>
        <w:t>10.0</w:t>
      </w:r>
      <w:r>
        <w:rPr>
          <w:rFonts w:ascii="Arial" w:hAnsi="Arial" w:cs="Arial"/>
          <w:b/>
          <w:sz w:val="28"/>
          <w:lang w:val="fr-CA"/>
        </w:rPr>
        <w:tab/>
      </w:r>
      <w:r w:rsidRPr="00167058">
        <w:rPr>
          <w:rFonts w:ascii="Arial" w:hAnsi="Arial" w:cs="Arial"/>
          <w:b/>
          <w:sz w:val="28"/>
          <w:lang w:val="fr-CA"/>
        </w:rPr>
        <w:t>Suivi des révisions</w:t>
      </w:r>
    </w:p>
    <w:p w:rsidR="001B6B6C" w:rsidRPr="0076251F" w:rsidRDefault="001B6B6C" w:rsidP="001B6B6C">
      <w:pPr>
        <w:ind w:left="720"/>
        <w:jc w:val="center"/>
        <w:rPr>
          <w:rFonts w:ascii="Arial" w:hAnsi="Arial" w:cs="Arial"/>
          <w:b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6435"/>
      </w:tblGrid>
      <w:tr w:rsidR="001B6B6C" w:rsidRPr="0076251F" w:rsidTr="005A6B80">
        <w:tc>
          <w:tcPr>
            <w:tcW w:w="2235" w:type="dxa"/>
            <w:shd w:val="clear" w:color="auto" w:fill="F2F2F2"/>
          </w:tcPr>
          <w:p w:rsidR="001B6B6C" w:rsidRPr="0076251F" w:rsidRDefault="001B6B6C" w:rsidP="005A6B80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1B6B6C" w:rsidRPr="0076251F" w:rsidRDefault="001B6B6C" w:rsidP="005A6B80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1B6B6C" w:rsidRPr="0076251F" w:rsidTr="00202AFF">
        <w:trPr>
          <w:trHeight w:val="1130"/>
        </w:trPr>
        <w:tc>
          <w:tcPr>
            <w:tcW w:w="2235" w:type="dxa"/>
            <w:shd w:val="clear" w:color="auto" w:fill="auto"/>
          </w:tcPr>
          <w:p w:rsidR="001B6B6C" w:rsidRPr="0076251F" w:rsidRDefault="001B6B6C" w:rsidP="005A6B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8 août 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2014</w:t>
            </w:r>
          </w:p>
        </w:tc>
        <w:tc>
          <w:tcPr>
            <w:tcW w:w="6621" w:type="dxa"/>
            <w:shd w:val="clear" w:color="auto" w:fill="auto"/>
          </w:tcPr>
          <w:p w:rsidR="001B6B6C" w:rsidRDefault="001B6B6C" w:rsidP="001B6B6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1B6B6C" w:rsidRDefault="001B6B6C" w:rsidP="001B6B6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Changement du titre de la procédure</w:t>
            </w:r>
          </w:p>
          <w:p w:rsidR="001B6B6C" w:rsidRDefault="001B6B6C" w:rsidP="001B6B6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des sections 2.0, </w:t>
            </w:r>
            <w:r w:rsidR="00202AFF"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.0</w:t>
            </w:r>
            <w:r w:rsidR="00202AFF">
              <w:rPr>
                <w:rFonts w:ascii="Arial" w:hAnsi="Arial" w:cs="Arial"/>
                <w:sz w:val="22"/>
                <w:szCs w:val="22"/>
                <w:lang w:val="fr-CA"/>
              </w:rPr>
              <w:t>, 5.0 et 6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.0</w:t>
            </w:r>
          </w:p>
          <w:p w:rsidR="001B6B6C" w:rsidRPr="0076251F" w:rsidRDefault="001B6B6C" w:rsidP="001B6B6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Mise à jour de toutes les références</w:t>
            </w:r>
          </w:p>
        </w:tc>
      </w:tr>
      <w:tr w:rsidR="00386700" w:rsidRPr="0076251F" w:rsidTr="00386700">
        <w:trPr>
          <w:trHeight w:val="727"/>
        </w:trPr>
        <w:tc>
          <w:tcPr>
            <w:tcW w:w="2235" w:type="dxa"/>
            <w:shd w:val="clear" w:color="auto" w:fill="auto"/>
          </w:tcPr>
          <w:p w:rsidR="00386700" w:rsidRDefault="00386700" w:rsidP="005A6B8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30 décembre 2017</w:t>
            </w:r>
          </w:p>
        </w:tc>
        <w:tc>
          <w:tcPr>
            <w:tcW w:w="6621" w:type="dxa"/>
            <w:shd w:val="clear" w:color="auto" w:fill="auto"/>
          </w:tcPr>
          <w:p w:rsidR="00386700" w:rsidRDefault="00386700" w:rsidP="001B6B6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des sections 4.0, 6.0 et 7.0</w:t>
            </w:r>
          </w:p>
          <w:p w:rsidR="00386700" w:rsidRPr="00CE366D" w:rsidRDefault="00386700" w:rsidP="001B6B6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1B6B6C" w:rsidRDefault="001B6B6C" w:rsidP="00A77794">
      <w:pPr>
        <w:rPr>
          <w:rFonts w:ascii="Arial" w:hAnsi="Arial"/>
          <w:lang w:val="fr-CA"/>
        </w:rPr>
      </w:pPr>
    </w:p>
    <w:sectPr w:rsidR="001B6B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02" w:rsidRDefault="00522D02">
      <w:r>
        <w:separator/>
      </w:r>
    </w:p>
  </w:endnote>
  <w:endnote w:type="continuationSeparator" w:id="0">
    <w:p w:rsidR="00522D02" w:rsidRDefault="0052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51" w:rsidRDefault="0036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B333AD">
      <w:tc>
        <w:tcPr>
          <w:tcW w:w="1512" w:type="dxa"/>
        </w:tcPr>
        <w:p w:rsidR="00B333AD" w:rsidRDefault="00B333A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333AD" w:rsidRDefault="00391E20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1B6B6C" w:rsidRPr="00D52543" w:rsidRDefault="00B333AD" w:rsidP="001B6B6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3E5B06">
            <w:rPr>
              <w:rFonts w:ascii="Verdana" w:hAnsi="Verdana"/>
              <w:sz w:val="16"/>
              <w:lang w:val="fr-CA"/>
            </w:rPr>
            <w:br/>
          </w:r>
          <w:r w:rsidR="001B6B6C" w:rsidRPr="00D52543">
            <w:rPr>
              <w:rFonts w:ascii="Arial" w:hAnsi="Arial"/>
              <w:sz w:val="18"/>
              <w:lang w:val="fr-CA"/>
            </w:rPr>
            <w:t>Réseau r</w:t>
          </w:r>
          <w:r w:rsidR="001B6B6C">
            <w:rPr>
              <w:rFonts w:ascii="Arial" w:hAnsi="Arial"/>
              <w:sz w:val="18"/>
              <w:lang w:val="fr-CA"/>
            </w:rPr>
            <w:t>é</w:t>
          </w:r>
          <w:r w:rsidR="001B6B6C"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B333AD" w:rsidRPr="003E5B06" w:rsidRDefault="001B6B6C" w:rsidP="001B6B6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  <w:r w:rsidRPr="003E5B06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B333AD" w:rsidRPr="003E5B06" w:rsidRDefault="00B333AD">
          <w:pPr>
            <w:pStyle w:val="Footer"/>
            <w:jc w:val="right"/>
            <w:rPr>
              <w:rFonts w:ascii="Arial" w:hAnsi="Arial"/>
              <w:snapToGrid w:val="0"/>
              <w:sz w:val="18"/>
              <w:lang w:val="fr-CA"/>
            </w:rPr>
          </w:pPr>
        </w:p>
        <w:p w:rsidR="00B333AD" w:rsidRDefault="003F6EF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G</w:t>
          </w:r>
          <w:r w:rsidR="00411BBC">
            <w:rPr>
              <w:rFonts w:ascii="Arial" w:hAnsi="Arial"/>
              <w:snapToGrid w:val="0"/>
              <w:sz w:val="18"/>
            </w:rPr>
            <w:t>S</w:t>
          </w:r>
          <w:r w:rsidR="00B333AD">
            <w:rPr>
              <w:rFonts w:ascii="Arial" w:hAnsi="Arial"/>
              <w:snapToGrid w:val="0"/>
              <w:sz w:val="18"/>
            </w:rPr>
            <w:t>.007</w:t>
          </w:r>
        </w:p>
        <w:p w:rsidR="00B333AD" w:rsidRDefault="00B333AD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C7A5F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3F6EF7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C7A5F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333AD" w:rsidRDefault="00B333AD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B333AD">
      <w:tc>
        <w:tcPr>
          <w:tcW w:w="1512" w:type="dxa"/>
        </w:tcPr>
        <w:p w:rsidR="00B333AD" w:rsidRDefault="00B333AD">
          <w:pPr>
            <w:pStyle w:val="Footer"/>
            <w:rPr>
              <w:rFonts w:ascii="Verdana" w:hAnsi="Verdana"/>
              <w:sz w:val="8"/>
            </w:rPr>
          </w:pPr>
        </w:p>
        <w:p w:rsidR="00B333AD" w:rsidRDefault="00391E20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1B6B6C" w:rsidRPr="00D52543" w:rsidRDefault="00B333AD" w:rsidP="001B6B6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3E5B06">
            <w:rPr>
              <w:rFonts w:ascii="Verdana" w:hAnsi="Verdana"/>
              <w:sz w:val="16"/>
              <w:lang w:val="fr-CA"/>
            </w:rPr>
            <w:br/>
          </w:r>
          <w:r w:rsidR="001B6B6C" w:rsidRPr="00D52543">
            <w:rPr>
              <w:rFonts w:ascii="Arial" w:hAnsi="Arial"/>
              <w:sz w:val="18"/>
              <w:lang w:val="fr-CA"/>
            </w:rPr>
            <w:t>Réseau r</w:t>
          </w:r>
          <w:r w:rsidR="001B6B6C">
            <w:rPr>
              <w:rFonts w:ascii="Arial" w:hAnsi="Arial"/>
              <w:sz w:val="18"/>
              <w:lang w:val="fr-CA"/>
            </w:rPr>
            <w:t>é</w:t>
          </w:r>
          <w:r w:rsidR="001B6B6C"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11BBC" w:rsidRPr="00D52543" w:rsidRDefault="001B6B6C" w:rsidP="001B6B6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B333AD" w:rsidRPr="003E5B06" w:rsidRDefault="00B333A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B333AD" w:rsidRPr="003E5B06" w:rsidRDefault="00B333AD">
          <w:pPr>
            <w:pStyle w:val="Footer"/>
            <w:jc w:val="right"/>
            <w:rPr>
              <w:rFonts w:ascii="Arial" w:hAnsi="Arial"/>
              <w:snapToGrid w:val="0"/>
              <w:sz w:val="18"/>
              <w:lang w:val="fr-CA"/>
            </w:rPr>
          </w:pPr>
        </w:p>
        <w:p w:rsidR="00B333AD" w:rsidRDefault="003F6EF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G</w:t>
          </w:r>
          <w:r w:rsidR="00411BBC">
            <w:rPr>
              <w:rFonts w:ascii="Arial" w:hAnsi="Arial"/>
              <w:snapToGrid w:val="0"/>
              <w:sz w:val="18"/>
            </w:rPr>
            <w:t>S</w:t>
          </w:r>
          <w:r w:rsidR="00B333AD">
            <w:rPr>
              <w:rFonts w:ascii="Arial" w:hAnsi="Arial"/>
              <w:snapToGrid w:val="0"/>
              <w:sz w:val="18"/>
            </w:rPr>
            <w:t>.007</w:t>
          </w:r>
        </w:p>
        <w:p w:rsidR="00B333AD" w:rsidRDefault="00B333AD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9561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3F6EF7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9561B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333AD" w:rsidRDefault="00B3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02" w:rsidRDefault="00522D02">
      <w:r>
        <w:separator/>
      </w:r>
    </w:p>
  </w:footnote>
  <w:footnote w:type="continuationSeparator" w:id="0">
    <w:p w:rsidR="00522D02" w:rsidRDefault="0052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51" w:rsidRDefault="00365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B333AD" w:rsidRPr="003E5B06">
      <w:tc>
        <w:tcPr>
          <w:tcW w:w="8838" w:type="dxa"/>
        </w:tcPr>
        <w:p w:rsidR="00B333AD" w:rsidRPr="003E5B06" w:rsidRDefault="003F6EF7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950A90">
            <w:rPr>
              <w:rFonts w:ascii="Arial" w:hAnsi="Arial"/>
              <w:b/>
              <w:color w:val="000000"/>
              <w:sz w:val="28"/>
              <w:lang w:val="fr-CA"/>
            </w:rPr>
            <w:t xml:space="preserve">Expédition de </w:t>
          </w:r>
          <w:r w:rsidR="00202AFF">
            <w:rPr>
              <w:rFonts w:ascii="Arial" w:hAnsi="Arial"/>
              <w:b/>
              <w:color w:val="000000"/>
              <w:sz w:val="28"/>
              <w:lang w:val="fr-CA"/>
            </w:rPr>
            <w:t xml:space="preserve">composants ou </w:t>
          </w:r>
          <w:r w:rsidRPr="00950A90">
            <w:rPr>
              <w:rFonts w:ascii="Arial" w:hAnsi="Arial"/>
              <w:b/>
              <w:color w:val="000000"/>
              <w:sz w:val="28"/>
              <w:lang w:val="fr-CA"/>
            </w:rPr>
            <w:t>produits sanguins avec le patient</w:t>
          </w:r>
        </w:p>
      </w:tc>
    </w:tr>
  </w:tbl>
  <w:p w:rsidR="00B333AD" w:rsidRPr="003E5B06" w:rsidRDefault="00B333AD">
    <w:pPr>
      <w:pStyle w:val="Header"/>
      <w:rPr>
        <w:rFonts w:ascii="Arial" w:hAnsi="Arial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D" w:rsidRPr="003F6EF7" w:rsidRDefault="00391E20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581150" cy="5334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B6C" w:rsidRPr="00312411" w:rsidRDefault="001B6B6C" w:rsidP="001B6B6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1B6B6C" w:rsidRPr="00B21691" w:rsidRDefault="001B6B6C" w:rsidP="001B6B6C">
    <w:pPr>
      <w:pStyle w:val="Header"/>
      <w:jc w:val="center"/>
      <w:rPr>
        <w:rFonts w:ascii="Arial" w:hAnsi="Arial" w:cs="Arial"/>
        <w:b/>
        <w:bCs/>
        <w:sz w:val="22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B333AD" w:rsidRPr="003F6EF7" w:rsidRDefault="00B333AD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B333AD" w:rsidRPr="00950A90" w:rsidRDefault="003F6EF7" w:rsidP="003F6EF7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950A90">
      <w:rPr>
        <w:rFonts w:ascii="Arial" w:hAnsi="Arial"/>
        <w:b/>
        <w:color w:val="000000"/>
        <w:sz w:val="28"/>
        <w:lang w:val="fr-CA"/>
      </w:rPr>
      <w:t xml:space="preserve">Expédition de </w:t>
    </w:r>
    <w:r w:rsidR="00202AFF">
      <w:rPr>
        <w:rFonts w:ascii="Arial" w:hAnsi="Arial"/>
        <w:b/>
        <w:color w:val="000000"/>
        <w:sz w:val="28"/>
        <w:lang w:val="fr-CA"/>
      </w:rPr>
      <w:t xml:space="preserve">composants ou </w:t>
    </w:r>
    <w:r w:rsidRPr="00950A90">
      <w:rPr>
        <w:rFonts w:ascii="Arial" w:hAnsi="Arial"/>
        <w:b/>
        <w:color w:val="000000"/>
        <w:sz w:val="28"/>
        <w:lang w:val="fr-CA"/>
      </w:rPr>
      <w:t>produits sanguins avec le patient</w:t>
    </w:r>
  </w:p>
  <w:p w:rsidR="00B333AD" w:rsidRPr="003F6EF7" w:rsidRDefault="00B333AD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  <w:p w:rsidR="00B333AD" w:rsidRPr="003F6EF7" w:rsidRDefault="00B333AD">
    <w:pPr>
      <w:pStyle w:val="Header"/>
      <w:tabs>
        <w:tab w:val="left" w:pos="6617"/>
      </w:tabs>
      <w:rPr>
        <w:rFonts w:ascii="Arial" w:hAnsi="Arial" w:cs="Arial"/>
        <w:b/>
        <w:bCs/>
        <w:color w:val="000000"/>
        <w:sz w:val="20"/>
        <w:lang w:val="fr-CA"/>
      </w:rPr>
    </w:pPr>
    <w:r w:rsidRPr="003F6EF7">
      <w:rPr>
        <w:rFonts w:ascii="Arial" w:hAnsi="Arial" w:cs="Arial"/>
        <w:b/>
        <w:bCs/>
        <w:color w:val="000000"/>
        <w:sz w:val="20"/>
        <w:lang w:val="fr-CA"/>
      </w:rPr>
      <w:tab/>
    </w:r>
    <w:r w:rsidR="00391E20" w:rsidRPr="003F6EF7">
      <w:rPr>
        <w:rFonts w:ascii="Arial" w:hAnsi="Arial" w:cs="Arial"/>
        <w:noProof/>
        <w:color w:val="000000"/>
        <w:sz w:val="2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8808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4"/>
      <w:gridCol w:w="4316"/>
    </w:tblGrid>
    <w:tr w:rsidR="00B333AD" w:rsidRPr="003F6EF7">
      <w:tc>
        <w:tcPr>
          <w:tcW w:w="4428" w:type="dxa"/>
        </w:tcPr>
        <w:p w:rsidR="00B333AD" w:rsidRPr="003F6EF7" w:rsidRDefault="00411BBC" w:rsidP="001B6B6C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B04768">
            <w:rPr>
              <w:rFonts w:ascii="Arial" w:hAnsi="Arial" w:cs="Arial"/>
              <w:sz w:val="20"/>
              <w:lang w:val="fr-CA"/>
            </w:rPr>
            <w:t xml:space="preserve">Approbation : </w:t>
          </w:r>
        </w:p>
      </w:tc>
      <w:tc>
        <w:tcPr>
          <w:tcW w:w="4428" w:type="dxa"/>
        </w:tcPr>
        <w:p w:rsidR="00B333AD" w:rsidRPr="003F6EF7" w:rsidRDefault="003F6EF7" w:rsidP="00570BA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3F6EF7">
            <w:rPr>
              <w:rFonts w:ascii="Arial" w:hAnsi="Arial" w:cs="Arial"/>
              <w:color w:val="000000"/>
              <w:sz w:val="20"/>
              <w:lang w:val="fr-CA"/>
            </w:rPr>
            <w:t>Document n</w:t>
          </w:r>
          <w:r w:rsidRPr="00A53C8C">
            <w:rPr>
              <w:rFonts w:ascii="Arial" w:hAnsi="Arial" w:cs="Arial"/>
              <w:color w:val="000000"/>
              <w:sz w:val="20"/>
              <w:vertAlign w:val="superscript"/>
              <w:lang w:val="fr-CA"/>
            </w:rPr>
            <w:t>o</w:t>
          </w:r>
          <w:r w:rsidR="00570BAD">
            <w:rPr>
              <w:rFonts w:ascii="Arial" w:hAnsi="Arial" w:cs="Arial"/>
              <w:color w:val="000000"/>
              <w:sz w:val="20"/>
              <w:lang w:val="fr-CA"/>
            </w:rPr>
            <w:t> :</w:t>
          </w:r>
          <w:r w:rsidRPr="003F6EF7">
            <w:rPr>
              <w:rFonts w:ascii="Arial" w:hAnsi="Arial" w:cs="Arial"/>
              <w:color w:val="000000"/>
              <w:sz w:val="20"/>
              <w:lang w:val="fr-CA"/>
            </w:rPr>
            <w:t xml:space="preserve"> G</w:t>
          </w:r>
          <w:r w:rsidR="00411BBC">
            <w:rPr>
              <w:rFonts w:ascii="Arial" w:hAnsi="Arial" w:cs="Arial"/>
              <w:color w:val="000000"/>
              <w:sz w:val="20"/>
              <w:lang w:val="fr-CA"/>
            </w:rPr>
            <w:t>S</w:t>
          </w:r>
          <w:r w:rsidRPr="003F6EF7">
            <w:rPr>
              <w:rFonts w:ascii="Arial" w:hAnsi="Arial" w:cs="Arial"/>
              <w:color w:val="000000"/>
              <w:sz w:val="20"/>
              <w:lang w:val="fr-CA"/>
            </w:rPr>
            <w:t>.007</w:t>
          </w:r>
        </w:p>
      </w:tc>
    </w:tr>
    <w:tr w:rsidR="00B333AD" w:rsidRPr="003F6EF7">
      <w:tc>
        <w:tcPr>
          <w:tcW w:w="4428" w:type="dxa"/>
        </w:tcPr>
        <w:p w:rsidR="00B333AD" w:rsidRPr="003F6EF7" w:rsidRDefault="003F6EF7" w:rsidP="00570BA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3F6EF7">
            <w:rPr>
              <w:rFonts w:ascii="Arial" w:hAnsi="Arial" w:cs="Arial"/>
              <w:color w:val="000000"/>
              <w:sz w:val="20"/>
              <w:lang w:val="fr-CA"/>
            </w:rPr>
            <w:t>Date de publication</w:t>
          </w:r>
          <w:r w:rsidR="00570BAD">
            <w:rPr>
              <w:rFonts w:ascii="Arial" w:hAnsi="Arial" w:cs="Arial"/>
              <w:color w:val="000000"/>
              <w:sz w:val="20"/>
              <w:lang w:val="fr-CA"/>
            </w:rPr>
            <w:t> :</w:t>
          </w:r>
          <w:r w:rsidRPr="003F6EF7">
            <w:rPr>
              <w:rFonts w:ascii="Arial" w:hAnsi="Arial" w:cs="Arial"/>
              <w:color w:val="000000"/>
              <w:sz w:val="20"/>
              <w:lang w:val="fr-CA"/>
            </w:rPr>
            <w:t xml:space="preserve"> 2006/09/01</w:t>
          </w:r>
        </w:p>
      </w:tc>
      <w:tc>
        <w:tcPr>
          <w:tcW w:w="4428" w:type="dxa"/>
        </w:tcPr>
        <w:p w:rsidR="00B333AD" w:rsidRPr="003F6EF7" w:rsidRDefault="003F6EF7" w:rsidP="00570BA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3F6EF7">
            <w:rPr>
              <w:rFonts w:ascii="Arial" w:hAnsi="Arial" w:cs="Arial"/>
              <w:color w:val="000000"/>
              <w:sz w:val="20"/>
              <w:lang w:val="fr-CA"/>
            </w:rPr>
            <w:t>Catégorie</w:t>
          </w:r>
          <w:r w:rsidR="00570BAD">
            <w:rPr>
              <w:rFonts w:ascii="Arial" w:hAnsi="Arial" w:cs="Arial"/>
              <w:color w:val="000000"/>
              <w:sz w:val="20"/>
              <w:lang w:val="fr-CA"/>
            </w:rPr>
            <w:t> :</w:t>
          </w:r>
          <w:r w:rsidRPr="003F6EF7">
            <w:rPr>
              <w:rFonts w:ascii="Arial" w:hAnsi="Arial" w:cs="Arial"/>
              <w:color w:val="000000"/>
              <w:sz w:val="20"/>
              <w:lang w:val="fr-CA"/>
            </w:rPr>
            <w:t xml:space="preserve"> Gestion de</w:t>
          </w:r>
          <w:r w:rsidR="00411BBC">
            <w:rPr>
              <w:rFonts w:ascii="Arial" w:hAnsi="Arial" w:cs="Arial"/>
              <w:color w:val="000000"/>
              <w:sz w:val="20"/>
              <w:lang w:val="fr-CA"/>
            </w:rPr>
            <w:t>s stocks</w:t>
          </w:r>
        </w:p>
      </w:tc>
    </w:tr>
    <w:tr w:rsidR="00B333AD" w:rsidRPr="003F6EF7">
      <w:tc>
        <w:tcPr>
          <w:tcW w:w="4428" w:type="dxa"/>
        </w:tcPr>
        <w:p w:rsidR="00B333AD" w:rsidRDefault="00411BBC" w:rsidP="00570BAD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5D49BA">
            <w:rPr>
              <w:rFonts w:ascii="Arial" w:hAnsi="Arial" w:cs="Arial"/>
              <w:sz w:val="20"/>
              <w:lang w:val="fr-CA"/>
            </w:rPr>
            <w:t>Date de révision</w:t>
          </w:r>
          <w:r w:rsidR="00570BAD">
            <w:rPr>
              <w:rFonts w:ascii="Arial" w:hAnsi="Arial" w:cs="Arial"/>
              <w:sz w:val="20"/>
              <w:lang w:val="fr-CA"/>
            </w:rPr>
            <w:t> :</w:t>
          </w:r>
          <w:r w:rsidRPr="005D49BA">
            <w:rPr>
              <w:rFonts w:ascii="Arial" w:hAnsi="Arial" w:cs="Arial"/>
              <w:sz w:val="20"/>
              <w:lang w:val="fr-CA"/>
            </w:rPr>
            <w:t xml:space="preserve"> 2009/12/31</w:t>
          </w:r>
          <w:r w:rsidR="00202AFF">
            <w:rPr>
              <w:rFonts w:ascii="Arial" w:hAnsi="Arial" w:cs="Arial"/>
              <w:sz w:val="20"/>
              <w:lang w:val="fr-CA"/>
            </w:rPr>
            <w:t>; 2014/08/08</w:t>
          </w:r>
          <w:r w:rsidR="00B50E59">
            <w:rPr>
              <w:rFonts w:ascii="Arial" w:hAnsi="Arial" w:cs="Arial"/>
              <w:sz w:val="20"/>
              <w:lang w:val="fr-CA"/>
            </w:rPr>
            <w:t>;</w:t>
          </w:r>
        </w:p>
        <w:p w:rsidR="00B50E59" w:rsidRPr="003F6EF7" w:rsidRDefault="00B50E59" w:rsidP="00570BA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>
            <w:rPr>
              <w:rFonts w:ascii="Arial" w:hAnsi="Arial" w:cs="Arial"/>
              <w:color w:val="000000"/>
              <w:sz w:val="20"/>
              <w:lang w:val="fr-CA"/>
            </w:rPr>
            <w:t>2017/12/30</w:t>
          </w:r>
        </w:p>
      </w:tc>
      <w:tc>
        <w:tcPr>
          <w:tcW w:w="4428" w:type="dxa"/>
        </w:tcPr>
        <w:p w:rsidR="00B333AD" w:rsidRPr="003F6EF7" w:rsidRDefault="003F6EF7" w:rsidP="00570BA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3F6EF7">
            <w:rPr>
              <w:rFonts w:ascii="Arial" w:hAnsi="Arial" w:cs="Arial"/>
              <w:color w:val="000000"/>
              <w:sz w:val="20"/>
              <w:lang w:val="fr-CA"/>
            </w:rPr>
            <w:t>Pages</w:t>
          </w:r>
          <w:r w:rsidR="00570BAD">
            <w:rPr>
              <w:rFonts w:ascii="Arial" w:hAnsi="Arial" w:cs="Arial"/>
              <w:color w:val="000000"/>
              <w:sz w:val="20"/>
              <w:lang w:val="fr-CA"/>
            </w:rPr>
            <w:t> :</w:t>
          </w:r>
          <w:r w:rsidRPr="003F6EF7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  <w:r w:rsidR="00B333AD" w:rsidRPr="003F6EF7">
            <w:rPr>
              <w:rFonts w:ascii="Arial" w:hAnsi="Arial" w:cs="Arial"/>
              <w:color w:val="000000"/>
              <w:sz w:val="20"/>
              <w:lang w:val="fr-CA"/>
            </w:rPr>
            <w:fldChar w:fldCharType="begin"/>
          </w:r>
          <w:r w:rsidR="00B333AD" w:rsidRPr="003F6EF7">
            <w:rPr>
              <w:rFonts w:ascii="Arial" w:hAnsi="Arial" w:cs="Arial"/>
              <w:color w:val="000000"/>
              <w:sz w:val="20"/>
              <w:lang w:val="fr-CA"/>
            </w:rPr>
            <w:instrText xml:space="preserve"> NUMPAGES </w:instrText>
          </w:r>
          <w:r w:rsidR="00B333AD" w:rsidRPr="003F6EF7">
            <w:rPr>
              <w:rFonts w:ascii="Arial" w:hAnsi="Arial" w:cs="Arial"/>
              <w:color w:val="000000"/>
              <w:sz w:val="20"/>
              <w:lang w:val="fr-CA"/>
            </w:rPr>
            <w:fldChar w:fldCharType="separate"/>
          </w:r>
          <w:r w:rsidR="0079561B">
            <w:rPr>
              <w:rFonts w:ascii="Arial" w:hAnsi="Arial" w:cs="Arial"/>
              <w:noProof/>
              <w:color w:val="000000"/>
              <w:sz w:val="20"/>
              <w:lang w:val="fr-CA"/>
            </w:rPr>
            <w:t>6</w:t>
          </w:r>
          <w:r w:rsidR="00B333AD" w:rsidRPr="003F6EF7">
            <w:rPr>
              <w:rFonts w:ascii="Arial" w:hAnsi="Arial" w:cs="Arial"/>
              <w:color w:val="000000"/>
              <w:sz w:val="20"/>
              <w:lang w:val="fr-CA"/>
            </w:rPr>
            <w:fldChar w:fldCharType="end"/>
          </w:r>
        </w:p>
      </w:tc>
    </w:tr>
  </w:tbl>
  <w:p w:rsidR="00B333AD" w:rsidRPr="003F6EF7" w:rsidRDefault="00391E20">
    <w:pPr>
      <w:pStyle w:val="Header"/>
      <w:rPr>
        <w:rFonts w:ascii="Arial" w:hAnsi="Arial" w:cs="Arial"/>
        <w:color w:val="000000"/>
        <w:sz w:val="20"/>
        <w:lang w:val="fr-CA"/>
      </w:rPr>
    </w:pPr>
    <w:r w:rsidRPr="003F6EF7">
      <w:rPr>
        <w:rFonts w:ascii="Arial" w:hAnsi="Arial" w:cs="Arial"/>
        <w:noProof/>
        <w:color w:val="000000"/>
        <w:sz w:val="2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C411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B333AD" w:rsidRPr="003F6EF7">
      <w:rPr>
        <w:rFonts w:ascii="Arial" w:hAnsi="Arial" w:cs="Arial"/>
        <w:color w:val="000000"/>
        <w:sz w:val="20"/>
        <w:lang w:val="fr-CA"/>
      </w:rPr>
      <w:tab/>
    </w:r>
  </w:p>
  <w:p w:rsidR="00B333AD" w:rsidRPr="003F6EF7" w:rsidRDefault="00B333A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52918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55D74"/>
    <w:multiLevelType w:val="hybridMultilevel"/>
    <w:tmpl w:val="5FB2A55E"/>
    <w:lvl w:ilvl="0" w:tplc="06E0FF0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-6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</w:abstractNum>
  <w:abstractNum w:abstractNumId="3" w15:restartNumberingAfterBreak="0">
    <w:nsid w:val="0D5A6CDC"/>
    <w:multiLevelType w:val="multilevel"/>
    <w:tmpl w:val="237E16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495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14D09CB"/>
    <w:multiLevelType w:val="multilevel"/>
    <w:tmpl w:val="BBD677C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bullet"/>
      <w:pStyle w:val="Heading3"/>
      <w:lvlText w:val=""/>
      <w:lvlJc w:val="left"/>
      <w:pPr>
        <w:tabs>
          <w:tab w:val="num" w:pos="1224"/>
        </w:tabs>
        <w:ind w:left="1224" w:hanging="1224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067882"/>
    <w:multiLevelType w:val="hybridMultilevel"/>
    <w:tmpl w:val="C1AA4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904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820172"/>
    <w:multiLevelType w:val="hybridMultilevel"/>
    <w:tmpl w:val="49C0B170"/>
    <w:lvl w:ilvl="0" w:tplc="5A62C9DA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90D07"/>
    <w:multiLevelType w:val="hybridMultilevel"/>
    <w:tmpl w:val="31722A50"/>
    <w:lvl w:ilvl="0" w:tplc="933AA408">
      <w:start w:val="1"/>
      <w:numFmt w:val="decimal"/>
      <w:lvlText w:val="6.%1."/>
      <w:lvlJc w:val="left"/>
      <w:pPr>
        <w:tabs>
          <w:tab w:val="num" w:pos="720"/>
        </w:tabs>
        <w:ind w:left="907" w:hanging="54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70D15"/>
    <w:multiLevelType w:val="hybridMultilevel"/>
    <w:tmpl w:val="2578C8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46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F27A45"/>
    <w:multiLevelType w:val="hybridMultilevel"/>
    <w:tmpl w:val="D6BC8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6" w15:restartNumberingAfterBreak="0">
    <w:nsid w:val="716759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8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8"/>
  </w:num>
  <w:num w:numId="6">
    <w:abstractNumId w:val="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3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32"/>
    <w:rsid w:val="00013EA5"/>
    <w:rsid w:val="00070D47"/>
    <w:rsid w:val="000E269D"/>
    <w:rsid w:val="00123C81"/>
    <w:rsid w:val="00181214"/>
    <w:rsid w:val="00182C2B"/>
    <w:rsid w:val="001B6B6C"/>
    <w:rsid w:val="001E0921"/>
    <w:rsid w:val="00202AFF"/>
    <w:rsid w:val="00243772"/>
    <w:rsid w:val="00261A94"/>
    <w:rsid w:val="002A5E0D"/>
    <w:rsid w:val="0032370D"/>
    <w:rsid w:val="00365151"/>
    <w:rsid w:val="00370543"/>
    <w:rsid w:val="00386700"/>
    <w:rsid w:val="00391E20"/>
    <w:rsid w:val="003B10C0"/>
    <w:rsid w:val="003C7A5F"/>
    <w:rsid w:val="003D5C99"/>
    <w:rsid w:val="003E0DE0"/>
    <w:rsid w:val="003E5B06"/>
    <w:rsid w:val="003F6EF7"/>
    <w:rsid w:val="00411BBC"/>
    <w:rsid w:val="004767F3"/>
    <w:rsid w:val="004E79BC"/>
    <w:rsid w:val="00502A8A"/>
    <w:rsid w:val="00522D02"/>
    <w:rsid w:val="00570BAD"/>
    <w:rsid w:val="005A6B80"/>
    <w:rsid w:val="005C2B72"/>
    <w:rsid w:val="006831F5"/>
    <w:rsid w:val="0079400B"/>
    <w:rsid w:val="0079561B"/>
    <w:rsid w:val="0080098B"/>
    <w:rsid w:val="008508DA"/>
    <w:rsid w:val="00886C32"/>
    <w:rsid w:val="008D7776"/>
    <w:rsid w:val="00950A90"/>
    <w:rsid w:val="00961AEC"/>
    <w:rsid w:val="009657BA"/>
    <w:rsid w:val="009B1553"/>
    <w:rsid w:val="00A12580"/>
    <w:rsid w:val="00A53C8C"/>
    <w:rsid w:val="00A77794"/>
    <w:rsid w:val="00A872F2"/>
    <w:rsid w:val="00AB246C"/>
    <w:rsid w:val="00AC7666"/>
    <w:rsid w:val="00AD2BBF"/>
    <w:rsid w:val="00B142E5"/>
    <w:rsid w:val="00B333AD"/>
    <w:rsid w:val="00B50E59"/>
    <w:rsid w:val="00B74D5C"/>
    <w:rsid w:val="00B84252"/>
    <w:rsid w:val="00B87026"/>
    <w:rsid w:val="00C344BD"/>
    <w:rsid w:val="00CF1E79"/>
    <w:rsid w:val="00CF5964"/>
    <w:rsid w:val="00DC1BA8"/>
    <w:rsid w:val="00E0471D"/>
    <w:rsid w:val="00E57BCB"/>
    <w:rsid w:val="00EC0BBC"/>
    <w:rsid w:val="00F64BD5"/>
    <w:rsid w:val="00F90032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063FB-1B1D-41EB-892B-103C2D0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C344BD"/>
    <w:pPr>
      <w:keepNext/>
      <w:numPr>
        <w:numId w:val="7"/>
      </w:numPr>
      <w:spacing w:after="240"/>
      <w:outlineLvl w:val="0"/>
    </w:pPr>
    <w:rPr>
      <w:rFonts w:ascii="Arial" w:hAnsi="Arial"/>
      <w:b/>
      <w:color w:val="000000"/>
      <w:kern w:val="32"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">
    <w:name w:val="HTML"/>
    <w:basedOn w:val="Normal"/>
    <w:rPr>
      <w:strike/>
    </w:rPr>
  </w:style>
  <w:style w:type="paragraph" w:styleId="BodyTextIndent">
    <w:name w:val="Body Text Indent"/>
    <w:basedOn w:val="Normal"/>
    <w:pPr>
      <w:ind w:left="515"/>
    </w:pPr>
  </w:style>
  <w:style w:type="paragraph" w:styleId="BodyTextIndent2">
    <w:name w:val="Body Text Indent 2"/>
    <w:basedOn w:val="Normal"/>
    <w:pPr>
      <w:ind w:left="576" w:hanging="576"/>
    </w:pPr>
  </w:style>
  <w:style w:type="paragraph" w:styleId="BodyText">
    <w:name w:val="Body Text"/>
    <w:basedOn w:val="Normal"/>
    <w:pPr>
      <w:jc w:val="center"/>
    </w:pPr>
    <w:rPr>
      <w:b/>
      <w:lang w:val="en-CA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8508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AEC"/>
    <w:rPr>
      <w:sz w:val="16"/>
      <w:szCs w:val="16"/>
    </w:rPr>
  </w:style>
  <w:style w:type="paragraph" w:styleId="CommentText">
    <w:name w:val="annotation text"/>
    <w:basedOn w:val="Normal"/>
    <w:semiHidden/>
    <w:rsid w:val="00961A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1AEC"/>
    <w:rPr>
      <w:b/>
      <w:bCs/>
    </w:rPr>
  </w:style>
  <w:style w:type="character" w:customStyle="1" w:styleId="HeaderChar">
    <w:name w:val="Header Char"/>
    <w:link w:val="Header"/>
    <w:uiPriority w:val="99"/>
    <w:rsid w:val="001B6B6C"/>
    <w:rPr>
      <w:rFonts w:ascii="Georgia" w:hAnsi="Georgia"/>
      <w:kern w:val="24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6B6C"/>
    <w:pPr>
      <w:ind w:left="708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3E5B0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5B06"/>
    <w:rPr>
      <w:color w:val="808080"/>
      <w:shd w:val="clear" w:color="auto" w:fill="E6E6E6"/>
    </w:rPr>
  </w:style>
  <w:style w:type="character" w:styleId="FollowedHyperlink">
    <w:name w:val="FollowedHyperlink"/>
    <w:rsid w:val="003E5B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fusionontario.org/fr/download/gs-006-expedition-de-sang-et-de-composants-sanguins/" TargetMode="External"/><Relationship Id="rId13" Type="http://schemas.openxmlformats.org/officeDocument/2006/relationships/hyperlink" Target="http://transfusionontario.org/fr/download/gs-004-mise-en-circulation-manuelle-de-sang-de-composants-sanguins-et-des-produits-connexes-en-se-servant-du-registre-de-mise-en-circulation-de-transfusion-de-produits-sanguin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ransfusionontario.org/fr/download/gs-007f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fusionontario.org/fr/download/gs-003-inspection-visuelle-du-sang-des-composants-sangui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ransfusionontario.org/fr/download/ccp-001-choix-des-composants-sanguins-a-transfuse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transfusionontario.org/fr/download/gs-006-expedition-de-sang-et-de-composants-sanguins/" TargetMode="External"/><Relationship Id="rId14" Type="http://schemas.openxmlformats.org/officeDocument/2006/relationships/hyperlink" Target="http://transfusionontario.org/fr/download/gs-006-expedition-de-sang-et-de-composants-sanguin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1F95-0DA5-4DD0-9A01-D9D0D03C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IM.007 - Shipment of Blood Products Accompanying a Patient</vt:lpstr>
      <vt:lpstr>IM.007 - Shipment of Blood Products Accompanying a Patient</vt:lpstr>
    </vt:vector>
  </TitlesOfParts>
  <Company/>
  <LinksUpToDate>false</LinksUpToDate>
  <CharactersWithSpaces>9029</CharactersWithSpaces>
  <SharedDoc>false</SharedDoc>
  <HLinks>
    <vt:vector size="42" baseType="variant">
      <vt:variant>
        <vt:i4>7012385</vt:i4>
      </vt:variant>
      <vt:variant>
        <vt:i4>18</vt:i4>
      </vt:variant>
      <vt:variant>
        <vt:i4>0</vt:i4>
      </vt:variant>
      <vt:variant>
        <vt:i4>5</vt:i4>
      </vt:variant>
      <vt:variant>
        <vt:lpwstr>http://transfusionontario.org/fr/download/gs-006-expedition-de-sang-et-de-composants-sanguins/</vt:lpwstr>
      </vt:variant>
      <vt:variant>
        <vt:lpwstr/>
      </vt:variant>
      <vt:variant>
        <vt:i4>6357112</vt:i4>
      </vt:variant>
      <vt:variant>
        <vt:i4>15</vt:i4>
      </vt:variant>
      <vt:variant>
        <vt:i4>0</vt:i4>
      </vt:variant>
      <vt:variant>
        <vt:i4>5</vt:i4>
      </vt:variant>
      <vt:variant>
        <vt:lpwstr>http://transfusionontario.org/fr/download/gs-004-mise-en-circulation-manuelle-de-sang-de-composants-sanguins-et-des-produits-connexes-en-se-servant-du-registre-de-mise-en-circulation-de-transfusion-de-produits-sanguins/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http://transfusionontario.org/fr/download/gs-007f1/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http://transfusionontario.org/fr/download/gs-003-inspection-visuelle-du-sang-des-composants-sanguins/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http://transfusionontario.org/fr/download/ccp-001-choix-des-composants-sanguins-a-transfuser/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http://transfusionontario.org/fr/download/gs-006-expedition-de-sang-et-de-composants-sanguins/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http://transfusionontario.org/fr/download/gs-006-expedition-de-sang-et-de-composants-sanguins/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IM.007 - Shipment of Blood Products Accompanying a Patient</dc:title>
  <dc:subject/>
  <dc:creator>Transfusion Ontario Program Office</dc:creator>
  <cp:keywords/>
  <dc:description/>
  <cp:lastModifiedBy>Nesrallah, Heather</cp:lastModifiedBy>
  <cp:revision>2</cp:revision>
  <cp:lastPrinted>2016-11-06T15:06:00Z</cp:lastPrinted>
  <dcterms:created xsi:type="dcterms:W3CDTF">2020-08-12T12:15:00Z</dcterms:created>
  <dcterms:modified xsi:type="dcterms:W3CDTF">2020-08-12T12:15:00Z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821</vt:i4>
  </property>
  <property fmtid="{D5CDD505-2E9C-101B-9397-08002B2CF9AE}" pid="3" name="Translated Words">
    <vt:i4>285</vt:i4>
  </property>
  <property fmtid="{D5CDD505-2E9C-101B-9397-08002B2CF9AE}" pid="4" name="Not Translated Words">
    <vt:i4>536</vt:i4>
  </property>
</Properties>
</file>