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46" w:rsidRPr="00777615" w:rsidRDefault="00D55146">
      <w:pPr>
        <w:jc w:val="center"/>
        <w:rPr>
          <w:rFonts w:ascii="Arial" w:hAnsi="Arial"/>
          <w:b/>
          <w:sz w:val="28"/>
          <w:lang w:val="fr-C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40"/>
        <w:gridCol w:w="1170"/>
        <w:gridCol w:w="2160"/>
        <w:gridCol w:w="1530"/>
        <w:gridCol w:w="1530"/>
        <w:gridCol w:w="2070"/>
        <w:gridCol w:w="990"/>
        <w:gridCol w:w="826"/>
      </w:tblGrid>
      <w:tr w:rsidR="00D55146" w:rsidRPr="00777615">
        <w:trPr>
          <w:cantSplit/>
        </w:trPr>
        <w:tc>
          <w:tcPr>
            <w:tcW w:w="1458" w:type="dxa"/>
            <w:shd w:val="pct20" w:color="auto" w:fill="FFFFFF"/>
          </w:tcPr>
          <w:p w:rsidR="00D55146" w:rsidRPr="00DD6EEA" w:rsidRDefault="00777615" w:rsidP="00777615">
            <w:pPr>
              <w:jc w:val="center"/>
              <w:rPr>
                <w:rFonts w:ascii="Arial" w:hAnsi="Arial"/>
                <w:b/>
                <w:lang w:val="fr-CA"/>
              </w:rPr>
            </w:pPr>
            <w:r w:rsidRPr="00DD6EEA">
              <w:rPr>
                <w:rFonts w:ascii="Arial" w:hAnsi="Arial"/>
                <w:b/>
                <w:color w:val="000000"/>
                <w:lang w:val="fr-CA"/>
              </w:rPr>
              <w:t>Date du jour</w:t>
            </w:r>
          </w:p>
        </w:tc>
        <w:tc>
          <w:tcPr>
            <w:tcW w:w="1440" w:type="dxa"/>
            <w:shd w:val="pct20" w:color="auto" w:fill="FFFFFF"/>
          </w:tcPr>
          <w:p w:rsidR="00D55146" w:rsidRPr="00777615" w:rsidRDefault="00777615" w:rsidP="00777615">
            <w:pPr>
              <w:jc w:val="center"/>
              <w:rPr>
                <w:rFonts w:ascii="Arial" w:hAnsi="Arial"/>
                <w:b/>
                <w:lang w:val="fr-CA"/>
              </w:rPr>
            </w:pPr>
            <w:r w:rsidRPr="00777615">
              <w:rPr>
                <w:rFonts w:ascii="Arial" w:hAnsi="Arial"/>
                <w:b/>
                <w:color w:val="000000"/>
                <w:lang w:val="fr-CA"/>
              </w:rPr>
              <w:t>Produit</w:t>
            </w:r>
          </w:p>
        </w:tc>
        <w:tc>
          <w:tcPr>
            <w:tcW w:w="1170" w:type="dxa"/>
            <w:shd w:val="pct20" w:color="auto" w:fill="FFFFFF"/>
          </w:tcPr>
          <w:p w:rsidR="00D55146" w:rsidRPr="00777615" w:rsidRDefault="00D55146">
            <w:pPr>
              <w:jc w:val="center"/>
              <w:rPr>
                <w:rFonts w:ascii="Arial" w:hAnsi="Arial"/>
                <w:b/>
                <w:lang w:val="fr-CA"/>
              </w:rPr>
            </w:pPr>
            <w:r w:rsidRPr="00777615">
              <w:rPr>
                <w:rFonts w:ascii="Arial" w:hAnsi="Arial"/>
                <w:b/>
                <w:lang w:val="fr-CA"/>
              </w:rPr>
              <w:t>Gr/Rh</w:t>
            </w:r>
          </w:p>
        </w:tc>
        <w:tc>
          <w:tcPr>
            <w:tcW w:w="2160" w:type="dxa"/>
            <w:shd w:val="pct20" w:color="auto" w:fill="FFFFFF"/>
          </w:tcPr>
          <w:p w:rsidR="00D55146" w:rsidRPr="00777615" w:rsidRDefault="00777615" w:rsidP="00777615">
            <w:pPr>
              <w:jc w:val="center"/>
              <w:rPr>
                <w:rFonts w:ascii="Arial" w:hAnsi="Arial"/>
                <w:b/>
                <w:lang w:val="fr-CA"/>
              </w:rPr>
            </w:pPr>
            <w:r w:rsidRPr="00777615">
              <w:rPr>
                <w:rFonts w:ascii="Arial" w:hAnsi="Arial"/>
                <w:color w:val="000000"/>
                <w:lang w:val="fr-CA"/>
              </w:rPr>
              <w:t>Donneur/ n</w:t>
            </w:r>
            <w:r w:rsidRPr="00777615">
              <w:rPr>
                <w:rFonts w:ascii="Arial" w:hAnsi="Arial"/>
                <w:color w:val="000000"/>
                <w:vertAlign w:val="superscript"/>
                <w:lang w:val="fr-CA"/>
              </w:rPr>
              <w:t>o</w:t>
            </w:r>
            <w:r w:rsidRPr="00777615">
              <w:rPr>
                <w:rFonts w:ascii="Arial" w:hAnsi="Arial"/>
                <w:color w:val="000000"/>
                <w:lang w:val="fr-CA"/>
              </w:rPr>
              <w:t xml:space="preserve"> lot</w:t>
            </w:r>
          </w:p>
        </w:tc>
        <w:tc>
          <w:tcPr>
            <w:tcW w:w="1530" w:type="dxa"/>
            <w:shd w:val="pct20" w:color="auto" w:fill="FFFFFF"/>
          </w:tcPr>
          <w:p w:rsidR="00D55146" w:rsidRPr="00DD6EEA" w:rsidRDefault="00777615" w:rsidP="00777615">
            <w:pPr>
              <w:jc w:val="center"/>
              <w:rPr>
                <w:rFonts w:ascii="Arial" w:hAnsi="Arial"/>
                <w:b/>
                <w:lang w:val="fr-CA"/>
              </w:rPr>
            </w:pPr>
            <w:r w:rsidRPr="00DD6EEA">
              <w:rPr>
                <w:rFonts w:ascii="Arial" w:hAnsi="Arial"/>
                <w:b/>
                <w:color w:val="000000"/>
                <w:lang w:val="fr-CA"/>
              </w:rPr>
              <w:t>Date de péremption</w:t>
            </w:r>
          </w:p>
        </w:tc>
        <w:tc>
          <w:tcPr>
            <w:tcW w:w="1530" w:type="dxa"/>
            <w:shd w:val="pct20" w:color="auto" w:fill="FFFFFF"/>
          </w:tcPr>
          <w:p w:rsidR="00D55146" w:rsidRPr="00DD6EEA" w:rsidRDefault="00777615" w:rsidP="00777615">
            <w:pPr>
              <w:jc w:val="center"/>
              <w:rPr>
                <w:rFonts w:ascii="Arial" w:hAnsi="Arial"/>
                <w:b/>
                <w:lang w:val="fr-CA"/>
              </w:rPr>
            </w:pPr>
            <w:r w:rsidRPr="00DD6EEA">
              <w:rPr>
                <w:rFonts w:ascii="Arial" w:hAnsi="Arial"/>
                <w:b/>
                <w:color w:val="000000"/>
                <w:lang w:val="fr-CA"/>
              </w:rPr>
              <w:t>Date du rejet</w:t>
            </w:r>
          </w:p>
        </w:tc>
        <w:tc>
          <w:tcPr>
            <w:tcW w:w="2070" w:type="dxa"/>
            <w:shd w:val="pct20" w:color="auto" w:fill="FFFFFF"/>
          </w:tcPr>
          <w:p w:rsidR="00D55146" w:rsidRPr="00DD6EEA" w:rsidRDefault="00777615" w:rsidP="00777615">
            <w:pPr>
              <w:jc w:val="center"/>
              <w:rPr>
                <w:rFonts w:ascii="Arial" w:hAnsi="Arial"/>
                <w:b/>
                <w:lang w:val="fr-CA"/>
              </w:rPr>
            </w:pPr>
            <w:r w:rsidRPr="00DD6EEA">
              <w:rPr>
                <w:rFonts w:ascii="Arial" w:hAnsi="Arial"/>
                <w:b/>
                <w:color w:val="000000"/>
                <w:lang w:val="fr-CA"/>
              </w:rPr>
              <w:t>Raison</w:t>
            </w:r>
          </w:p>
        </w:tc>
        <w:tc>
          <w:tcPr>
            <w:tcW w:w="990" w:type="dxa"/>
            <w:shd w:val="pct20" w:color="auto" w:fill="FFFFFF"/>
          </w:tcPr>
          <w:p w:rsidR="00D55146" w:rsidRPr="00DD6EEA" w:rsidRDefault="00777615" w:rsidP="00777615">
            <w:pPr>
              <w:jc w:val="center"/>
              <w:rPr>
                <w:rFonts w:ascii="Arial" w:hAnsi="Arial"/>
                <w:b/>
                <w:lang w:val="fr-CA"/>
              </w:rPr>
            </w:pPr>
            <w:r w:rsidRPr="00DD6EEA">
              <w:rPr>
                <w:rFonts w:ascii="Arial" w:hAnsi="Arial"/>
                <w:b/>
                <w:color w:val="000000"/>
                <w:lang w:val="fr-CA"/>
              </w:rPr>
              <w:t>Code de rejet</w:t>
            </w:r>
          </w:p>
        </w:tc>
        <w:tc>
          <w:tcPr>
            <w:tcW w:w="826" w:type="dxa"/>
            <w:shd w:val="pct20" w:color="auto" w:fill="FFFFFF"/>
          </w:tcPr>
          <w:p w:rsidR="00D55146" w:rsidRPr="00DD6EEA" w:rsidRDefault="00D55146">
            <w:pPr>
              <w:jc w:val="center"/>
              <w:rPr>
                <w:rFonts w:ascii="Arial" w:hAnsi="Arial"/>
                <w:b/>
                <w:lang w:val="fr-CA"/>
              </w:rPr>
            </w:pPr>
            <w:r w:rsidRPr="00DD6EEA">
              <w:rPr>
                <w:rFonts w:ascii="Arial" w:hAnsi="Arial"/>
                <w:b/>
                <w:lang w:val="fr-CA"/>
              </w:rPr>
              <w:t>ID</w:t>
            </w:r>
            <w:r w:rsidR="00777615" w:rsidRPr="00DD6EEA">
              <w:rPr>
                <w:rFonts w:ascii="Arial" w:hAnsi="Arial"/>
                <w:b/>
                <w:lang w:val="fr-CA"/>
              </w:rPr>
              <w:t xml:space="preserve"> du </w:t>
            </w:r>
            <w:proofErr w:type="spellStart"/>
            <w:r w:rsidR="00777615" w:rsidRPr="00DD6EEA">
              <w:rPr>
                <w:rFonts w:ascii="Arial" w:hAnsi="Arial"/>
                <w:b/>
                <w:lang w:val="fr-CA"/>
              </w:rPr>
              <w:t>techn</w:t>
            </w:r>
            <w:proofErr w:type="spellEnd"/>
            <w:r w:rsidR="00777615" w:rsidRPr="00DD6EEA">
              <w:rPr>
                <w:rFonts w:ascii="Arial" w:hAnsi="Arial"/>
                <w:b/>
                <w:lang w:val="fr-CA"/>
              </w:rPr>
              <w:t>.</w:t>
            </w: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  <w:trHeight w:val="233"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55146" w:rsidRPr="00777615">
        <w:trPr>
          <w:cantSplit/>
        </w:trPr>
        <w:tc>
          <w:tcPr>
            <w:tcW w:w="1458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44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1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16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153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207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990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  <w:tc>
          <w:tcPr>
            <w:tcW w:w="826" w:type="dxa"/>
          </w:tcPr>
          <w:p w:rsidR="00D55146" w:rsidRPr="00777615" w:rsidRDefault="00D5514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</w:tbl>
    <w:p w:rsidR="00D55146" w:rsidRPr="00777615" w:rsidRDefault="00D55146">
      <w:pPr>
        <w:rPr>
          <w:rFonts w:ascii="Arial" w:hAnsi="Arial"/>
          <w:b/>
          <w:sz w:val="24"/>
          <w:lang w:val="fr-CA"/>
        </w:rPr>
      </w:pPr>
    </w:p>
    <w:p w:rsidR="00D55146" w:rsidRPr="00777615" w:rsidRDefault="00D55146">
      <w:pPr>
        <w:rPr>
          <w:rFonts w:ascii="Arial" w:hAnsi="Arial"/>
          <w:b/>
          <w:sz w:val="24"/>
          <w:lang w:val="fr-CA"/>
        </w:rPr>
      </w:pPr>
      <w:r w:rsidRPr="00777615">
        <w:rPr>
          <w:rFonts w:ascii="Arial" w:hAnsi="Arial"/>
          <w:b/>
          <w:sz w:val="24"/>
          <w:lang w:val="fr-CA"/>
        </w:rPr>
        <w:t>*</w:t>
      </w:r>
      <w:r w:rsidRPr="00DD6EEA">
        <w:rPr>
          <w:rFonts w:ascii="Arial" w:hAnsi="Arial"/>
          <w:b/>
          <w:sz w:val="24"/>
          <w:lang w:val="fr-CA"/>
        </w:rPr>
        <w:t>Inclu</w:t>
      </w:r>
      <w:r w:rsidR="00777615" w:rsidRPr="00DD6EEA">
        <w:rPr>
          <w:rFonts w:ascii="Arial" w:hAnsi="Arial"/>
          <w:b/>
          <w:sz w:val="24"/>
          <w:lang w:val="fr-CA"/>
        </w:rPr>
        <w:t>ant le code de vérification et celui de l’établissement de collecte s’ils sont fourni</w:t>
      </w:r>
      <w:r w:rsidR="00777615">
        <w:rPr>
          <w:rFonts w:ascii="Arial" w:hAnsi="Arial"/>
          <w:b/>
          <w:sz w:val="24"/>
          <w:lang w:val="fr-CA"/>
        </w:rPr>
        <w:t>s</w:t>
      </w:r>
      <w:r w:rsidRPr="00777615">
        <w:rPr>
          <w:rFonts w:ascii="Arial" w:hAnsi="Arial"/>
          <w:b/>
          <w:sz w:val="24"/>
          <w:lang w:val="fr-CA"/>
        </w:rPr>
        <w:t>.</w:t>
      </w:r>
    </w:p>
    <w:sectPr w:rsidR="00D55146" w:rsidRPr="00777615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AF" w:rsidRDefault="00B249AF">
      <w:r>
        <w:separator/>
      </w:r>
    </w:p>
  </w:endnote>
  <w:endnote w:type="continuationSeparator" w:id="0">
    <w:p w:rsidR="00B249AF" w:rsidRDefault="00B2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10350"/>
      <w:gridCol w:w="1440"/>
    </w:tblGrid>
    <w:tr w:rsidR="00DD6EEA">
      <w:trPr>
        <w:trHeight w:val="720"/>
      </w:trPr>
      <w:tc>
        <w:tcPr>
          <w:tcW w:w="1368" w:type="dxa"/>
          <w:tcBorders>
            <w:top w:val="nil"/>
          </w:tcBorders>
        </w:tcPr>
        <w:p w:rsidR="00DD6EEA" w:rsidRDefault="004B0485">
          <w:pPr>
            <w:pStyle w:val="Footer"/>
            <w:jc w:val="center"/>
            <w:rPr>
              <w:rFonts w:ascii="Verdana" w:hAnsi="Verdana"/>
              <w:sz w:val="16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0" w:type="dxa"/>
          <w:tcBorders>
            <w:top w:val="nil"/>
          </w:tcBorders>
        </w:tcPr>
        <w:p w:rsidR="00F24988" w:rsidRPr="00D52543" w:rsidRDefault="00F24988" w:rsidP="00F2498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7412EA" w:rsidRDefault="007412EA" w:rsidP="007412EA">
          <w:pPr>
            <w:pStyle w:val="Footer"/>
            <w:tabs>
              <w:tab w:val="clear" w:pos="4320"/>
              <w:tab w:val="center" w:pos="2460"/>
            </w:tabs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ab/>
            <w:t>Manuel de ressources techniques en transfusion de l’Ontario</w:t>
          </w:r>
        </w:p>
        <w:p w:rsidR="00F24988" w:rsidRPr="00D52543" w:rsidRDefault="00F24988" w:rsidP="007412EA">
          <w:pPr>
            <w:pStyle w:val="Footer"/>
            <w:rPr>
              <w:rFonts w:ascii="Arial" w:hAnsi="Arial"/>
              <w:sz w:val="18"/>
              <w:lang w:val="fr-CA"/>
            </w:rPr>
          </w:pPr>
        </w:p>
        <w:p w:rsidR="00DD6EEA" w:rsidRDefault="00DD6EE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40" w:type="dxa"/>
          <w:tcBorders>
            <w:top w:val="nil"/>
          </w:tcBorders>
        </w:tcPr>
        <w:p w:rsidR="00DD6EEA" w:rsidRDefault="00DD6EEA" w:rsidP="00777615">
          <w:pPr>
            <w:pStyle w:val="Footer"/>
            <w:jc w:val="right"/>
            <w:rPr>
              <w:rFonts w:ascii="Arial" w:hAnsi="Arial"/>
              <w:sz w:val="18"/>
            </w:rPr>
          </w:pPr>
          <w:r w:rsidRPr="00777615">
            <w:rPr>
              <w:rFonts w:ascii="Arial" w:hAnsi="Arial"/>
              <w:color w:val="000000"/>
              <w:sz w:val="18"/>
            </w:rPr>
            <w:t>G</w:t>
          </w:r>
          <w:r w:rsidR="00F24988">
            <w:rPr>
              <w:rFonts w:ascii="Arial" w:hAnsi="Arial"/>
              <w:color w:val="000000"/>
              <w:sz w:val="18"/>
            </w:rPr>
            <w:t>S</w:t>
          </w:r>
          <w:r w:rsidRPr="00777615">
            <w:rPr>
              <w:rFonts w:ascii="Arial" w:hAnsi="Arial"/>
              <w:color w:val="000000"/>
              <w:sz w:val="18"/>
            </w:rPr>
            <w:t>.005F</w:t>
          </w:r>
        </w:p>
        <w:p w:rsidR="00DD6EEA" w:rsidRDefault="00DD6EEA" w:rsidP="00777615">
          <w:pPr>
            <w:pStyle w:val="Footer"/>
            <w:jc w:val="right"/>
            <w:rPr>
              <w:rFonts w:ascii="Arial" w:hAnsi="Arial"/>
              <w:sz w:val="18"/>
            </w:rPr>
          </w:pPr>
          <w:r w:rsidRPr="00DD6EEA">
            <w:rPr>
              <w:rFonts w:ascii="Arial" w:hAnsi="Arial"/>
              <w:snapToGrid w:val="0"/>
              <w:sz w:val="18"/>
            </w:rPr>
            <w:t>Page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C125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Pr="00DD6EEA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4C125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D6EEA" w:rsidRDefault="00DD6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AF" w:rsidRDefault="00B249AF">
      <w:r>
        <w:separator/>
      </w:r>
    </w:p>
  </w:footnote>
  <w:footnote w:type="continuationSeparator" w:id="0">
    <w:p w:rsidR="00B249AF" w:rsidRDefault="00B2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A" w:rsidRPr="00DD6EEA" w:rsidRDefault="00DD6EEA" w:rsidP="00777615">
    <w:pPr>
      <w:pStyle w:val="BodyTextIndent"/>
      <w:jc w:val="center"/>
      <w:rPr>
        <w:sz w:val="28"/>
        <w:szCs w:val="28"/>
        <w:lang w:val="fr-CA"/>
      </w:rPr>
    </w:pPr>
    <w:r w:rsidRPr="00DD6EEA">
      <w:rPr>
        <w:sz w:val="28"/>
        <w:szCs w:val="28"/>
        <w:lang w:val="fr-CA"/>
      </w:rPr>
      <w:t xml:space="preserve">Élimination de composants sanguins et de produits </w:t>
    </w:r>
    <w:r w:rsidR="007412EA">
      <w:rPr>
        <w:sz w:val="28"/>
        <w:szCs w:val="28"/>
        <w:lang w:val="fr-CA"/>
      </w:rPr>
      <w:t>de protéines plasmatiques</w:t>
    </w:r>
  </w:p>
  <w:p w:rsidR="00DD6EEA" w:rsidRPr="00DD6EEA" w:rsidRDefault="00DD6EEA" w:rsidP="00777615">
    <w:pPr>
      <w:pStyle w:val="BodyTextIndent"/>
      <w:jc w:val="center"/>
      <w:rPr>
        <w:sz w:val="28"/>
        <w:szCs w:val="28"/>
        <w:lang w:val="fr-CA"/>
      </w:rPr>
    </w:pPr>
    <w:proofErr w:type="gramStart"/>
    <w:r w:rsidRPr="00DD6EEA">
      <w:rPr>
        <w:sz w:val="28"/>
        <w:szCs w:val="28"/>
        <w:lang w:val="fr-CA"/>
      </w:rPr>
      <w:t>qui</w:t>
    </w:r>
    <w:proofErr w:type="gramEnd"/>
    <w:r w:rsidRPr="00DD6EEA">
      <w:rPr>
        <w:sz w:val="28"/>
        <w:szCs w:val="28"/>
        <w:lang w:val="fr-CA"/>
      </w:rPr>
      <w:t xml:space="preserve"> ne sont pas en état d’être transfusés – Procédure manuelle</w:t>
    </w:r>
  </w:p>
  <w:p w:rsidR="00DD6EEA" w:rsidRPr="00DD6EEA" w:rsidRDefault="00DD6EEA">
    <w:pPr>
      <w:pStyle w:val="Header"/>
      <w:jc w:val="center"/>
      <w:rPr>
        <w:rFonts w:ascii="Arial" w:hAnsi="Arial"/>
        <w:b/>
        <w:sz w:val="24"/>
        <w:lang w:val="fr-CA"/>
      </w:rPr>
    </w:pPr>
  </w:p>
  <w:p w:rsidR="00DD6EEA" w:rsidRPr="00DD6EEA" w:rsidRDefault="00DD6EEA" w:rsidP="00777615">
    <w:pPr>
      <w:pStyle w:val="Header"/>
      <w:jc w:val="center"/>
      <w:rPr>
        <w:rFonts w:ascii="Arial" w:hAnsi="Arial"/>
        <w:b/>
        <w:sz w:val="28"/>
        <w:lang w:val="fr-CA"/>
      </w:rPr>
    </w:pPr>
    <w:r w:rsidRPr="00DD6EEA">
      <w:rPr>
        <w:rFonts w:ascii="Arial" w:hAnsi="Arial"/>
        <w:color w:val="000000"/>
        <w:sz w:val="28"/>
        <w:lang w:val="fr-CA"/>
      </w:rPr>
      <w:t>R</w:t>
    </w:r>
    <w:r w:rsidRPr="00DD6EEA">
      <w:rPr>
        <w:rFonts w:ascii="Arial" w:hAnsi="Arial"/>
        <w:sz w:val="28"/>
        <w:lang w:val="fr-CA"/>
      </w:rPr>
      <w:t xml:space="preserve">egistre de rejet ou d’élimination de composant sanguin ou de </w:t>
    </w:r>
    <w:r w:rsidR="0078371F">
      <w:rPr>
        <w:rFonts w:ascii="Arial" w:hAnsi="Arial"/>
        <w:sz w:val="28"/>
        <w:lang w:val="fr-CA"/>
      </w:rPr>
      <w:t xml:space="preserve">produit de </w:t>
    </w:r>
    <w:r w:rsidRPr="00DD6EEA">
      <w:rPr>
        <w:rFonts w:ascii="Arial" w:hAnsi="Arial"/>
        <w:sz w:val="28"/>
        <w:lang w:val="fr-CA"/>
      </w:rPr>
      <w:t>pro</w:t>
    </w:r>
    <w:r w:rsidR="001D7175">
      <w:rPr>
        <w:rFonts w:ascii="Arial" w:hAnsi="Arial"/>
        <w:sz w:val="28"/>
        <w:lang w:val="fr-CA"/>
      </w:rPr>
      <w:t>téines plasmatiques</w:t>
    </w:r>
  </w:p>
  <w:p w:rsidR="00DD6EEA" w:rsidRPr="00DD6EEA" w:rsidRDefault="00DD6EEA">
    <w:pPr>
      <w:pStyle w:val="Header"/>
      <w:rPr>
        <w:rFonts w:ascii="Arial" w:hAnsi="Arial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15"/>
    <w:rsid w:val="000B0ACA"/>
    <w:rsid w:val="001D7175"/>
    <w:rsid w:val="00327B10"/>
    <w:rsid w:val="00376005"/>
    <w:rsid w:val="004B0485"/>
    <w:rsid w:val="004C125C"/>
    <w:rsid w:val="004F203A"/>
    <w:rsid w:val="00665C5B"/>
    <w:rsid w:val="007412EA"/>
    <w:rsid w:val="00777615"/>
    <w:rsid w:val="0078371F"/>
    <w:rsid w:val="00B249AF"/>
    <w:rsid w:val="00C46A5B"/>
    <w:rsid w:val="00D55146"/>
    <w:rsid w:val="00DD6EEA"/>
    <w:rsid w:val="00F24988"/>
    <w:rsid w:val="00F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A3F8D-7B08-48CF-8F8A-BFD9B92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7615"/>
    <w:pPr>
      <w:ind w:left="1440" w:hanging="1440"/>
    </w:pPr>
    <w:rPr>
      <w:rFonts w:ascii="Arial" w:hAnsi="Arial"/>
      <w:b/>
      <w:bCs/>
      <w:sz w:val="24"/>
    </w:rPr>
  </w:style>
  <w:style w:type="character" w:customStyle="1" w:styleId="FooterChar">
    <w:name w:val="Footer Char"/>
    <w:link w:val="Footer"/>
    <w:rsid w:val="007412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IM.005F - Manual Final Disposition of Blood, Blood Components and Other Related Products Not Suitable for Transfusion</vt:lpstr>
      <vt:lpstr>IM.005F - Manual Final Disposition of Blood, Blood Components and Other Related Products Not Suitable for Transfusion</vt:lpstr>
    </vt:vector>
  </TitlesOfParts>
  <Company>Ottawa Hospital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IM.005F - Manual Final Disposition of Blood, Blood Components and Other Related Products Not Suitable for Transfusion</dc:title>
  <dc:subject/>
  <dc:creator>TOPO</dc:creator>
  <cp:keywords/>
  <cp:lastModifiedBy>Nesrallah, Heather</cp:lastModifiedBy>
  <cp:revision>2</cp:revision>
  <cp:lastPrinted>2011-03-25T18:35:00Z</cp:lastPrinted>
  <dcterms:created xsi:type="dcterms:W3CDTF">2020-08-12T12:11:00Z</dcterms:created>
  <dcterms:modified xsi:type="dcterms:W3CDTF">2020-08-12T12:11:00Z</dcterms:modified>
</cp:coreProperties>
</file>