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42" w:type="dxa"/>
        <w:tblLayout w:type="fixed"/>
        <w:tblLook w:val="0000" w:firstRow="0" w:lastRow="0" w:firstColumn="0" w:lastColumn="0" w:noHBand="0" w:noVBand="0"/>
      </w:tblPr>
      <w:tblGrid>
        <w:gridCol w:w="835"/>
        <w:gridCol w:w="835"/>
        <w:gridCol w:w="782"/>
        <w:gridCol w:w="6390"/>
      </w:tblGrid>
      <w:tr w:rsidR="00796F6F" w:rsidRPr="00933797">
        <w:trPr>
          <w:cantSplit/>
        </w:trPr>
        <w:tc>
          <w:tcPr>
            <w:tcW w:w="8842" w:type="dxa"/>
            <w:gridSpan w:val="4"/>
          </w:tcPr>
          <w:p w:rsidR="00796F6F" w:rsidRPr="001242BA" w:rsidRDefault="00CD3F2F" w:rsidP="007839FB">
            <w:pPr>
              <w:pStyle w:val="Heading1"/>
            </w:pPr>
            <w:bookmarkStart w:id="0" w:name="_GoBack"/>
            <w:bookmarkEnd w:id="0"/>
            <w:r w:rsidRPr="001242BA">
              <w:t>Principe</w:t>
            </w:r>
          </w:p>
        </w:tc>
      </w:tr>
      <w:tr w:rsidR="00414587" w:rsidRPr="00933797">
        <w:trPr>
          <w:cantSplit/>
          <w:trHeight w:val="140"/>
        </w:trPr>
        <w:tc>
          <w:tcPr>
            <w:tcW w:w="835" w:type="dxa"/>
          </w:tcPr>
          <w:p w:rsidR="00414587" w:rsidRPr="00933797" w:rsidRDefault="00414587">
            <w:pPr>
              <w:pStyle w:val="Header"/>
              <w:tabs>
                <w:tab w:val="clear" w:pos="4320"/>
                <w:tab w:val="clear" w:pos="8640"/>
              </w:tabs>
              <w:rPr>
                <w:rFonts w:ascii="Arial" w:hAnsi="Arial"/>
                <w:lang w:val="fr-CA"/>
              </w:rPr>
            </w:pPr>
          </w:p>
        </w:tc>
        <w:tc>
          <w:tcPr>
            <w:tcW w:w="8007" w:type="dxa"/>
            <w:gridSpan w:val="3"/>
          </w:tcPr>
          <w:p w:rsidR="00414587" w:rsidRPr="00933797" w:rsidRDefault="00414587" w:rsidP="00CF2B01">
            <w:pPr>
              <w:widowControl w:val="0"/>
              <w:suppressAutoHyphens/>
              <w:rPr>
                <w:rFonts w:ascii="Arial" w:hAnsi="Arial"/>
                <w:b/>
                <w:lang w:val="fr-CA"/>
              </w:rPr>
            </w:pPr>
            <w:r w:rsidRPr="00933797">
              <w:rPr>
                <w:rFonts w:ascii="Arial" w:hAnsi="Arial"/>
                <w:lang w:val="fr-CA"/>
              </w:rPr>
              <w:t xml:space="preserve">Pour fournir une procédure </w:t>
            </w:r>
            <w:r w:rsidR="001B7955">
              <w:rPr>
                <w:rFonts w:ascii="Arial" w:hAnsi="Arial"/>
                <w:lang w:val="fr-CA"/>
              </w:rPr>
              <w:t>d’élimination ou de rejet</w:t>
            </w:r>
            <w:r w:rsidRPr="00933797">
              <w:rPr>
                <w:rFonts w:ascii="Arial" w:hAnsi="Arial"/>
                <w:lang w:val="fr-CA"/>
              </w:rPr>
              <w:t xml:space="preserve"> de tout sang, composant sanguin et autre produit connexe qui ne peut être transfusé et en documenter les étapes dans les établissements qui ne se servent pas d’un système informatisé en médecine transfusionnelle (SIMT). </w:t>
            </w:r>
          </w:p>
          <w:p w:rsidR="00414587" w:rsidRPr="00933797" w:rsidRDefault="00414587" w:rsidP="00CF2B01">
            <w:pPr>
              <w:widowControl w:val="0"/>
              <w:suppressAutoHyphens/>
              <w:rPr>
                <w:rFonts w:ascii="Arial" w:hAnsi="Arial"/>
                <w:lang w:val="fr-CA"/>
              </w:rPr>
            </w:pPr>
          </w:p>
        </w:tc>
      </w:tr>
      <w:tr w:rsidR="00414587" w:rsidRPr="00933797">
        <w:trPr>
          <w:cantSplit/>
        </w:trPr>
        <w:tc>
          <w:tcPr>
            <w:tcW w:w="8842" w:type="dxa"/>
            <w:gridSpan w:val="4"/>
          </w:tcPr>
          <w:p w:rsidR="00414587" w:rsidRPr="00933797" w:rsidRDefault="00414587" w:rsidP="007839FB">
            <w:pPr>
              <w:pStyle w:val="Heading1"/>
            </w:pPr>
            <w:r w:rsidRPr="00933797">
              <w:t>Portée et politiques connexes</w:t>
            </w:r>
          </w:p>
        </w:tc>
      </w:tr>
      <w:tr w:rsidR="00414587" w:rsidRPr="00933797">
        <w:tc>
          <w:tcPr>
            <w:tcW w:w="835" w:type="dxa"/>
          </w:tcPr>
          <w:p w:rsidR="00414587" w:rsidRPr="00933797" w:rsidRDefault="00414587">
            <w:pPr>
              <w:rPr>
                <w:rFonts w:ascii="Arial" w:hAnsi="Arial"/>
                <w:lang w:val="fr-CA"/>
              </w:rPr>
            </w:pPr>
          </w:p>
        </w:tc>
        <w:tc>
          <w:tcPr>
            <w:tcW w:w="835" w:type="dxa"/>
          </w:tcPr>
          <w:p w:rsidR="00414587" w:rsidRPr="00933797" w:rsidRDefault="00414587">
            <w:pPr>
              <w:pStyle w:val="Heading2"/>
              <w:numPr>
                <w:ilvl w:val="0"/>
                <w:numId w:val="0"/>
              </w:numPr>
              <w:rPr>
                <w:rFonts w:ascii="Arial" w:hAnsi="Arial"/>
                <w:lang w:val="fr-CA"/>
              </w:rPr>
            </w:pPr>
            <w:r w:rsidRPr="00933797">
              <w:rPr>
                <w:rFonts w:ascii="Arial" w:hAnsi="Arial"/>
                <w:lang w:val="fr-CA"/>
              </w:rPr>
              <w:t>2.1</w:t>
            </w:r>
          </w:p>
        </w:tc>
        <w:tc>
          <w:tcPr>
            <w:tcW w:w="7172" w:type="dxa"/>
            <w:gridSpan w:val="2"/>
          </w:tcPr>
          <w:p w:rsidR="00414587" w:rsidRPr="00933797" w:rsidRDefault="00414587">
            <w:pPr>
              <w:rPr>
                <w:rFonts w:ascii="Arial" w:hAnsi="Arial"/>
                <w:lang w:val="fr-CA"/>
              </w:rPr>
            </w:pPr>
            <w:r w:rsidRPr="00933797">
              <w:rPr>
                <w:rFonts w:ascii="Arial" w:hAnsi="Arial"/>
                <w:lang w:val="fr-CA"/>
              </w:rPr>
              <w:t>Tout sang, composant sanguin ou autre produit connexe ne doit pas être transfus</w:t>
            </w:r>
            <w:r w:rsidR="00CE6208">
              <w:rPr>
                <w:rFonts w:ascii="Arial" w:hAnsi="Arial"/>
                <w:lang w:val="fr-CA"/>
              </w:rPr>
              <w:t>é</w:t>
            </w:r>
            <w:r w:rsidRPr="00933797">
              <w:rPr>
                <w:rFonts w:ascii="Arial" w:hAnsi="Arial"/>
                <w:lang w:val="fr-CA"/>
              </w:rPr>
              <w:t xml:space="preserve"> après un échec de l’inspection visuelle. </w:t>
            </w:r>
            <w:r w:rsidR="00933797" w:rsidRPr="00933797">
              <w:rPr>
                <w:rFonts w:ascii="Arial" w:hAnsi="Arial"/>
                <w:lang w:val="fr-CA"/>
              </w:rPr>
              <w:t xml:space="preserve">En présence d’une anomalie évidente, il ne faut pas mettre l’unité en </w:t>
            </w:r>
            <w:r w:rsidR="00855A31">
              <w:rPr>
                <w:rFonts w:ascii="Arial" w:hAnsi="Arial"/>
                <w:lang w:val="fr-CA"/>
              </w:rPr>
              <w:t>circulation</w:t>
            </w:r>
            <w:r w:rsidR="00933797" w:rsidRPr="00933797">
              <w:rPr>
                <w:rFonts w:ascii="Arial" w:hAnsi="Arial"/>
                <w:lang w:val="fr-CA"/>
              </w:rPr>
              <w:t xml:space="preserve">, mais communiquer avec le fournisseur du sang au sujet de la disposition finale du produit. </w:t>
            </w:r>
            <w:r w:rsidR="007839FB">
              <w:rPr>
                <w:rFonts w:ascii="Arial" w:hAnsi="Arial"/>
                <w:lang w:val="fr-CA"/>
              </w:rPr>
              <w:t>Remplir à cet effet le formulaire indiqué par le fournisseur. Voir 7.0 - Documentation</w:t>
            </w:r>
            <w:r w:rsidR="00536049">
              <w:rPr>
                <w:rFonts w:ascii="Arial" w:hAnsi="Arial"/>
                <w:lang w:val="fr-CA"/>
              </w:rPr>
              <w:t>.</w:t>
            </w:r>
          </w:p>
          <w:p w:rsidR="00414587" w:rsidRPr="00933797" w:rsidRDefault="00414587">
            <w:pPr>
              <w:rPr>
                <w:rFonts w:ascii="Arial" w:hAnsi="Arial"/>
                <w:lang w:val="fr-CA"/>
              </w:rPr>
            </w:pPr>
          </w:p>
        </w:tc>
      </w:tr>
      <w:tr w:rsidR="00414587" w:rsidRPr="00933797">
        <w:tc>
          <w:tcPr>
            <w:tcW w:w="835" w:type="dxa"/>
          </w:tcPr>
          <w:p w:rsidR="00414587" w:rsidRPr="00933797" w:rsidRDefault="00414587">
            <w:pPr>
              <w:rPr>
                <w:rFonts w:ascii="Arial" w:hAnsi="Arial"/>
                <w:lang w:val="fr-CA"/>
              </w:rPr>
            </w:pPr>
          </w:p>
        </w:tc>
        <w:tc>
          <w:tcPr>
            <w:tcW w:w="835" w:type="dxa"/>
          </w:tcPr>
          <w:p w:rsidR="00414587" w:rsidRPr="00933797" w:rsidRDefault="00414587">
            <w:pPr>
              <w:pStyle w:val="Heading2"/>
              <w:numPr>
                <w:ilvl w:val="0"/>
                <w:numId w:val="0"/>
              </w:numPr>
              <w:rPr>
                <w:rFonts w:ascii="Arial" w:hAnsi="Arial"/>
                <w:lang w:val="fr-CA"/>
              </w:rPr>
            </w:pPr>
            <w:r w:rsidRPr="00933797">
              <w:rPr>
                <w:rFonts w:ascii="Arial" w:hAnsi="Arial"/>
                <w:lang w:val="fr-CA"/>
              </w:rPr>
              <w:t>2.2</w:t>
            </w:r>
          </w:p>
        </w:tc>
        <w:tc>
          <w:tcPr>
            <w:tcW w:w="7172" w:type="dxa"/>
            <w:gridSpan w:val="2"/>
          </w:tcPr>
          <w:p w:rsidR="00414587" w:rsidRPr="00933797" w:rsidRDefault="00933797">
            <w:pPr>
              <w:rPr>
                <w:rFonts w:ascii="Arial" w:hAnsi="Arial"/>
                <w:lang w:val="fr-CA"/>
              </w:rPr>
            </w:pPr>
            <w:r w:rsidRPr="00933797">
              <w:rPr>
                <w:rFonts w:ascii="Arial" w:hAnsi="Arial"/>
                <w:lang w:val="fr-CA"/>
              </w:rPr>
              <w:t xml:space="preserve">Les dossiers devront permettre de faire le suivi </w:t>
            </w:r>
            <w:r w:rsidR="00536049">
              <w:rPr>
                <w:rFonts w:ascii="Arial" w:hAnsi="Arial"/>
                <w:lang w:val="fr-CA"/>
              </w:rPr>
              <w:t>indéfini de tous les composants et produits sanguins, de leur source à leur dispo</w:t>
            </w:r>
            <w:r w:rsidRPr="00933797">
              <w:rPr>
                <w:rFonts w:ascii="Arial" w:hAnsi="Arial"/>
                <w:lang w:val="fr-CA"/>
              </w:rPr>
              <w:t>sition finale</w:t>
            </w:r>
            <w:r w:rsidR="00414587" w:rsidRPr="00933797">
              <w:rPr>
                <w:rFonts w:ascii="Arial" w:hAnsi="Arial"/>
                <w:vertAlign w:val="superscript"/>
                <w:lang w:val="fr-CA"/>
              </w:rPr>
              <w:t>9.1</w:t>
            </w:r>
            <w:r w:rsidRPr="00933797">
              <w:rPr>
                <w:rFonts w:ascii="Arial" w:hAnsi="Arial"/>
                <w:lang w:val="fr-CA"/>
              </w:rPr>
              <w:t>.</w:t>
            </w:r>
            <w:r w:rsidR="00414587" w:rsidRPr="00933797">
              <w:rPr>
                <w:rFonts w:ascii="Arial" w:hAnsi="Arial"/>
                <w:lang w:val="fr-CA"/>
              </w:rPr>
              <w:t xml:space="preserve"> </w:t>
            </w:r>
          </w:p>
          <w:p w:rsidR="00414587" w:rsidRPr="00933797" w:rsidRDefault="00414587">
            <w:pPr>
              <w:rPr>
                <w:rFonts w:ascii="Arial" w:hAnsi="Arial"/>
                <w:lang w:val="fr-CA"/>
              </w:rPr>
            </w:pPr>
          </w:p>
        </w:tc>
      </w:tr>
      <w:tr w:rsidR="00414587" w:rsidRPr="00933797">
        <w:tc>
          <w:tcPr>
            <w:tcW w:w="835" w:type="dxa"/>
          </w:tcPr>
          <w:p w:rsidR="00414587" w:rsidRPr="00933797" w:rsidRDefault="00414587">
            <w:pPr>
              <w:rPr>
                <w:rFonts w:ascii="Arial" w:hAnsi="Arial"/>
                <w:lang w:val="fr-CA"/>
              </w:rPr>
            </w:pPr>
          </w:p>
        </w:tc>
        <w:tc>
          <w:tcPr>
            <w:tcW w:w="835" w:type="dxa"/>
          </w:tcPr>
          <w:p w:rsidR="00414587" w:rsidRPr="00933797" w:rsidRDefault="00414587">
            <w:pPr>
              <w:rPr>
                <w:rFonts w:ascii="Arial" w:hAnsi="Arial"/>
                <w:lang w:val="fr-CA"/>
              </w:rPr>
            </w:pPr>
          </w:p>
        </w:tc>
        <w:tc>
          <w:tcPr>
            <w:tcW w:w="782" w:type="dxa"/>
          </w:tcPr>
          <w:p w:rsidR="00414587" w:rsidRPr="00933797" w:rsidRDefault="00414587">
            <w:pPr>
              <w:pStyle w:val="Heading3"/>
              <w:numPr>
                <w:ilvl w:val="0"/>
                <w:numId w:val="0"/>
              </w:numPr>
              <w:rPr>
                <w:rFonts w:ascii="Arial" w:hAnsi="Arial"/>
                <w:lang w:val="fr-CA"/>
              </w:rPr>
            </w:pPr>
            <w:r w:rsidRPr="00933797">
              <w:rPr>
                <w:rFonts w:ascii="Arial" w:hAnsi="Arial"/>
                <w:lang w:val="fr-CA"/>
              </w:rPr>
              <w:t>2.2.1</w:t>
            </w:r>
          </w:p>
        </w:tc>
        <w:tc>
          <w:tcPr>
            <w:tcW w:w="6390" w:type="dxa"/>
          </w:tcPr>
          <w:p w:rsidR="00414587" w:rsidRPr="00933797" w:rsidRDefault="00933797">
            <w:pPr>
              <w:rPr>
                <w:rFonts w:ascii="Arial" w:hAnsi="Arial"/>
                <w:lang w:val="fr-CA"/>
              </w:rPr>
            </w:pPr>
            <w:r w:rsidRPr="00933797">
              <w:rPr>
                <w:rFonts w:ascii="Arial" w:hAnsi="Arial"/>
                <w:lang w:val="fr-CA"/>
              </w:rPr>
              <w:t>Les dossiers relatifs au sang</w:t>
            </w:r>
            <w:r w:rsidR="007839FB">
              <w:rPr>
                <w:rFonts w:ascii="Arial" w:hAnsi="Arial"/>
                <w:lang w:val="fr-CA"/>
              </w:rPr>
              <w:t xml:space="preserve"> et</w:t>
            </w:r>
            <w:r w:rsidRPr="00933797">
              <w:rPr>
                <w:rFonts w:ascii="Arial" w:hAnsi="Arial"/>
                <w:lang w:val="fr-CA"/>
              </w:rPr>
              <w:t xml:space="preserve"> aux c</w:t>
            </w:r>
            <w:r w:rsidR="00414587" w:rsidRPr="00933797">
              <w:rPr>
                <w:rFonts w:ascii="Arial" w:hAnsi="Arial"/>
                <w:lang w:val="fr-CA"/>
              </w:rPr>
              <w:t xml:space="preserve">omposants sanguins </w:t>
            </w:r>
            <w:r w:rsidRPr="00933797">
              <w:rPr>
                <w:rFonts w:ascii="Arial" w:hAnsi="Arial"/>
                <w:lang w:val="fr-CA"/>
              </w:rPr>
              <w:t xml:space="preserve">qui ont été </w:t>
            </w:r>
            <w:r w:rsidR="001B7955">
              <w:rPr>
                <w:rFonts w:ascii="Arial" w:hAnsi="Arial"/>
                <w:lang w:val="fr-CA"/>
              </w:rPr>
              <w:t xml:space="preserve">éliminés ou </w:t>
            </w:r>
            <w:r w:rsidRPr="00933797">
              <w:rPr>
                <w:rFonts w:ascii="Arial" w:hAnsi="Arial"/>
                <w:lang w:val="fr-CA"/>
              </w:rPr>
              <w:t xml:space="preserve">rejetés seront conservés </w:t>
            </w:r>
            <w:r w:rsidR="007839FB">
              <w:rPr>
                <w:rFonts w:ascii="Arial" w:hAnsi="Arial"/>
                <w:lang w:val="fr-CA"/>
              </w:rPr>
              <w:t>conformément aux normes requises</w:t>
            </w:r>
            <w:r w:rsidR="007839FB">
              <w:rPr>
                <w:rFonts w:ascii="Arial" w:hAnsi="Arial"/>
                <w:vertAlign w:val="superscript"/>
                <w:lang w:val="fr-CA"/>
              </w:rPr>
              <w:t>9.2</w:t>
            </w:r>
            <w:r w:rsidR="007839FB">
              <w:rPr>
                <w:rFonts w:ascii="Arial" w:hAnsi="Arial"/>
                <w:lang w:val="fr-CA"/>
              </w:rPr>
              <w:t>.</w:t>
            </w:r>
            <w:r w:rsidR="00414587" w:rsidRPr="00933797">
              <w:rPr>
                <w:rFonts w:ascii="Arial" w:hAnsi="Arial"/>
                <w:lang w:val="fr-CA"/>
              </w:rPr>
              <w:t xml:space="preserve"> </w:t>
            </w:r>
          </w:p>
          <w:p w:rsidR="00414587" w:rsidRPr="00933797" w:rsidRDefault="00414587">
            <w:pPr>
              <w:rPr>
                <w:rFonts w:ascii="Arial" w:hAnsi="Arial"/>
                <w:lang w:val="fr-CA"/>
              </w:rPr>
            </w:pPr>
          </w:p>
        </w:tc>
      </w:tr>
      <w:tr w:rsidR="00414587" w:rsidRPr="00933797">
        <w:trPr>
          <w:trHeight w:val="74"/>
        </w:trPr>
        <w:tc>
          <w:tcPr>
            <w:tcW w:w="835" w:type="dxa"/>
          </w:tcPr>
          <w:p w:rsidR="00414587" w:rsidRPr="00933797" w:rsidRDefault="00414587">
            <w:pPr>
              <w:rPr>
                <w:rFonts w:ascii="Arial" w:hAnsi="Arial"/>
                <w:lang w:val="fr-CA"/>
              </w:rPr>
            </w:pPr>
          </w:p>
        </w:tc>
        <w:tc>
          <w:tcPr>
            <w:tcW w:w="835" w:type="dxa"/>
          </w:tcPr>
          <w:p w:rsidR="00414587" w:rsidRPr="00933797" w:rsidRDefault="00414587">
            <w:pPr>
              <w:pStyle w:val="Heading2"/>
              <w:numPr>
                <w:ilvl w:val="0"/>
                <w:numId w:val="0"/>
              </w:numPr>
              <w:rPr>
                <w:rFonts w:ascii="Arial" w:hAnsi="Arial"/>
                <w:lang w:val="fr-CA"/>
              </w:rPr>
            </w:pPr>
            <w:r w:rsidRPr="00933797">
              <w:rPr>
                <w:rFonts w:ascii="Arial" w:hAnsi="Arial"/>
                <w:lang w:val="fr-CA"/>
              </w:rPr>
              <w:t>2.3</w:t>
            </w:r>
          </w:p>
        </w:tc>
        <w:tc>
          <w:tcPr>
            <w:tcW w:w="7172" w:type="dxa"/>
            <w:gridSpan w:val="2"/>
          </w:tcPr>
          <w:p w:rsidR="00414587" w:rsidRPr="00933797" w:rsidRDefault="00933797">
            <w:pPr>
              <w:rPr>
                <w:rFonts w:ascii="Arial" w:hAnsi="Arial"/>
                <w:vertAlign w:val="superscript"/>
                <w:lang w:val="fr-CA"/>
              </w:rPr>
            </w:pPr>
            <w:r w:rsidRPr="00933797">
              <w:rPr>
                <w:rFonts w:ascii="Arial" w:hAnsi="Arial"/>
                <w:lang w:val="fr-CA"/>
              </w:rPr>
              <w:t xml:space="preserve">La date de péremption sera </w:t>
            </w:r>
            <w:r>
              <w:rPr>
                <w:rFonts w:ascii="Arial" w:hAnsi="Arial"/>
                <w:lang w:val="fr-CA"/>
              </w:rPr>
              <w:t>le dernier jour au cours duquel</w:t>
            </w:r>
            <w:r w:rsidRPr="00933797">
              <w:rPr>
                <w:rFonts w:ascii="Arial" w:hAnsi="Arial"/>
                <w:lang w:val="fr-CA"/>
              </w:rPr>
              <w:t xml:space="preserve"> le sang, le composant </w:t>
            </w:r>
            <w:r w:rsidR="007839FB">
              <w:rPr>
                <w:rFonts w:ascii="Arial" w:hAnsi="Arial"/>
                <w:lang w:val="fr-CA"/>
              </w:rPr>
              <w:t xml:space="preserve">ou produit </w:t>
            </w:r>
            <w:r w:rsidRPr="00933797">
              <w:rPr>
                <w:rFonts w:ascii="Arial" w:hAnsi="Arial"/>
                <w:lang w:val="fr-CA"/>
              </w:rPr>
              <w:t xml:space="preserve">sanguin </w:t>
            </w:r>
            <w:r w:rsidR="007839FB">
              <w:rPr>
                <w:rFonts w:ascii="Arial" w:hAnsi="Arial"/>
                <w:lang w:val="fr-CA"/>
              </w:rPr>
              <w:t>aurait pu être</w:t>
            </w:r>
            <w:r w:rsidRPr="00933797">
              <w:rPr>
                <w:rFonts w:ascii="Arial" w:hAnsi="Arial"/>
                <w:lang w:val="fr-CA"/>
              </w:rPr>
              <w:t xml:space="preserve"> util</w:t>
            </w:r>
            <w:r w:rsidR="007839FB">
              <w:rPr>
                <w:rFonts w:ascii="Arial" w:hAnsi="Arial"/>
                <w:lang w:val="fr-CA"/>
              </w:rPr>
              <w:t>isé</w:t>
            </w:r>
            <w:r w:rsidR="00536049">
              <w:rPr>
                <w:rFonts w:ascii="Arial" w:hAnsi="Arial"/>
                <w:vertAlign w:val="superscript"/>
                <w:lang w:val="fr-CA"/>
              </w:rPr>
              <w:t>9.2</w:t>
            </w:r>
            <w:r w:rsidRPr="00933797">
              <w:rPr>
                <w:rFonts w:ascii="Arial" w:hAnsi="Arial"/>
                <w:lang w:val="fr-CA"/>
              </w:rPr>
              <w:t xml:space="preserve">. </w:t>
            </w:r>
          </w:p>
          <w:p w:rsidR="00414587" w:rsidRPr="00933797" w:rsidRDefault="00414587">
            <w:pPr>
              <w:rPr>
                <w:rFonts w:ascii="Arial" w:hAnsi="Arial"/>
                <w:lang w:val="fr-CA"/>
              </w:rPr>
            </w:pPr>
          </w:p>
        </w:tc>
      </w:tr>
      <w:tr w:rsidR="00414587" w:rsidRPr="00933797">
        <w:trPr>
          <w:cantSplit/>
        </w:trPr>
        <w:tc>
          <w:tcPr>
            <w:tcW w:w="8842" w:type="dxa"/>
            <w:gridSpan w:val="4"/>
          </w:tcPr>
          <w:p w:rsidR="00414587" w:rsidRPr="00933797" w:rsidRDefault="00414587" w:rsidP="007839FB">
            <w:pPr>
              <w:pStyle w:val="Heading1"/>
            </w:pPr>
            <w:r w:rsidRPr="00933797">
              <w:t>Échantillons – S.O</w:t>
            </w:r>
          </w:p>
        </w:tc>
      </w:tr>
    </w:tbl>
    <w:p w:rsidR="00796F6F" w:rsidRPr="00933797" w:rsidRDefault="00796F6F">
      <w:pPr>
        <w:rPr>
          <w:lang w:val="fr-CA"/>
        </w:rPr>
      </w:pPr>
    </w:p>
    <w:tbl>
      <w:tblPr>
        <w:tblW w:w="9110" w:type="dxa"/>
        <w:tblLayout w:type="fixed"/>
        <w:tblLook w:val="0000" w:firstRow="0" w:lastRow="0" w:firstColumn="0" w:lastColumn="0" w:noHBand="0" w:noVBand="0"/>
      </w:tblPr>
      <w:tblGrid>
        <w:gridCol w:w="835"/>
        <w:gridCol w:w="835"/>
        <w:gridCol w:w="508"/>
        <w:gridCol w:w="325"/>
        <w:gridCol w:w="35"/>
        <w:gridCol w:w="90"/>
        <w:gridCol w:w="540"/>
        <w:gridCol w:w="3240"/>
        <w:gridCol w:w="2670"/>
        <w:gridCol w:w="32"/>
      </w:tblGrid>
      <w:tr w:rsidR="00796F6F" w:rsidRPr="00933797">
        <w:trPr>
          <w:gridAfter w:val="1"/>
          <w:wAfter w:w="32" w:type="dxa"/>
          <w:cantSplit/>
        </w:trPr>
        <w:tc>
          <w:tcPr>
            <w:tcW w:w="9078" w:type="dxa"/>
            <w:gridSpan w:val="9"/>
          </w:tcPr>
          <w:p w:rsidR="00796F6F" w:rsidRPr="00F2422A" w:rsidRDefault="00796F6F" w:rsidP="007839FB">
            <w:pPr>
              <w:pStyle w:val="Heading1"/>
            </w:pPr>
            <w:r w:rsidRPr="00F2422A">
              <w:rPr>
                <w:rFonts w:ascii="Georgia" w:hAnsi="Georgia"/>
                <w:kern w:val="24"/>
                <w:sz w:val="24"/>
              </w:rPr>
              <w:br w:type="page"/>
            </w:r>
            <w:r w:rsidR="00CD3F2F" w:rsidRPr="00F2422A">
              <w:t>Matériel</w:t>
            </w:r>
          </w:p>
        </w:tc>
      </w:tr>
      <w:tr w:rsidR="00796F6F" w:rsidRPr="00933797">
        <w:trPr>
          <w:gridAfter w:val="1"/>
          <w:wAfter w:w="32" w:type="dxa"/>
          <w:cantSplit/>
          <w:trHeight w:val="1646"/>
        </w:trPr>
        <w:tc>
          <w:tcPr>
            <w:tcW w:w="835" w:type="dxa"/>
            <w:tcBorders>
              <w:bottom w:val="nil"/>
            </w:tcBorders>
          </w:tcPr>
          <w:p w:rsidR="00796F6F" w:rsidRPr="00F2422A" w:rsidRDefault="00796F6F">
            <w:pPr>
              <w:rPr>
                <w:rFonts w:ascii="Arial" w:hAnsi="Arial"/>
                <w:lang w:val="fr-CA"/>
              </w:rPr>
            </w:pPr>
          </w:p>
        </w:tc>
        <w:tc>
          <w:tcPr>
            <w:tcW w:w="8243" w:type="dxa"/>
            <w:gridSpan w:val="8"/>
            <w:tcBorders>
              <w:bottom w:val="nil"/>
            </w:tcBorders>
          </w:tcPr>
          <w:p w:rsidR="00796F6F" w:rsidRPr="00F2422A" w:rsidRDefault="00933797" w:rsidP="00933797">
            <w:pPr>
              <w:pStyle w:val="Header"/>
              <w:tabs>
                <w:tab w:val="clear" w:pos="4320"/>
                <w:tab w:val="clear" w:pos="8640"/>
              </w:tabs>
              <w:ind w:left="1325" w:hanging="1440"/>
              <w:rPr>
                <w:rFonts w:ascii="Arial" w:hAnsi="Arial"/>
                <w:lang w:val="fr-CA"/>
              </w:rPr>
            </w:pPr>
            <w:r w:rsidRPr="00F2422A">
              <w:rPr>
                <w:rFonts w:ascii="Arial" w:hAnsi="Arial"/>
                <w:bCs/>
                <w:lang w:val="fr-CA"/>
              </w:rPr>
              <w:t xml:space="preserve">Fournitures : </w:t>
            </w:r>
            <w:r w:rsidRPr="00F2422A">
              <w:rPr>
                <w:rFonts w:ascii="Arial" w:hAnsi="Arial"/>
                <w:lang w:val="fr-CA"/>
              </w:rPr>
              <w:t>Sang</w:t>
            </w:r>
            <w:r w:rsidR="00796F6F" w:rsidRPr="00F2422A">
              <w:rPr>
                <w:rFonts w:ascii="Arial" w:hAnsi="Arial"/>
                <w:lang w:val="fr-CA"/>
              </w:rPr>
              <w:t xml:space="preserve">, </w:t>
            </w:r>
            <w:r w:rsidR="00904C7D" w:rsidRPr="00F2422A">
              <w:rPr>
                <w:rFonts w:ascii="Arial" w:hAnsi="Arial"/>
                <w:lang w:val="fr-CA"/>
              </w:rPr>
              <w:t>composant sanguin</w:t>
            </w:r>
            <w:r w:rsidR="00796F6F" w:rsidRPr="00F2422A">
              <w:rPr>
                <w:rFonts w:ascii="Arial" w:hAnsi="Arial"/>
                <w:lang w:val="fr-CA"/>
              </w:rPr>
              <w:t xml:space="preserve"> o</w:t>
            </w:r>
            <w:r w:rsidRPr="00F2422A">
              <w:rPr>
                <w:rFonts w:ascii="Arial" w:hAnsi="Arial"/>
                <w:lang w:val="fr-CA"/>
              </w:rPr>
              <w:t>u</w:t>
            </w:r>
            <w:r w:rsidR="00796F6F" w:rsidRPr="00F2422A">
              <w:rPr>
                <w:rFonts w:ascii="Arial" w:hAnsi="Arial"/>
                <w:lang w:val="fr-CA"/>
              </w:rPr>
              <w:t xml:space="preserve"> </w:t>
            </w:r>
            <w:r w:rsidRPr="00F2422A">
              <w:rPr>
                <w:rFonts w:ascii="Arial" w:hAnsi="Arial"/>
                <w:lang w:val="fr-CA"/>
              </w:rPr>
              <w:t>autre produit connexe qui n</w:t>
            </w:r>
            <w:r w:rsidR="001242BA">
              <w:rPr>
                <w:rFonts w:ascii="Arial" w:hAnsi="Arial"/>
                <w:lang w:val="fr-CA"/>
              </w:rPr>
              <w:t xml:space="preserve">’est </w:t>
            </w:r>
            <w:r w:rsidRPr="00F2422A">
              <w:rPr>
                <w:rFonts w:ascii="Arial" w:hAnsi="Arial"/>
                <w:lang w:val="fr-CA"/>
              </w:rPr>
              <w:t>pas en état d’être transfusé</w:t>
            </w:r>
          </w:p>
          <w:p w:rsidR="00796F6F" w:rsidRPr="00F2422A" w:rsidRDefault="00796F6F" w:rsidP="00933797">
            <w:pPr>
              <w:ind w:left="1325" w:hanging="1440"/>
              <w:rPr>
                <w:rFonts w:ascii="Arial" w:hAnsi="Arial"/>
                <w:lang w:val="fr-CA"/>
              </w:rPr>
            </w:pPr>
            <w:r w:rsidRPr="00F2422A">
              <w:rPr>
                <w:rFonts w:ascii="Arial" w:hAnsi="Arial"/>
                <w:lang w:val="fr-CA"/>
              </w:rPr>
              <w:t xml:space="preserve">                   </w:t>
            </w:r>
            <w:r w:rsidR="00933797" w:rsidRPr="00F2422A">
              <w:rPr>
                <w:rFonts w:ascii="Arial" w:hAnsi="Arial"/>
                <w:lang w:val="fr-CA"/>
              </w:rPr>
              <w:tab/>
              <w:t>Registre d</w:t>
            </w:r>
            <w:r w:rsidR="001242BA">
              <w:rPr>
                <w:rFonts w:ascii="Arial" w:hAnsi="Arial"/>
                <w:lang w:val="fr-CA"/>
              </w:rPr>
              <w:t>’élimination de</w:t>
            </w:r>
            <w:r w:rsidR="00933797" w:rsidRPr="00F2422A">
              <w:rPr>
                <w:rFonts w:ascii="Arial" w:hAnsi="Arial"/>
                <w:lang w:val="fr-CA"/>
              </w:rPr>
              <w:t xml:space="preserve"> sang, </w:t>
            </w:r>
            <w:r w:rsidR="00F2422A" w:rsidRPr="00F2422A">
              <w:rPr>
                <w:rFonts w:ascii="Arial" w:hAnsi="Arial"/>
                <w:lang w:val="fr-CA"/>
              </w:rPr>
              <w:t xml:space="preserve">de </w:t>
            </w:r>
            <w:r w:rsidR="00933797" w:rsidRPr="00F2422A">
              <w:rPr>
                <w:rFonts w:ascii="Arial" w:hAnsi="Arial"/>
                <w:lang w:val="fr-CA"/>
              </w:rPr>
              <w:t xml:space="preserve">composant </w:t>
            </w:r>
            <w:r w:rsidR="00F2422A" w:rsidRPr="00F2422A">
              <w:rPr>
                <w:rFonts w:ascii="Arial" w:hAnsi="Arial"/>
                <w:lang w:val="fr-CA"/>
              </w:rPr>
              <w:t xml:space="preserve">sanguin </w:t>
            </w:r>
            <w:r w:rsidR="00933797" w:rsidRPr="00F2422A">
              <w:rPr>
                <w:rFonts w:ascii="Arial" w:hAnsi="Arial"/>
                <w:lang w:val="fr-CA"/>
              </w:rPr>
              <w:t xml:space="preserve">et </w:t>
            </w:r>
            <w:r w:rsidR="00F2422A" w:rsidRPr="00F2422A">
              <w:rPr>
                <w:rFonts w:ascii="Arial" w:hAnsi="Arial"/>
                <w:lang w:val="fr-CA"/>
              </w:rPr>
              <w:t xml:space="preserve">de </w:t>
            </w:r>
            <w:r w:rsidR="00933797" w:rsidRPr="00F2422A">
              <w:rPr>
                <w:rFonts w:ascii="Arial" w:hAnsi="Arial"/>
                <w:lang w:val="fr-CA"/>
              </w:rPr>
              <w:t xml:space="preserve">produit </w:t>
            </w:r>
            <w:r w:rsidR="00F2422A" w:rsidRPr="00F2422A">
              <w:rPr>
                <w:rFonts w:ascii="Arial" w:hAnsi="Arial"/>
                <w:lang w:val="fr-CA"/>
              </w:rPr>
              <w:t>de fractionnement</w:t>
            </w:r>
            <w:r w:rsidRPr="00F2422A">
              <w:rPr>
                <w:rFonts w:ascii="Arial" w:hAnsi="Arial"/>
                <w:lang w:val="fr-CA"/>
              </w:rPr>
              <w:t xml:space="preserve"> (</w:t>
            </w:r>
            <w:r w:rsidR="00E77075">
              <w:rPr>
                <w:rFonts w:ascii="Arial" w:hAnsi="Arial"/>
                <w:lang w:val="fr-CA"/>
              </w:rPr>
              <w:t>GS</w:t>
            </w:r>
            <w:r w:rsidRPr="00F2422A">
              <w:rPr>
                <w:rFonts w:ascii="Arial" w:hAnsi="Arial"/>
                <w:lang w:val="fr-CA"/>
              </w:rPr>
              <w:t xml:space="preserve">.005F) </w:t>
            </w:r>
          </w:p>
          <w:p w:rsidR="00536049" w:rsidRPr="00933797" w:rsidRDefault="00796F6F" w:rsidP="00536049">
            <w:pPr>
              <w:rPr>
                <w:rFonts w:ascii="Arial" w:hAnsi="Arial"/>
                <w:lang w:val="fr-CA"/>
              </w:rPr>
            </w:pPr>
            <w:r w:rsidRPr="00F2422A">
              <w:rPr>
                <w:rFonts w:ascii="Arial" w:hAnsi="Arial"/>
                <w:lang w:val="fr-CA"/>
              </w:rPr>
              <w:t xml:space="preserve">                   </w:t>
            </w:r>
            <w:r w:rsidR="00933797" w:rsidRPr="00F2422A">
              <w:rPr>
                <w:rFonts w:ascii="Arial" w:hAnsi="Arial"/>
                <w:lang w:val="fr-CA"/>
              </w:rPr>
              <w:t xml:space="preserve">Formulaire </w:t>
            </w:r>
            <w:r w:rsidR="007839FB">
              <w:rPr>
                <w:rFonts w:ascii="Arial" w:hAnsi="Arial"/>
                <w:lang w:val="fr-CA"/>
              </w:rPr>
              <w:t>de la SCS. Voir 7.0 - Documentation</w:t>
            </w:r>
            <w:r w:rsidR="00536049">
              <w:rPr>
                <w:rFonts w:ascii="Arial" w:hAnsi="Arial"/>
                <w:lang w:val="fr-CA"/>
              </w:rPr>
              <w:t>.</w:t>
            </w:r>
          </w:p>
          <w:p w:rsidR="00796F6F" w:rsidRPr="00F2422A" w:rsidRDefault="00796F6F">
            <w:pPr>
              <w:ind w:left="-115"/>
              <w:rPr>
                <w:rFonts w:ascii="Arial" w:hAnsi="Arial"/>
                <w:lang w:val="fr-CA"/>
              </w:rPr>
            </w:pPr>
          </w:p>
        </w:tc>
      </w:tr>
      <w:tr w:rsidR="00796F6F" w:rsidRPr="00933797">
        <w:trPr>
          <w:gridAfter w:val="1"/>
          <w:wAfter w:w="32" w:type="dxa"/>
          <w:cantSplit/>
        </w:trPr>
        <w:tc>
          <w:tcPr>
            <w:tcW w:w="9078" w:type="dxa"/>
            <w:gridSpan w:val="9"/>
          </w:tcPr>
          <w:p w:rsidR="00796F6F" w:rsidRPr="00F2422A" w:rsidRDefault="00CD3F2F" w:rsidP="007839FB">
            <w:pPr>
              <w:pStyle w:val="Heading1"/>
            </w:pPr>
            <w:r w:rsidRPr="00F2422A">
              <w:t>Contrôle de la qualité</w:t>
            </w:r>
          </w:p>
        </w:tc>
      </w:tr>
      <w:tr w:rsidR="00796F6F" w:rsidRPr="00933797">
        <w:trPr>
          <w:gridAfter w:val="1"/>
          <w:wAfter w:w="32" w:type="dxa"/>
          <w:cantSplit/>
        </w:trPr>
        <w:tc>
          <w:tcPr>
            <w:tcW w:w="835" w:type="dxa"/>
          </w:tcPr>
          <w:p w:rsidR="00796F6F" w:rsidRPr="00F2422A" w:rsidRDefault="00796F6F">
            <w:pPr>
              <w:rPr>
                <w:rFonts w:ascii="Arial" w:hAnsi="Arial"/>
                <w:lang w:val="fr-CA"/>
              </w:rPr>
            </w:pPr>
          </w:p>
        </w:tc>
        <w:tc>
          <w:tcPr>
            <w:tcW w:w="835" w:type="dxa"/>
          </w:tcPr>
          <w:p w:rsidR="00796F6F" w:rsidRPr="00F2422A" w:rsidRDefault="00796F6F">
            <w:pPr>
              <w:pStyle w:val="Heading2"/>
              <w:numPr>
                <w:ilvl w:val="0"/>
                <w:numId w:val="0"/>
              </w:numPr>
              <w:rPr>
                <w:rFonts w:ascii="Arial" w:hAnsi="Arial"/>
                <w:lang w:val="fr-CA"/>
              </w:rPr>
            </w:pPr>
            <w:r w:rsidRPr="00F2422A">
              <w:rPr>
                <w:rFonts w:ascii="Arial" w:hAnsi="Arial"/>
                <w:lang w:val="fr-CA"/>
              </w:rPr>
              <w:t>5.1</w:t>
            </w:r>
          </w:p>
        </w:tc>
        <w:tc>
          <w:tcPr>
            <w:tcW w:w="7408" w:type="dxa"/>
            <w:gridSpan w:val="7"/>
          </w:tcPr>
          <w:p w:rsidR="00796F6F" w:rsidRPr="00F2422A" w:rsidRDefault="00F2422A">
            <w:pPr>
              <w:rPr>
                <w:rFonts w:ascii="Arial" w:hAnsi="Arial"/>
                <w:lang w:val="fr-CA"/>
              </w:rPr>
            </w:pPr>
            <w:r w:rsidRPr="00F2422A">
              <w:rPr>
                <w:rFonts w:ascii="Arial" w:hAnsi="Arial"/>
                <w:lang w:val="fr-CA"/>
              </w:rPr>
              <w:t xml:space="preserve">Tout produit doit être utilisé avant la date de péremption </w:t>
            </w:r>
            <w:r w:rsidR="00536049">
              <w:rPr>
                <w:rFonts w:ascii="Arial" w:hAnsi="Arial"/>
                <w:lang w:val="fr-CA"/>
              </w:rPr>
              <w:t>déterminée</w:t>
            </w:r>
            <w:r w:rsidRPr="00F2422A">
              <w:rPr>
                <w:rFonts w:ascii="Arial" w:hAnsi="Arial"/>
                <w:lang w:val="fr-CA"/>
              </w:rPr>
              <w:t xml:space="preserve"> par le fabricant. </w:t>
            </w:r>
            <w:r w:rsidR="00796F6F" w:rsidRPr="00F2422A">
              <w:rPr>
                <w:rFonts w:ascii="Arial" w:hAnsi="Arial"/>
                <w:lang w:val="fr-CA"/>
              </w:rPr>
              <w:t xml:space="preserve">  </w:t>
            </w:r>
          </w:p>
          <w:p w:rsidR="00796F6F" w:rsidRPr="00F2422A" w:rsidRDefault="00796F6F">
            <w:pPr>
              <w:rPr>
                <w:rFonts w:ascii="Arial" w:hAnsi="Arial"/>
                <w:lang w:val="fr-CA"/>
              </w:rPr>
            </w:pPr>
          </w:p>
        </w:tc>
      </w:tr>
      <w:tr w:rsidR="00796F6F" w:rsidRPr="00933797">
        <w:trPr>
          <w:gridAfter w:val="1"/>
          <w:wAfter w:w="32" w:type="dxa"/>
          <w:cantSplit/>
        </w:trPr>
        <w:tc>
          <w:tcPr>
            <w:tcW w:w="835" w:type="dxa"/>
          </w:tcPr>
          <w:p w:rsidR="00796F6F" w:rsidRPr="00F2422A" w:rsidRDefault="00796F6F">
            <w:pPr>
              <w:pStyle w:val="Header"/>
              <w:tabs>
                <w:tab w:val="clear" w:pos="4320"/>
                <w:tab w:val="clear" w:pos="8640"/>
              </w:tabs>
              <w:rPr>
                <w:rFonts w:ascii="Arial" w:hAnsi="Arial"/>
                <w:lang w:val="fr-CA"/>
              </w:rPr>
            </w:pPr>
          </w:p>
        </w:tc>
        <w:tc>
          <w:tcPr>
            <w:tcW w:w="835" w:type="dxa"/>
          </w:tcPr>
          <w:p w:rsidR="00796F6F" w:rsidRPr="00F2422A" w:rsidRDefault="00796F6F">
            <w:pPr>
              <w:rPr>
                <w:rFonts w:ascii="Arial" w:hAnsi="Arial"/>
                <w:lang w:val="fr-CA"/>
              </w:rPr>
            </w:pPr>
          </w:p>
        </w:tc>
        <w:tc>
          <w:tcPr>
            <w:tcW w:w="833" w:type="dxa"/>
            <w:gridSpan w:val="2"/>
          </w:tcPr>
          <w:p w:rsidR="00796F6F" w:rsidRPr="00F2422A" w:rsidRDefault="00796F6F">
            <w:pPr>
              <w:pStyle w:val="Heading3"/>
              <w:numPr>
                <w:ilvl w:val="0"/>
                <w:numId w:val="0"/>
              </w:numPr>
              <w:rPr>
                <w:rFonts w:ascii="Arial" w:hAnsi="Arial"/>
                <w:lang w:val="fr-CA"/>
              </w:rPr>
            </w:pPr>
            <w:r w:rsidRPr="00F2422A">
              <w:rPr>
                <w:rFonts w:ascii="Arial" w:hAnsi="Arial"/>
                <w:lang w:val="fr-CA"/>
              </w:rPr>
              <w:t>5.1.1</w:t>
            </w:r>
          </w:p>
        </w:tc>
        <w:tc>
          <w:tcPr>
            <w:tcW w:w="6575" w:type="dxa"/>
            <w:gridSpan w:val="5"/>
          </w:tcPr>
          <w:p w:rsidR="00796F6F" w:rsidRPr="00F2422A" w:rsidRDefault="00F2422A">
            <w:pPr>
              <w:rPr>
                <w:rFonts w:ascii="Arial" w:hAnsi="Arial"/>
                <w:lang w:val="fr-CA"/>
              </w:rPr>
            </w:pPr>
            <w:r w:rsidRPr="00F2422A">
              <w:rPr>
                <w:rFonts w:ascii="Arial" w:hAnsi="Arial"/>
                <w:lang w:val="fr-CA"/>
              </w:rPr>
              <w:t xml:space="preserve">Si </w:t>
            </w:r>
            <w:r w:rsidR="00855A31">
              <w:rPr>
                <w:rFonts w:ascii="Arial" w:hAnsi="Arial"/>
                <w:lang w:val="fr-CA"/>
              </w:rPr>
              <w:t>l’heure</w:t>
            </w:r>
            <w:r w:rsidRPr="00F2422A">
              <w:rPr>
                <w:rFonts w:ascii="Arial" w:hAnsi="Arial"/>
                <w:lang w:val="fr-CA"/>
              </w:rPr>
              <w:t xml:space="preserve"> de péremption ne figure pas sur l’étiquette d’un produit portant un numéro de lot, jeter le produit à minuit le jour de péremption du lot. </w:t>
            </w:r>
          </w:p>
          <w:p w:rsidR="00796F6F" w:rsidRPr="00F2422A" w:rsidRDefault="00796F6F">
            <w:pPr>
              <w:rPr>
                <w:rFonts w:ascii="Arial" w:hAnsi="Arial"/>
                <w:lang w:val="fr-CA"/>
              </w:rPr>
            </w:pPr>
          </w:p>
        </w:tc>
      </w:tr>
      <w:tr w:rsidR="00796F6F" w:rsidRPr="00933797">
        <w:trPr>
          <w:gridAfter w:val="1"/>
          <w:wAfter w:w="32" w:type="dxa"/>
          <w:cantSplit/>
        </w:trPr>
        <w:tc>
          <w:tcPr>
            <w:tcW w:w="835" w:type="dxa"/>
          </w:tcPr>
          <w:p w:rsidR="00796F6F" w:rsidRPr="00933797" w:rsidRDefault="00796F6F">
            <w:pPr>
              <w:rPr>
                <w:rFonts w:ascii="Arial" w:hAnsi="Arial"/>
                <w:lang w:val="fr-CA"/>
              </w:rPr>
            </w:pPr>
          </w:p>
        </w:tc>
        <w:tc>
          <w:tcPr>
            <w:tcW w:w="835" w:type="dxa"/>
          </w:tcPr>
          <w:p w:rsidR="00796F6F" w:rsidRPr="00933797" w:rsidRDefault="00796F6F">
            <w:pPr>
              <w:rPr>
                <w:rFonts w:ascii="Arial" w:hAnsi="Arial"/>
                <w:lang w:val="fr-CA"/>
              </w:rPr>
            </w:pPr>
          </w:p>
        </w:tc>
        <w:tc>
          <w:tcPr>
            <w:tcW w:w="833" w:type="dxa"/>
            <w:gridSpan w:val="2"/>
          </w:tcPr>
          <w:p w:rsidR="00796F6F" w:rsidRPr="00F2422A" w:rsidRDefault="00796F6F">
            <w:pPr>
              <w:pStyle w:val="Heading3"/>
              <w:numPr>
                <w:ilvl w:val="0"/>
                <w:numId w:val="0"/>
              </w:numPr>
              <w:rPr>
                <w:rFonts w:ascii="Arial" w:hAnsi="Arial"/>
                <w:lang w:val="fr-CA"/>
              </w:rPr>
            </w:pPr>
            <w:r w:rsidRPr="00F2422A">
              <w:rPr>
                <w:rFonts w:ascii="Arial" w:hAnsi="Arial"/>
                <w:lang w:val="fr-CA"/>
              </w:rPr>
              <w:t>5.1.2</w:t>
            </w:r>
          </w:p>
        </w:tc>
        <w:tc>
          <w:tcPr>
            <w:tcW w:w="6575" w:type="dxa"/>
            <w:gridSpan w:val="5"/>
          </w:tcPr>
          <w:p w:rsidR="00796F6F" w:rsidRPr="00F2422A" w:rsidRDefault="00F2422A">
            <w:pPr>
              <w:rPr>
                <w:rFonts w:ascii="Arial" w:hAnsi="Arial"/>
                <w:lang w:val="fr-CA"/>
              </w:rPr>
            </w:pPr>
            <w:r w:rsidRPr="00F2422A">
              <w:rPr>
                <w:rFonts w:ascii="Arial" w:hAnsi="Arial"/>
                <w:lang w:val="fr-CA"/>
              </w:rPr>
              <w:t xml:space="preserve">Si le jour de péremption ne figure pas sur l’étiquette d’un produit portant un numéro de lot (c.-à-d. seuls le mois et l’année y figurent), jeter le produit à minuit le dernier jour du mois de péremption. </w:t>
            </w:r>
          </w:p>
          <w:p w:rsidR="00796F6F" w:rsidRPr="00F2422A" w:rsidRDefault="00796F6F">
            <w:pPr>
              <w:rPr>
                <w:rFonts w:ascii="Arial" w:hAnsi="Arial"/>
                <w:lang w:val="fr-CA"/>
              </w:rPr>
            </w:pPr>
          </w:p>
        </w:tc>
      </w:tr>
      <w:tr w:rsidR="00796F6F" w:rsidRPr="00933797">
        <w:trPr>
          <w:gridAfter w:val="1"/>
          <w:wAfter w:w="32" w:type="dxa"/>
          <w:cantSplit/>
        </w:trPr>
        <w:tc>
          <w:tcPr>
            <w:tcW w:w="835" w:type="dxa"/>
          </w:tcPr>
          <w:p w:rsidR="00796F6F" w:rsidRPr="00933797" w:rsidRDefault="00796F6F">
            <w:pPr>
              <w:rPr>
                <w:rFonts w:ascii="Arial" w:hAnsi="Arial"/>
                <w:lang w:val="fr-CA"/>
              </w:rPr>
            </w:pPr>
          </w:p>
        </w:tc>
        <w:tc>
          <w:tcPr>
            <w:tcW w:w="835" w:type="dxa"/>
          </w:tcPr>
          <w:p w:rsidR="00796F6F" w:rsidRPr="00933797" w:rsidRDefault="00796F6F">
            <w:pPr>
              <w:pStyle w:val="Heading2"/>
              <w:numPr>
                <w:ilvl w:val="0"/>
                <w:numId w:val="0"/>
              </w:numPr>
              <w:rPr>
                <w:rFonts w:ascii="Arial" w:hAnsi="Arial"/>
                <w:lang w:val="fr-CA"/>
              </w:rPr>
            </w:pPr>
            <w:r w:rsidRPr="00933797">
              <w:rPr>
                <w:rFonts w:ascii="Arial" w:hAnsi="Arial"/>
                <w:lang w:val="fr-CA"/>
              </w:rPr>
              <w:t>5.2</w:t>
            </w:r>
          </w:p>
        </w:tc>
        <w:tc>
          <w:tcPr>
            <w:tcW w:w="7408" w:type="dxa"/>
            <w:gridSpan w:val="7"/>
          </w:tcPr>
          <w:p w:rsidR="00796F6F" w:rsidRPr="00F2422A" w:rsidRDefault="00F2422A">
            <w:pPr>
              <w:rPr>
                <w:rFonts w:ascii="Arial" w:hAnsi="Arial"/>
                <w:lang w:val="fr-CA"/>
              </w:rPr>
            </w:pPr>
            <w:r w:rsidRPr="00F2422A">
              <w:rPr>
                <w:rFonts w:ascii="Arial" w:hAnsi="Arial"/>
                <w:lang w:val="fr-CA"/>
              </w:rPr>
              <w:t xml:space="preserve">Sur les produits sanguins qui ont été manipulés en </w:t>
            </w:r>
            <w:r w:rsidR="00904C7D" w:rsidRPr="00F2422A">
              <w:rPr>
                <w:rFonts w:ascii="Arial" w:hAnsi="Arial"/>
                <w:lang w:val="fr-CA"/>
              </w:rPr>
              <w:t>circuit ouvert</w:t>
            </w:r>
            <w:r w:rsidRPr="00F2422A">
              <w:rPr>
                <w:rFonts w:ascii="Arial" w:hAnsi="Arial"/>
                <w:lang w:val="fr-CA"/>
              </w:rPr>
              <w:t>, on doit pouvoir lire une date et une heure de péremption. Voici une directive générale à ce sujet </w:t>
            </w:r>
            <w:r w:rsidRPr="00F2422A">
              <w:rPr>
                <w:rFonts w:ascii="Arial" w:hAnsi="Arial"/>
                <w:smallCaps/>
                <w:lang w:val="fr-CA"/>
              </w:rPr>
              <w:t>:</w:t>
            </w:r>
          </w:p>
          <w:p w:rsidR="00796F6F" w:rsidRPr="00F2422A" w:rsidRDefault="00796F6F">
            <w:pPr>
              <w:rPr>
                <w:rFonts w:ascii="Arial" w:hAnsi="Arial"/>
                <w:lang w:val="fr-CA"/>
              </w:rPr>
            </w:pPr>
          </w:p>
        </w:tc>
      </w:tr>
      <w:tr w:rsidR="00796F6F" w:rsidRPr="00933797">
        <w:trPr>
          <w:gridAfter w:val="1"/>
          <w:wAfter w:w="32" w:type="dxa"/>
          <w:cantSplit/>
        </w:trPr>
        <w:tc>
          <w:tcPr>
            <w:tcW w:w="835" w:type="dxa"/>
          </w:tcPr>
          <w:p w:rsidR="00796F6F" w:rsidRPr="00933797" w:rsidRDefault="00796F6F">
            <w:pPr>
              <w:rPr>
                <w:rFonts w:ascii="Arial" w:hAnsi="Arial"/>
                <w:lang w:val="fr-CA"/>
              </w:rPr>
            </w:pPr>
          </w:p>
        </w:tc>
        <w:tc>
          <w:tcPr>
            <w:tcW w:w="835" w:type="dxa"/>
          </w:tcPr>
          <w:p w:rsidR="00796F6F" w:rsidRPr="00933797" w:rsidRDefault="00796F6F">
            <w:pPr>
              <w:rPr>
                <w:rFonts w:ascii="Arial" w:hAnsi="Arial"/>
                <w:lang w:val="fr-CA"/>
              </w:rPr>
            </w:pPr>
          </w:p>
        </w:tc>
        <w:tc>
          <w:tcPr>
            <w:tcW w:w="508" w:type="dxa"/>
          </w:tcPr>
          <w:p w:rsidR="00796F6F" w:rsidRPr="00933797" w:rsidRDefault="00796F6F">
            <w:pPr>
              <w:numPr>
                <w:ilvl w:val="0"/>
                <w:numId w:val="9"/>
              </w:numPr>
              <w:jc w:val="center"/>
              <w:rPr>
                <w:rFonts w:ascii="Arial" w:hAnsi="Arial"/>
                <w:lang w:val="fr-CA"/>
              </w:rPr>
            </w:pPr>
          </w:p>
        </w:tc>
        <w:tc>
          <w:tcPr>
            <w:tcW w:w="4230" w:type="dxa"/>
            <w:gridSpan w:val="5"/>
          </w:tcPr>
          <w:p w:rsidR="00796F6F" w:rsidRPr="00F2422A" w:rsidRDefault="00796F6F">
            <w:pPr>
              <w:rPr>
                <w:rFonts w:ascii="Arial" w:hAnsi="Arial"/>
                <w:lang w:val="fr-CA"/>
              </w:rPr>
            </w:pPr>
            <w:r w:rsidRPr="00F2422A">
              <w:rPr>
                <w:rFonts w:ascii="Arial" w:hAnsi="Arial"/>
                <w:lang w:val="fr-CA"/>
              </w:rPr>
              <w:t>Produ</w:t>
            </w:r>
            <w:r w:rsidR="00F2422A" w:rsidRPr="00F2422A">
              <w:rPr>
                <w:rFonts w:ascii="Arial" w:hAnsi="Arial"/>
                <w:lang w:val="fr-CA"/>
              </w:rPr>
              <w:t>i</w:t>
            </w:r>
            <w:r w:rsidRPr="00F2422A">
              <w:rPr>
                <w:rFonts w:ascii="Arial" w:hAnsi="Arial"/>
                <w:lang w:val="fr-CA"/>
              </w:rPr>
              <w:t xml:space="preserve">t </w:t>
            </w:r>
            <w:r w:rsidR="00F2422A" w:rsidRPr="00F2422A">
              <w:rPr>
                <w:rFonts w:ascii="Arial" w:hAnsi="Arial"/>
                <w:lang w:val="fr-CA"/>
              </w:rPr>
              <w:t>entreposé entre</w:t>
            </w:r>
            <w:r w:rsidRPr="00F2422A">
              <w:rPr>
                <w:rFonts w:ascii="Arial" w:hAnsi="Arial"/>
                <w:lang w:val="fr-CA"/>
              </w:rPr>
              <w:t xml:space="preserve"> 1</w:t>
            </w:r>
            <w:r w:rsidR="00F2422A" w:rsidRPr="00F2422A">
              <w:rPr>
                <w:rFonts w:ascii="Arial" w:hAnsi="Arial"/>
                <w:lang w:val="fr-CA"/>
              </w:rPr>
              <w:t xml:space="preserve"> et </w:t>
            </w:r>
            <w:r w:rsidRPr="00F2422A">
              <w:rPr>
                <w:rFonts w:ascii="Arial" w:hAnsi="Arial"/>
                <w:lang w:val="fr-CA"/>
              </w:rPr>
              <w:t>6</w:t>
            </w:r>
            <w:r w:rsidR="00F2422A" w:rsidRPr="00F2422A">
              <w:rPr>
                <w:rFonts w:ascii="Arial" w:hAnsi="Arial"/>
                <w:lang w:val="fr-CA"/>
              </w:rPr>
              <w:t> </w:t>
            </w:r>
            <w:r w:rsidR="00F2422A" w:rsidRPr="00F2422A">
              <w:rPr>
                <w:rFonts w:ascii="Arial" w:hAnsi="Arial"/>
                <w:vertAlign w:val="superscript"/>
                <w:lang w:val="fr-CA"/>
              </w:rPr>
              <w:t>o</w:t>
            </w:r>
            <w:r w:rsidRPr="00F2422A">
              <w:rPr>
                <w:rFonts w:ascii="Arial" w:hAnsi="Arial"/>
                <w:lang w:val="fr-CA"/>
              </w:rPr>
              <w:t>C</w:t>
            </w:r>
            <w:r w:rsidR="00F2422A" w:rsidRPr="00F2422A">
              <w:rPr>
                <w:rFonts w:ascii="Arial" w:hAnsi="Arial"/>
                <w:lang w:val="fr-CA"/>
              </w:rPr>
              <w:t> </w:t>
            </w:r>
            <w:r w:rsidRPr="00F2422A">
              <w:rPr>
                <w:rFonts w:ascii="Arial" w:hAnsi="Arial"/>
                <w:lang w:val="fr-CA"/>
              </w:rPr>
              <w:t xml:space="preserve">:   </w:t>
            </w:r>
          </w:p>
          <w:p w:rsidR="00796F6F" w:rsidRPr="00F2422A" w:rsidRDefault="00796F6F">
            <w:pPr>
              <w:rPr>
                <w:rFonts w:ascii="Arial" w:hAnsi="Arial"/>
                <w:lang w:val="fr-CA"/>
              </w:rPr>
            </w:pPr>
            <w:r w:rsidRPr="00F2422A">
              <w:rPr>
                <w:rFonts w:ascii="Arial" w:hAnsi="Arial"/>
                <w:lang w:val="fr-CA"/>
              </w:rPr>
              <w:tab/>
            </w:r>
          </w:p>
        </w:tc>
        <w:tc>
          <w:tcPr>
            <w:tcW w:w="2670" w:type="dxa"/>
          </w:tcPr>
          <w:p w:rsidR="00796F6F" w:rsidRPr="00F2422A" w:rsidRDefault="00F2422A">
            <w:pPr>
              <w:pStyle w:val="Header"/>
              <w:tabs>
                <w:tab w:val="clear" w:pos="4320"/>
                <w:tab w:val="clear" w:pos="8640"/>
              </w:tabs>
              <w:rPr>
                <w:rFonts w:ascii="Arial" w:hAnsi="Arial"/>
                <w:lang w:val="fr-CA"/>
              </w:rPr>
            </w:pPr>
            <w:r w:rsidRPr="00F2422A">
              <w:rPr>
                <w:rFonts w:ascii="Arial" w:hAnsi="Arial"/>
                <w:lang w:val="fr-CA"/>
              </w:rPr>
              <w:t>Durée de 2</w:t>
            </w:r>
            <w:r w:rsidR="00796F6F" w:rsidRPr="00F2422A">
              <w:rPr>
                <w:rFonts w:ascii="Arial" w:hAnsi="Arial"/>
                <w:lang w:val="fr-CA"/>
              </w:rPr>
              <w:t>4 h</w:t>
            </w:r>
            <w:r w:rsidRPr="00F2422A">
              <w:rPr>
                <w:rFonts w:ascii="Arial" w:hAnsi="Arial"/>
                <w:lang w:val="fr-CA"/>
              </w:rPr>
              <w:t>eures</w:t>
            </w:r>
          </w:p>
        </w:tc>
      </w:tr>
      <w:tr w:rsidR="00796F6F" w:rsidRPr="00933797">
        <w:trPr>
          <w:gridAfter w:val="1"/>
          <w:wAfter w:w="32" w:type="dxa"/>
          <w:cantSplit/>
        </w:trPr>
        <w:tc>
          <w:tcPr>
            <w:tcW w:w="835" w:type="dxa"/>
          </w:tcPr>
          <w:p w:rsidR="00796F6F" w:rsidRPr="00933797" w:rsidRDefault="00796F6F">
            <w:pPr>
              <w:rPr>
                <w:rFonts w:ascii="Arial" w:hAnsi="Arial"/>
                <w:lang w:val="fr-CA"/>
              </w:rPr>
            </w:pPr>
          </w:p>
        </w:tc>
        <w:tc>
          <w:tcPr>
            <w:tcW w:w="835" w:type="dxa"/>
          </w:tcPr>
          <w:p w:rsidR="00796F6F" w:rsidRPr="00933797" w:rsidRDefault="00796F6F">
            <w:pPr>
              <w:rPr>
                <w:rFonts w:ascii="Arial" w:hAnsi="Arial"/>
                <w:lang w:val="fr-CA"/>
              </w:rPr>
            </w:pPr>
          </w:p>
        </w:tc>
        <w:tc>
          <w:tcPr>
            <w:tcW w:w="508" w:type="dxa"/>
          </w:tcPr>
          <w:p w:rsidR="00796F6F" w:rsidRPr="00933797" w:rsidRDefault="00796F6F">
            <w:pPr>
              <w:numPr>
                <w:ilvl w:val="0"/>
                <w:numId w:val="10"/>
              </w:numPr>
              <w:jc w:val="center"/>
              <w:rPr>
                <w:rFonts w:ascii="Arial" w:hAnsi="Arial"/>
                <w:lang w:val="fr-CA"/>
              </w:rPr>
            </w:pPr>
          </w:p>
        </w:tc>
        <w:tc>
          <w:tcPr>
            <w:tcW w:w="4230" w:type="dxa"/>
            <w:gridSpan w:val="5"/>
          </w:tcPr>
          <w:p w:rsidR="00796F6F" w:rsidRPr="00F2422A" w:rsidRDefault="00F2422A" w:rsidP="00536049">
            <w:pPr>
              <w:rPr>
                <w:rFonts w:ascii="Arial" w:hAnsi="Arial"/>
                <w:lang w:val="fr-CA"/>
              </w:rPr>
            </w:pPr>
            <w:r w:rsidRPr="00F2422A">
              <w:rPr>
                <w:rFonts w:ascii="Arial" w:hAnsi="Arial"/>
                <w:lang w:val="fr-CA"/>
              </w:rPr>
              <w:t xml:space="preserve">Produit entreposé </w:t>
            </w:r>
            <w:r w:rsidR="00536049">
              <w:rPr>
                <w:rFonts w:ascii="Arial" w:hAnsi="Arial"/>
                <w:lang w:val="fr-CA"/>
              </w:rPr>
              <w:t>à</w:t>
            </w:r>
            <w:r w:rsidR="00796F6F" w:rsidRPr="00F2422A">
              <w:rPr>
                <w:rFonts w:ascii="Arial" w:hAnsi="Arial"/>
                <w:lang w:val="fr-CA"/>
              </w:rPr>
              <w:t xml:space="preserve"> 22</w:t>
            </w:r>
            <w:r w:rsidRPr="00F2422A">
              <w:rPr>
                <w:rFonts w:ascii="Arial" w:hAnsi="Arial"/>
                <w:vertAlign w:val="superscript"/>
                <w:lang w:val="fr-CA"/>
              </w:rPr>
              <w:t xml:space="preserve"> o</w:t>
            </w:r>
            <w:r w:rsidRPr="00F2422A">
              <w:rPr>
                <w:rFonts w:ascii="Arial" w:hAnsi="Arial"/>
                <w:lang w:val="fr-CA"/>
              </w:rPr>
              <w:t xml:space="preserve">C :  </w:t>
            </w:r>
          </w:p>
        </w:tc>
        <w:tc>
          <w:tcPr>
            <w:tcW w:w="2670" w:type="dxa"/>
          </w:tcPr>
          <w:p w:rsidR="00796F6F" w:rsidRPr="00F2422A" w:rsidRDefault="00F2422A">
            <w:pPr>
              <w:rPr>
                <w:rFonts w:ascii="Arial" w:hAnsi="Arial"/>
                <w:lang w:val="fr-CA"/>
              </w:rPr>
            </w:pPr>
            <w:r w:rsidRPr="00F2422A">
              <w:rPr>
                <w:rFonts w:ascii="Arial" w:hAnsi="Arial"/>
                <w:lang w:val="fr-CA"/>
              </w:rPr>
              <w:t xml:space="preserve">Durée de 4 heures </w:t>
            </w:r>
          </w:p>
          <w:p w:rsidR="00F2422A" w:rsidRPr="00F2422A" w:rsidRDefault="00F2422A">
            <w:pPr>
              <w:rPr>
                <w:rFonts w:ascii="Arial" w:hAnsi="Arial"/>
                <w:lang w:val="fr-CA"/>
              </w:rPr>
            </w:pPr>
          </w:p>
        </w:tc>
      </w:tr>
      <w:tr w:rsidR="00796F6F" w:rsidRPr="00933797">
        <w:trPr>
          <w:gridAfter w:val="1"/>
          <w:wAfter w:w="32" w:type="dxa"/>
          <w:cantSplit/>
        </w:trPr>
        <w:tc>
          <w:tcPr>
            <w:tcW w:w="835" w:type="dxa"/>
          </w:tcPr>
          <w:p w:rsidR="00796F6F" w:rsidRPr="00933797" w:rsidRDefault="00796F6F">
            <w:pPr>
              <w:rPr>
                <w:rFonts w:ascii="Arial" w:hAnsi="Arial"/>
                <w:lang w:val="fr-CA"/>
              </w:rPr>
            </w:pPr>
          </w:p>
        </w:tc>
        <w:tc>
          <w:tcPr>
            <w:tcW w:w="835" w:type="dxa"/>
          </w:tcPr>
          <w:p w:rsidR="00796F6F" w:rsidRPr="00F2422A" w:rsidRDefault="00796F6F">
            <w:pPr>
              <w:pStyle w:val="Heading2"/>
              <w:numPr>
                <w:ilvl w:val="0"/>
                <w:numId w:val="0"/>
              </w:numPr>
              <w:rPr>
                <w:rFonts w:ascii="Arial" w:hAnsi="Arial"/>
                <w:lang w:val="fr-CA"/>
              </w:rPr>
            </w:pPr>
            <w:r w:rsidRPr="00F2422A">
              <w:rPr>
                <w:rFonts w:ascii="Arial" w:hAnsi="Arial"/>
                <w:lang w:val="fr-CA"/>
              </w:rPr>
              <w:t>5.3</w:t>
            </w:r>
          </w:p>
        </w:tc>
        <w:tc>
          <w:tcPr>
            <w:tcW w:w="7408" w:type="dxa"/>
            <w:gridSpan w:val="7"/>
          </w:tcPr>
          <w:p w:rsidR="00796F6F" w:rsidRPr="00F2422A" w:rsidRDefault="00281CAE">
            <w:pPr>
              <w:rPr>
                <w:rFonts w:ascii="Arial" w:hAnsi="Arial"/>
                <w:lang w:val="fr-CA"/>
              </w:rPr>
            </w:pPr>
            <w:r>
              <w:rPr>
                <w:rFonts w:ascii="Arial" w:hAnsi="Arial"/>
                <w:lang w:val="fr-CA"/>
              </w:rPr>
              <w:t>Le</w:t>
            </w:r>
            <w:r w:rsidR="00796F6F" w:rsidRPr="00F2422A">
              <w:rPr>
                <w:rFonts w:ascii="Arial" w:hAnsi="Arial"/>
                <w:lang w:val="fr-CA"/>
              </w:rPr>
              <w:t xml:space="preserve"> s</w:t>
            </w:r>
            <w:r w:rsidR="00F2422A" w:rsidRPr="00F2422A">
              <w:rPr>
                <w:rFonts w:ascii="Arial" w:hAnsi="Arial"/>
                <w:lang w:val="fr-CA"/>
              </w:rPr>
              <w:t>ceau ou l’orifice ne doit pas être brisé autrement que dans le cadre de manipulations volontaires faites par du personnel de laboratoire qualifié.</w:t>
            </w:r>
            <w:r w:rsidR="00F2422A" w:rsidRPr="00F2422A">
              <w:rPr>
                <w:rFonts w:ascii="Arial" w:hAnsi="Arial"/>
                <w:lang w:val="fr-CA"/>
              </w:rPr>
              <w:br/>
            </w:r>
          </w:p>
        </w:tc>
      </w:tr>
      <w:tr w:rsidR="00796F6F" w:rsidRPr="00933797">
        <w:trPr>
          <w:gridAfter w:val="1"/>
          <w:wAfter w:w="32" w:type="dxa"/>
          <w:cantSplit/>
        </w:trPr>
        <w:tc>
          <w:tcPr>
            <w:tcW w:w="835" w:type="dxa"/>
          </w:tcPr>
          <w:p w:rsidR="00796F6F" w:rsidRPr="00933797" w:rsidRDefault="00796F6F">
            <w:pPr>
              <w:rPr>
                <w:rFonts w:ascii="Arial" w:hAnsi="Arial"/>
                <w:lang w:val="fr-CA"/>
              </w:rPr>
            </w:pPr>
          </w:p>
        </w:tc>
        <w:tc>
          <w:tcPr>
            <w:tcW w:w="835" w:type="dxa"/>
          </w:tcPr>
          <w:p w:rsidR="00796F6F" w:rsidRPr="00933797" w:rsidRDefault="00796F6F">
            <w:pPr>
              <w:pStyle w:val="Heading2"/>
              <w:numPr>
                <w:ilvl w:val="0"/>
                <w:numId w:val="0"/>
              </w:numPr>
              <w:rPr>
                <w:rFonts w:ascii="Arial" w:hAnsi="Arial"/>
                <w:lang w:val="fr-CA"/>
              </w:rPr>
            </w:pPr>
            <w:r w:rsidRPr="00933797">
              <w:rPr>
                <w:rFonts w:ascii="Arial" w:hAnsi="Arial"/>
                <w:lang w:val="fr-CA"/>
              </w:rPr>
              <w:t>5.4</w:t>
            </w:r>
          </w:p>
        </w:tc>
        <w:tc>
          <w:tcPr>
            <w:tcW w:w="7408" w:type="dxa"/>
            <w:gridSpan w:val="7"/>
          </w:tcPr>
          <w:p w:rsidR="00796F6F" w:rsidRPr="00933797" w:rsidRDefault="00F2422A" w:rsidP="00CD3F2F">
            <w:pPr>
              <w:rPr>
                <w:rFonts w:ascii="Arial" w:hAnsi="Arial"/>
                <w:lang w:val="fr-CA"/>
              </w:rPr>
            </w:pPr>
            <w:r w:rsidRPr="00D81B2A">
              <w:rPr>
                <w:rFonts w:ascii="Arial" w:hAnsi="Arial"/>
                <w:lang w:val="fr-CA"/>
              </w:rPr>
              <w:t>Les produits, c</w:t>
            </w:r>
            <w:r w:rsidR="00904C7D" w:rsidRPr="00D81B2A">
              <w:rPr>
                <w:rFonts w:ascii="Arial" w:hAnsi="Arial"/>
                <w:lang w:val="fr-CA"/>
              </w:rPr>
              <w:t>omposants sanguins</w:t>
            </w:r>
            <w:r w:rsidRPr="00D81B2A">
              <w:rPr>
                <w:rFonts w:ascii="Arial" w:hAnsi="Arial"/>
                <w:lang w:val="fr-CA"/>
              </w:rPr>
              <w:t xml:space="preserve"> et</w:t>
            </w:r>
            <w:r w:rsidR="00D338DC" w:rsidRPr="00D81B2A">
              <w:rPr>
                <w:rFonts w:ascii="Arial" w:hAnsi="Arial"/>
                <w:lang w:val="fr-CA"/>
              </w:rPr>
              <w:t xml:space="preserve"> éléments de modification doivent être écrits conformément à la nomenclature standardisée. V</w:t>
            </w:r>
            <w:r w:rsidR="00CD3F2F" w:rsidRPr="00D81B2A">
              <w:rPr>
                <w:rFonts w:ascii="Arial" w:hAnsi="Arial"/>
                <w:lang w:val="fr-CA"/>
              </w:rPr>
              <w:t xml:space="preserve">oir </w:t>
            </w:r>
            <w:r w:rsidR="00D338DC" w:rsidRPr="00D81B2A">
              <w:rPr>
                <w:rFonts w:ascii="Arial" w:hAnsi="Arial"/>
                <w:lang w:val="fr-CA"/>
              </w:rPr>
              <w:t>G</w:t>
            </w:r>
            <w:r w:rsidR="00E77075">
              <w:rPr>
                <w:rFonts w:ascii="Arial" w:hAnsi="Arial"/>
                <w:lang w:val="fr-CA"/>
              </w:rPr>
              <w:t>S</w:t>
            </w:r>
            <w:r w:rsidR="00D338DC" w:rsidRPr="00D81B2A">
              <w:rPr>
                <w:rFonts w:ascii="Arial" w:hAnsi="Arial"/>
                <w:lang w:val="fr-CA"/>
              </w:rPr>
              <w:t>.001 - N</w:t>
            </w:r>
            <w:r w:rsidR="00CD3F2F" w:rsidRPr="00D81B2A">
              <w:rPr>
                <w:rFonts w:ascii="Arial" w:hAnsi="Arial"/>
                <w:lang w:val="fr-CA"/>
              </w:rPr>
              <w:t xml:space="preserve">omenclature standardisée des composants sanguins </w:t>
            </w:r>
            <w:r w:rsidR="007839FB">
              <w:rPr>
                <w:rFonts w:ascii="Arial" w:hAnsi="Arial"/>
                <w:lang w:val="fr-CA"/>
              </w:rPr>
              <w:t xml:space="preserve">et </w:t>
            </w:r>
            <w:r w:rsidR="00CD3F2F" w:rsidRPr="00D81B2A">
              <w:rPr>
                <w:rFonts w:ascii="Arial" w:hAnsi="Arial"/>
                <w:lang w:val="fr-CA"/>
              </w:rPr>
              <w:t xml:space="preserve">produits </w:t>
            </w:r>
            <w:r w:rsidR="007839FB">
              <w:rPr>
                <w:rFonts w:ascii="Arial" w:hAnsi="Arial"/>
                <w:lang w:val="fr-CA"/>
              </w:rPr>
              <w:t>de protéines plasmatiques ( à titre d’exemple)</w:t>
            </w:r>
            <w:r w:rsidR="00CD3F2F" w:rsidRPr="00D81B2A">
              <w:rPr>
                <w:rFonts w:ascii="Arial" w:hAnsi="Arial"/>
                <w:lang w:val="fr-CA"/>
              </w:rPr>
              <w:t>.</w:t>
            </w:r>
          </w:p>
          <w:p w:rsidR="00796F6F" w:rsidRPr="00933797" w:rsidRDefault="00796F6F">
            <w:pPr>
              <w:rPr>
                <w:rFonts w:ascii="Arial" w:hAnsi="Arial"/>
                <w:lang w:val="fr-CA"/>
              </w:rPr>
            </w:pPr>
          </w:p>
        </w:tc>
      </w:tr>
      <w:tr w:rsidR="00796F6F" w:rsidRPr="00933797">
        <w:trPr>
          <w:gridAfter w:val="1"/>
          <w:wAfter w:w="32" w:type="dxa"/>
          <w:cantSplit/>
        </w:trPr>
        <w:tc>
          <w:tcPr>
            <w:tcW w:w="835" w:type="dxa"/>
          </w:tcPr>
          <w:p w:rsidR="00796F6F" w:rsidRPr="00933797" w:rsidRDefault="00796F6F">
            <w:pPr>
              <w:rPr>
                <w:rFonts w:ascii="Arial" w:hAnsi="Arial"/>
                <w:lang w:val="fr-CA"/>
              </w:rPr>
            </w:pPr>
          </w:p>
        </w:tc>
        <w:tc>
          <w:tcPr>
            <w:tcW w:w="835" w:type="dxa"/>
          </w:tcPr>
          <w:p w:rsidR="00796F6F" w:rsidRPr="00933797" w:rsidRDefault="00796F6F">
            <w:pPr>
              <w:pStyle w:val="Heading2"/>
              <w:numPr>
                <w:ilvl w:val="0"/>
                <w:numId w:val="0"/>
              </w:numPr>
              <w:rPr>
                <w:rFonts w:ascii="Arial" w:hAnsi="Arial"/>
                <w:lang w:val="fr-CA"/>
              </w:rPr>
            </w:pPr>
            <w:r w:rsidRPr="00933797">
              <w:rPr>
                <w:rFonts w:ascii="Arial" w:hAnsi="Arial"/>
                <w:lang w:val="fr-CA"/>
              </w:rPr>
              <w:t>5.5</w:t>
            </w:r>
          </w:p>
        </w:tc>
        <w:tc>
          <w:tcPr>
            <w:tcW w:w="7408" w:type="dxa"/>
            <w:gridSpan w:val="7"/>
          </w:tcPr>
          <w:p w:rsidR="00796F6F" w:rsidRPr="00361154" w:rsidRDefault="00361154" w:rsidP="00CD3F2F">
            <w:pPr>
              <w:rPr>
                <w:rFonts w:ascii="Arial" w:hAnsi="Arial"/>
                <w:lang w:val="fr-CA"/>
              </w:rPr>
            </w:pPr>
            <w:r w:rsidRPr="00361154">
              <w:rPr>
                <w:rFonts w:ascii="Arial" w:hAnsi="Arial"/>
                <w:lang w:val="fr-CA"/>
              </w:rPr>
              <w:t xml:space="preserve">Le </w:t>
            </w:r>
            <w:r w:rsidR="00904C7D" w:rsidRPr="00361154">
              <w:rPr>
                <w:rFonts w:ascii="Arial" w:hAnsi="Arial"/>
                <w:lang w:val="fr-CA"/>
              </w:rPr>
              <w:t>composant sanguin</w:t>
            </w:r>
            <w:r w:rsidRPr="00361154">
              <w:rPr>
                <w:rFonts w:ascii="Arial" w:hAnsi="Arial"/>
                <w:lang w:val="fr-CA"/>
              </w:rPr>
              <w:t xml:space="preserve"> ou </w:t>
            </w:r>
            <w:r w:rsidR="00414587" w:rsidRPr="00361154">
              <w:rPr>
                <w:rFonts w:ascii="Arial" w:hAnsi="Arial"/>
                <w:lang w:val="fr-CA"/>
              </w:rPr>
              <w:t xml:space="preserve">produit </w:t>
            </w:r>
            <w:r w:rsidR="007839FB">
              <w:rPr>
                <w:rFonts w:ascii="Arial" w:hAnsi="Arial"/>
                <w:lang w:val="fr-CA"/>
              </w:rPr>
              <w:t>de protéine plasmatique</w:t>
            </w:r>
            <w:r w:rsidRPr="00361154">
              <w:rPr>
                <w:rFonts w:ascii="Arial" w:hAnsi="Arial"/>
                <w:lang w:val="fr-CA"/>
              </w:rPr>
              <w:t xml:space="preserve"> qui ne satisfait pas aux critères d’inspection visuelle ne doit pas être transfusé</w:t>
            </w:r>
            <w:r w:rsidR="00796F6F" w:rsidRPr="00361154">
              <w:rPr>
                <w:rFonts w:ascii="Arial" w:hAnsi="Arial"/>
                <w:lang w:val="fr-CA"/>
              </w:rPr>
              <w:t xml:space="preserve">. </w:t>
            </w:r>
            <w:r w:rsidR="00CD3F2F" w:rsidRPr="00361154">
              <w:rPr>
                <w:rFonts w:ascii="Arial" w:hAnsi="Arial"/>
                <w:lang w:val="fr-CA"/>
              </w:rPr>
              <w:t>Voir G</w:t>
            </w:r>
            <w:r w:rsidR="00E77075">
              <w:rPr>
                <w:rFonts w:ascii="Arial" w:hAnsi="Arial"/>
                <w:lang w:val="fr-CA"/>
              </w:rPr>
              <w:t>S</w:t>
            </w:r>
            <w:r w:rsidR="00CD3F2F" w:rsidRPr="00361154">
              <w:rPr>
                <w:rFonts w:ascii="Arial" w:hAnsi="Arial"/>
                <w:lang w:val="fr-CA"/>
              </w:rPr>
              <w:t>.003 - Inspection visuelle de composants sanguins et de</w:t>
            </w:r>
            <w:r w:rsidR="007839FB">
              <w:rPr>
                <w:rFonts w:ascii="Arial" w:hAnsi="Arial"/>
                <w:lang w:val="fr-CA"/>
              </w:rPr>
              <w:t xml:space="preserve"> produits de</w:t>
            </w:r>
            <w:r w:rsidR="00CD3F2F" w:rsidRPr="00361154">
              <w:rPr>
                <w:rFonts w:ascii="Arial" w:hAnsi="Arial"/>
                <w:lang w:val="fr-CA"/>
              </w:rPr>
              <w:t xml:space="preserve"> pro</w:t>
            </w:r>
            <w:r w:rsidR="00536049">
              <w:rPr>
                <w:rFonts w:ascii="Arial" w:hAnsi="Arial"/>
                <w:lang w:val="fr-CA"/>
              </w:rPr>
              <w:t>téines plasmatiques</w:t>
            </w:r>
            <w:r w:rsidR="00CD3F2F" w:rsidRPr="00361154">
              <w:rPr>
                <w:rFonts w:ascii="Arial" w:hAnsi="Arial"/>
                <w:lang w:val="fr-CA"/>
              </w:rPr>
              <w:t>.</w:t>
            </w:r>
          </w:p>
          <w:p w:rsidR="00796F6F" w:rsidRPr="00933797" w:rsidRDefault="00796F6F">
            <w:pPr>
              <w:rPr>
                <w:rFonts w:ascii="Arial" w:hAnsi="Arial"/>
                <w:lang w:val="fr-CA"/>
              </w:rPr>
            </w:pPr>
          </w:p>
        </w:tc>
      </w:tr>
      <w:tr w:rsidR="00796F6F" w:rsidRPr="00361154">
        <w:trPr>
          <w:gridAfter w:val="1"/>
          <w:wAfter w:w="32" w:type="dxa"/>
          <w:cantSplit/>
        </w:trPr>
        <w:tc>
          <w:tcPr>
            <w:tcW w:w="835" w:type="dxa"/>
          </w:tcPr>
          <w:p w:rsidR="00796F6F" w:rsidRPr="00361154" w:rsidRDefault="00796F6F" w:rsidP="007839FB">
            <w:pPr>
              <w:pStyle w:val="Heading1"/>
            </w:pPr>
          </w:p>
        </w:tc>
        <w:tc>
          <w:tcPr>
            <w:tcW w:w="8243" w:type="dxa"/>
            <w:gridSpan w:val="8"/>
          </w:tcPr>
          <w:p w:rsidR="00796F6F" w:rsidRPr="00361154" w:rsidRDefault="00CD3F2F" w:rsidP="00CD3F2F">
            <w:pPr>
              <w:pStyle w:val="Header"/>
              <w:tabs>
                <w:tab w:val="clear" w:pos="4320"/>
                <w:tab w:val="clear" w:pos="8640"/>
              </w:tabs>
              <w:rPr>
                <w:rFonts w:ascii="Arial" w:hAnsi="Arial"/>
                <w:b/>
                <w:sz w:val="28"/>
                <w:lang w:val="fr-CA"/>
              </w:rPr>
            </w:pPr>
            <w:r w:rsidRPr="00361154">
              <w:rPr>
                <w:rFonts w:ascii="Arial" w:hAnsi="Arial"/>
                <w:b/>
                <w:sz w:val="28"/>
                <w:lang w:val="fr-CA"/>
              </w:rPr>
              <w:t>Procédure</w:t>
            </w:r>
          </w:p>
          <w:p w:rsidR="00796F6F" w:rsidRPr="00361154" w:rsidRDefault="00796F6F">
            <w:pPr>
              <w:pStyle w:val="Header"/>
              <w:tabs>
                <w:tab w:val="clear" w:pos="4320"/>
                <w:tab w:val="clear" w:pos="8640"/>
              </w:tabs>
              <w:rPr>
                <w:rFonts w:ascii="Arial" w:hAnsi="Arial"/>
                <w:lang w:val="fr-CA"/>
              </w:rPr>
            </w:pPr>
          </w:p>
        </w:tc>
      </w:tr>
      <w:tr w:rsidR="00796F6F" w:rsidRPr="00933797">
        <w:trPr>
          <w:cantSplit/>
        </w:trPr>
        <w:tc>
          <w:tcPr>
            <w:tcW w:w="835" w:type="dxa"/>
          </w:tcPr>
          <w:p w:rsidR="00796F6F" w:rsidRPr="00361154" w:rsidRDefault="00796F6F">
            <w:pPr>
              <w:rPr>
                <w:rFonts w:ascii="Arial" w:hAnsi="Arial"/>
                <w:lang w:val="fr-CA"/>
              </w:rPr>
            </w:pPr>
          </w:p>
        </w:tc>
        <w:tc>
          <w:tcPr>
            <w:tcW w:w="835" w:type="dxa"/>
          </w:tcPr>
          <w:p w:rsidR="00796F6F" w:rsidRPr="00361154" w:rsidRDefault="00796F6F">
            <w:pPr>
              <w:pStyle w:val="Heading2"/>
              <w:numPr>
                <w:ilvl w:val="0"/>
                <w:numId w:val="0"/>
              </w:numPr>
              <w:rPr>
                <w:rFonts w:ascii="Arial" w:hAnsi="Arial"/>
                <w:lang w:val="fr-CA"/>
              </w:rPr>
            </w:pPr>
            <w:r w:rsidRPr="00361154">
              <w:rPr>
                <w:rFonts w:ascii="Arial" w:hAnsi="Arial"/>
                <w:lang w:val="fr-CA"/>
              </w:rPr>
              <w:t>6.1</w:t>
            </w:r>
          </w:p>
        </w:tc>
        <w:tc>
          <w:tcPr>
            <w:tcW w:w="7440" w:type="dxa"/>
            <w:gridSpan w:val="8"/>
          </w:tcPr>
          <w:p w:rsidR="00796F6F" w:rsidRPr="00361154" w:rsidRDefault="00361154" w:rsidP="00E77075">
            <w:pPr>
              <w:rPr>
                <w:rFonts w:ascii="Arial" w:hAnsi="Arial"/>
                <w:lang w:val="fr-CA"/>
              </w:rPr>
            </w:pPr>
            <w:r w:rsidRPr="00361154">
              <w:rPr>
                <w:rFonts w:ascii="Arial" w:hAnsi="Arial"/>
                <w:lang w:val="fr-CA"/>
              </w:rPr>
              <w:t>Inscrire la date du rejet sur le formulaire G</w:t>
            </w:r>
            <w:r w:rsidR="00E77075">
              <w:rPr>
                <w:rFonts w:ascii="Arial" w:hAnsi="Arial"/>
                <w:lang w:val="fr-CA"/>
              </w:rPr>
              <w:t>S</w:t>
            </w:r>
            <w:r w:rsidR="00796F6F" w:rsidRPr="00361154">
              <w:rPr>
                <w:rFonts w:ascii="Arial" w:hAnsi="Arial"/>
                <w:lang w:val="fr-CA"/>
              </w:rPr>
              <w:t>.005F.</w:t>
            </w:r>
          </w:p>
        </w:tc>
      </w:tr>
      <w:tr w:rsidR="00796F6F" w:rsidRPr="00933797">
        <w:trPr>
          <w:cantSplit/>
        </w:trPr>
        <w:tc>
          <w:tcPr>
            <w:tcW w:w="835" w:type="dxa"/>
          </w:tcPr>
          <w:p w:rsidR="00796F6F" w:rsidRPr="00361154" w:rsidRDefault="00796F6F">
            <w:pPr>
              <w:rPr>
                <w:rFonts w:ascii="Arial" w:hAnsi="Arial"/>
                <w:lang w:val="fr-CA"/>
              </w:rPr>
            </w:pPr>
          </w:p>
        </w:tc>
        <w:tc>
          <w:tcPr>
            <w:tcW w:w="835" w:type="dxa"/>
          </w:tcPr>
          <w:p w:rsidR="00796F6F" w:rsidRPr="00361154" w:rsidRDefault="00796F6F">
            <w:pPr>
              <w:pStyle w:val="Heading2"/>
              <w:numPr>
                <w:ilvl w:val="0"/>
                <w:numId w:val="0"/>
              </w:numPr>
              <w:rPr>
                <w:rFonts w:ascii="Arial" w:hAnsi="Arial"/>
                <w:lang w:val="fr-CA"/>
              </w:rPr>
            </w:pPr>
            <w:r w:rsidRPr="00361154">
              <w:rPr>
                <w:rFonts w:ascii="Arial" w:hAnsi="Arial"/>
                <w:lang w:val="fr-CA"/>
              </w:rPr>
              <w:t>6.2</w:t>
            </w:r>
          </w:p>
        </w:tc>
        <w:tc>
          <w:tcPr>
            <w:tcW w:w="7440" w:type="dxa"/>
            <w:gridSpan w:val="8"/>
          </w:tcPr>
          <w:p w:rsidR="00796F6F" w:rsidRPr="00361154" w:rsidRDefault="00361154" w:rsidP="00CD3F2F">
            <w:pPr>
              <w:rPr>
                <w:rFonts w:ascii="Arial" w:hAnsi="Arial"/>
                <w:lang w:val="fr-CA"/>
              </w:rPr>
            </w:pPr>
            <w:r w:rsidRPr="00361154">
              <w:rPr>
                <w:rFonts w:ascii="Arial" w:hAnsi="Arial"/>
                <w:lang w:val="fr-CA"/>
              </w:rPr>
              <w:t xml:space="preserve">Inscrire le code mnémonique du produit et toute modification associée au produit. </w:t>
            </w:r>
          </w:p>
          <w:p w:rsidR="00796F6F" w:rsidRPr="00361154" w:rsidRDefault="00796F6F">
            <w:pPr>
              <w:rPr>
                <w:rFonts w:ascii="Arial" w:hAnsi="Arial"/>
                <w:lang w:val="fr-CA"/>
              </w:rPr>
            </w:pPr>
          </w:p>
        </w:tc>
      </w:tr>
      <w:tr w:rsidR="00796F6F" w:rsidRPr="00933797">
        <w:trPr>
          <w:cantSplit/>
        </w:trPr>
        <w:tc>
          <w:tcPr>
            <w:tcW w:w="835" w:type="dxa"/>
          </w:tcPr>
          <w:p w:rsidR="00796F6F" w:rsidRPr="00933797" w:rsidRDefault="00796F6F">
            <w:pPr>
              <w:rPr>
                <w:rFonts w:ascii="Arial" w:hAnsi="Arial"/>
                <w:lang w:val="fr-CA"/>
              </w:rPr>
            </w:pPr>
          </w:p>
        </w:tc>
        <w:tc>
          <w:tcPr>
            <w:tcW w:w="835" w:type="dxa"/>
          </w:tcPr>
          <w:p w:rsidR="00796F6F" w:rsidRPr="00361154" w:rsidRDefault="00796F6F">
            <w:pPr>
              <w:pStyle w:val="Heading2"/>
              <w:numPr>
                <w:ilvl w:val="0"/>
                <w:numId w:val="0"/>
              </w:numPr>
              <w:rPr>
                <w:rFonts w:ascii="Arial" w:hAnsi="Arial"/>
                <w:lang w:val="fr-CA"/>
              </w:rPr>
            </w:pPr>
            <w:r w:rsidRPr="00361154">
              <w:rPr>
                <w:rFonts w:ascii="Arial" w:hAnsi="Arial"/>
                <w:lang w:val="fr-CA"/>
              </w:rPr>
              <w:t>6.3</w:t>
            </w:r>
          </w:p>
        </w:tc>
        <w:tc>
          <w:tcPr>
            <w:tcW w:w="7440" w:type="dxa"/>
            <w:gridSpan w:val="8"/>
          </w:tcPr>
          <w:p w:rsidR="00536049" w:rsidRDefault="00361154">
            <w:pPr>
              <w:rPr>
                <w:rFonts w:ascii="Arial" w:hAnsi="Arial"/>
                <w:lang w:val="fr-CA"/>
              </w:rPr>
            </w:pPr>
            <w:r w:rsidRPr="00361154">
              <w:rPr>
                <w:rFonts w:ascii="Arial" w:hAnsi="Arial"/>
                <w:lang w:val="fr-CA"/>
              </w:rPr>
              <w:t>Inscrire</w:t>
            </w:r>
            <w:r w:rsidR="00796F6F" w:rsidRPr="00361154">
              <w:rPr>
                <w:rFonts w:ascii="Arial" w:hAnsi="Arial"/>
                <w:lang w:val="fr-CA"/>
              </w:rPr>
              <w:t xml:space="preserve"> </w:t>
            </w:r>
            <w:r w:rsidRPr="00361154">
              <w:rPr>
                <w:rFonts w:ascii="Arial" w:hAnsi="Arial"/>
                <w:lang w:val="fr-CA"/>
              </w:rPr>
              <w:t xml:space="preserve">le groupe ABO et le facteur </w:t>
            </w:r>
            <w:r w:rsidR="001779C4">
              <w:rPr>
                <w:rFonts w:ascii="Arial" w:hAnsi="Arial"/>
                <w:lang w:val="fr-CA"/>
              </w:rPr>
              <w:t>Rh</w:t>
            </w:r>
            <w:r w:rsidR="00536049">
              <w:rPr>
                <w:rFonts w:ascii="Arial" w:hAnsi="Arial"/>
                <w:lang w:val="fr-CA"/>
              </w:rPr>
              <w:t xml:space="preserve"> et le numéro de l’unité de donneur ISBT 128 (</w:t>
            </w:r>
            <w:r w:rsidR="00904C7D" w:rsidRPr="00361154">
              <w:rPr>
                <w:rFonts w:ascii="Arial" w:hAnsi="Arial"/>
                <w:lang w:val="fr-CA"/>
              </w:rPr>
              <w:t>code de l</w:t>
            </w:r>
            <w:r w:rsidR="00CE6208">
              <w:rPr>
                <w:rFonts w:ascii="Arial" w:hAnsi="Arial"/>
                <w:lang w:val="fr-CA"/>
              </w:rPr>
              <w:t>’</w:t>
            </w:r>
            <w:r w:rsidR="00904C7D" w:rsidRPr="00361154">
              <w:rPr>
                <w:rFonts w:ascii="Arial" w:hAnsi="Arial"/>
                <w:lang w:val="fr-CA"/>
              </w:rPr>
              <w:t>établissement de collecte</w:t>
            </w:r>
            <w:r w:rsidR="00796F6F" w:rsidRPr="00361154">
              <w:rPr>
                <w:rFonts w:ascii="Arial" w:hAnsi="Arial"/>
                <w:lang w:val="fr-CA"/>
              </w:rPr>
              <w:t xml:space="preserve">, </w:t>
            </w:r>
            <w:r w:rsidR="00536049">
              <w:rPr>
                <w:rFonts w:ascii="Arial" w:hAnsi="Arial"/>
                <w:lang w:val="fr-CA"/>
              </w:rPr>
              <w:t xml:space="preserve">année de collecte, </w:t>
            </w:r>
            <w:r w:rsidRPr="00361154">
              <w:rPr>
                <w:rFonts w:ascii="Arial" w:hAnsi="Arial"/>
                <w:lang w:val="fr-CA"/>
              </w:rPr>
              <w:t>code de vérification et numéro d’identification de l’unité</w:t>
            </w:r>
            <w:r w:rsidR="00536049">
              <w:rPr>
                <w:rFonts w:ascii="Arial" w:hAnsi="Arial"/>
                <w:lang w:val="fr-CA"/>
              </w:rPr>
              <w:t>)</w:t>
            </w:r>
            <w:r w:rsidRPr="00361154">
              <w:rPr>
                <w:rFonts w:ascii="Arial" w:hAnsi="Arial"/>
                <w:lang w:val="fr-CA"/>
              </w:rPr>
              <w:t xml:space="preserve"> </w:t>
            </w:r>
            <w:r w:rsidR="001B7955">
              <w:rPr>
                <w:rFonts w:ascii="Arial" w:hAnsi="Arial"/>
                <w:lang w:val="fr-CA"/>
              </w:rPr>
              <w:t>des</w:t>
            </w:r>
            <w:r w:rsidRPr="00361154">
              <w:rPr>
                <w:rFonts w:ascii="Arial" w:hAnsi="Arial"/>
                <w:lang w:val="fr-CA"/>
              </w:rPr>
              <w:t xml:space="preserve"> composants</w:t>
            </w:r>
            <w:r w:rsidR="007839FB">
              <w:rPr>
                <w:rFonts w:ascii="Arial" w:hAnsi="Arial"/>
                <w:lang w:val="fr-CA"/>
              </w:rPr>
              <w:t xml:space="preserve"> à éliminer</w:t>
            </w:r>
            <w:r w:rsidR="00536049">
              <w:rPr>
                <w:rFonts w:ascii="Arial" w:hAnsi="Arial"/>
                <w:lang w:val="fr-CA"/>
              </w:rPr>
              <w:t>.</w:t>
            </w:r>
          </w:p>
          <w:p w:rsidR="00796F6F" w:rsidRDefault="00536049" w:rsidP="00536049">
            <w:pPr>
              <w:rPr>
                <w:rFonts w:ascii="Arial" w:hAnsi="Arial"/>
                <w:lang w:val="fr-CA"/>
              </w:rPr>
            </w:pPr>
            <w:r w:rsidRPr="007839FB">
              <w:rPr>
                <w:rFonts w:ascii="Arial" w:hAnsi="Arial"/>
                <w:b/>
                <w:lang w:val="fr-CA"/>
              </w:rPr>
              <w:t>Nota</w:t>
            </w:r>
            <w:r>
              <w:rPr>
                <w:rFonts w:ascii="Arial" w:hAnsi="Arial"/>
                <w:lang w:val="fr-CA"/>
              </w:rPr>
              <w:t> : Le Rh peut être omis sur les produits plasmatiques congelés.</w:t>
            </w:r>
            <w:r w:rsidR="00361154" w:rsidRPr="00361154">
              <w:rPr>
                <w:rFonts w:ascii="Arial" w:hAnsi="Arial"/>
                <w:lang w:val="fr-CA"/>
              </w:rPr>
              <w:t xml:space="preserve"> </w:t>
            </w:r>
          </w:p>
          <w:p w:rsidR="00536049" w:rsidRPr="00361154" w:rsidRDefault="00536049" w:rsidP="00536049">
            <w:pPr>
              <w:rPr>
                <w:rFonts w:ascii="Arial" w:hAnsi="Arial"/>
                <w:lang w:val="fr-CA"/>
              </w:rPr>
            </w:pPr>
          </w:p>
        </w:tc>
      </w:tr>
      <w:tr w:rsidR="00796F6F" w:rsidRPr="00933797">
        <w:trPr>
          <w:cantSplit/>
        </w:trPr>
        <w:tc>
          <w:tcPr>
            <w:tcW w:w="835" w:type="dxa"/>
          </w:tcPr>
          <w:p w:rsidR="00796F6F" w:rsidRPr="00933797" w:rsidRDefault="00796F6F">
            <w:pPr>
              <w:rPr>
                <w:rFonts w:ascii="Arial" w:hAnsi="Arial"/>
                <w:lang w:val="fr-CA"/>
              </w:rPr>
            </w:pPr>
          </w:p>
        </w:tc>
        <w:tc>
          <w:tcPr>
            <w:tcW w:w="835" w:type="dxa"/>
          </w:tcPr>
          <w:p w:rsidR="00796F6F" w:rsidRPr="001779C4" w:rsidRDefault="00796F6F">
            <w:pPr>
              <w:pStyle w:val="Heading2"/>
              <w:numPr>
                <w:ilvl w:val="0"/>
                <w:numId w:val="0"/>
              </w:numPr>
              <w:rPr>
                <w:rFonts w:ascii="Arial" w:hAnsi="Arial"/>
                <w:lang w:val="fr-CA"/>
              </w:rPr>
            </w:pPr>
            <w:r w:rsidRPr="001779C4">
              <w:rPr>
                <w:rFonts w:ascii="Arial" w:hAnsi="Arial"/>
                <w:lang w:val="fr-CA"/>
              </w:rPr>
              <w:t>6.4</w:t>
            </w:r>
          </w:p>
        </w:tc>
        <w:tc>
          <w:tcPr>
            <w:tcW w:w="7440" w:type="dxa"/>
            <w:gridSpan w:val="8"/>
          </w:tcPr>
          <w:p w:rsidR="00796F6F" w:rsidRPr="001779C4" w:rsidRDefault="00361154">
            <w:pPr>
              <w:rPr>
                <w:rFonts w:ascii="Arial" w:hAnsi="Arial"/>
                <w:lang w:val="fr-CA"/>
              </w:rPr>
            </w:pPr>
            <w:r w:rsidRPr="001779C4">
              <w:rPr>
                <w:rFonts w:ascii="Arial" w:hAnsi="Arial"/>
                <w:lang w:val="fr-CA"/>
              </w:rPr>
              <w:t xml:space="preserve">Inscrire le numéro de lot de tout produit </w:t>
            </w:r>
            <w:r w:rsidR="007839FB">
              <w:rPr>
                <w:rFonts w:ascii="Arial" w:hAnsi="Arial"/>
                <w:lang w:val="fr-CA"/>
              </w:rPr>
              <w:t>de protéines plasmatiques</w:t>
            </w:r>
            <w:r w:rsidR="00796F6F" w:rsidRPr="001779C4">
              <w:rPr>
                <w:rFonts w:ascii="Arial" w:hAnsi="Arial"/>
                <w:lang w:val="fr-CA"/>
              </w:rPr>
              <w:t xml:space="preserve">. </w:t>
            </w:r>
          </w:p>
          <w:p w:rsidR="00796F6F" w:rsidRPr="001779C4" w:rsidRDefault="00796F6F">
            <w:pPr>
              <w:rPr>
                <w:rFonts w:ascii="Arial" w:hAnsi="Arial"/>
                <w:lang w:val="fr-CA"/>
              </w:rPr>
            </w:pPr>
          </w:p>
        </w:tc>
      </w:tr>
      <w:tr w:rsidR="00796F6F" w:rsidRPr="00933797">
        <w:trPr>
          <w:cantSplit/>
        </w:trPr>
        <w:tc>
          <w:tcPr>
            <w:tcW w:w="835" w:type="dxa"/>
          </w:tcPr>
          <w:p w:rsidR="00796F6F" w:rsidRPr="00933797" w:rsidRDefault="00796F6F">
            <w:pPr>
              <w:rPr>
                <w:rFonts w:ascii="Arial" w:hAnsi="Arial"/>
                <w:noProof/>
                <w:lang w:val="fr-CA"/>
              </w:rPr>
            </w:pPr>
          </w:p>
        </w:tc>
        <w:tc>
          <w:tcPr>
            <w:tcW w:w="835" w:type="dxa"/>
          </w:tcPr>
          <w:p w:rsidR="00796F6F" w:rsidRPr="001779C4" w:rsidRDefault="00796F6F">
            <w:pPr>
              <w:rPr>
                <w:rFonts w:ascii="Arial" w:hAnsi="Arial"/>
                <w:lang w:val="fr-CA"/>
              </w:rPr>
            </w:pPr>
          </w:p>
        </w:tc>
        <w:tc>
          <w:tcPr>
            <w:tcW w:w="868" w:type="dxa"/>
            <w:gridSpan w:val="3"/>
          </w:tcPr>
          <w:p w:rsidR="00796F6F" w:rsidRPr="001779C4" w:rsidRDefault="00796F6F">
            <w:pPr>
              <w:pStyle w:val="Heading3"/>
              <w:numPr>
                <w:ilvl w:val="0"/>
                <w:numId w:val="0"/>
              </w:numPr>
              <w:rPr>
                <w:rFonts w:ascii="Arial" w:hAnsi="Arial"/>
                <w:lang w:val="fr-CA"/>
              </w:rPr>
            </w:pPr>
            <w:r w:rsidRPr="001779C4">
              <w:rPr>
                <w:rFonts w:ascii="Arial" w:hAnsi="Arial"/>
                <w:lang w:val="fr-CA"/>
              </w:rPr>
              <w:t>6.4.1</w:t>
            </w:r>
          </w:p>
        </w:tc>
        <w:tc>
          <w:tcPr>
            <w:tcW w:w="6572" w:type="dxa"/>
            <w:gridSpan w:val="5"/>
          </w:tcPr>
          <w:p w:rsidR="00796F6F" w:rsidRPr="00E77075" w:rsidRDefault="00361154">
            <w:pPr>
              <w:rPr>
                <w:rFonts w:ascii="Arial" w:hAnsi="Arial"/>
                <w:lang w:val="fr-CA"/>
              </w:rPr>
            </w:pPr>
            <w:r w:rsidRPr="001779C4">
              <w:rPr>
                <w:rFonts w:ascii="Arial" w:hAnsi="Arial"/>
                <w:lang w:val="fr-CA"/>
              </w:rPr>
              <w:t xml:space="preserve">Si de multiples fioles d’un produit portant un numéro de lot ne sont pas en état d’être transfusées, il </w:t>
            </w:r>
            <w:r w:rsidR="001779C4" w:rsidRPr="001779C4">
              <w:rPr>
                <w:rFonts w:ascii="Arial" w:hAnsi="Arial"/>
                <w:lang w:val="fr-CA"/>
              </w:rPr>
              <w:t>faut inscrire le nombre de fioles à côté du numéro de lot</w:t>
            </w:r>
            <w:r w:rsidR="00796F6F" w:rsidRPr="001779C4">
              <w:rPr>
                <w:rFonts w:ascii="Arial" w:hAnsi="Arial"/>
                <w:lang w:val="fr-CA"/>
              </w:rPr>
              <w:t xml:space="preserve">, </w:t>
            </w:r>
            <w:r w:rsidRPr="001779C4">
              <w:rPr>
                <w:rFonts w:ascii="Arial" w:hAnsi="Arial"/>
                <w:lang w:val="fr-CA"/>
              </w:rPr>
              <w:t xml:space="preserve">p. ex. </w:t>
            </w:r>
            <w:r w:rsidR="00796F6F" w:rsidRPr="00E77075">
              <w:rPr>
                <w:rFonts w:ascii="Arial" w:hAnsi="Arial"/>
                <w:lang w:val="fr-CA"/>
              </w:rPr>
              <w:t>C8863 x 4</w:t>
            </w:r>
            <w:r w:rsidR="001779C4" w:rsidRPr="00E77075">
              <w:rPr>
                <w:rFonts w:ascii="Arial" w:hAnsi="Arial"/>
                <w:lang w:val="fr-CA"/>
              </w:rPr>
              <w:t>.</w:t>
            </w:r>
          </w:p>
          <w:p w:rsidR="00796F6F" w:rsidRPr="001779C4" w:rsidRDefault="00796F6F">
            <w:pPr>
              <w:rPr>
                <w:rFonts w:ascii="Arial" w:hAnsi="Arial"/>
                <w:lang w:val="fr-CA"/>
              </w:rPr>
            </w:pPr>
          </w:p>
        </w:tc>
      </w:tr>
      <w:tr w:rsidR="00796F6F" w:rsidRPr="00933797">
        <w:trPr>
          <w:cantSplit/>
        </w:trPr>
        <w:tc>
          <w:tcPr>
            <w:tcW w:w="835" w:type="dxa"/>
          </w:tcPr>
          <w:p w:rsidR="00796F6F" w:rsidRPr="00933797" w:rsidRDefault="00796F6F">
            <w:pPr>
              <w:rPr>
                <w:rFonts w:ascii="Arial" w:hAnsi="Arial"/>
                <w:lang w:val="fr-CA"/>
              </w:rPr>
            </w:pPr>
          </w:p>
        </w:tc>
        <w:tc>
          <w:tcPr>
            <w:tcW w:w="835" w:type="dxa"/>
          </w:tcPr>
          <w:p w:rsidR="00796F6F" w:rsidRPr="001779C4" w:rsidRDefault="00796F6F">
            <w:pPr>
              <w:pStyle w:val="Heading2"/>
              <w:numPr>
                <w:ilvl w:val="0"/>
                <w:numId w:val="0"/>
              </w:numPr>
              <w:rPr>
                <w:rFonts w:ascii="Arial" w:hAnsi="Arial"/>
                <w:lang w:val="fr-CA"/>
              </w:rPr>
            </w:pPr>
            <w:r w:rsidRPr="001779C4">
              <w:rPr>
                <w:rFonts w:ascii="Arial" w:hAnsi="Arial"/>
                <w:lang w:val="fr-CA"/>
              </w:rPr>
              <w:t>6.5</w:t>
            </w:r>
          </w:p>
        </w:tc>
        <w:tc>
          <w:tcPr>
            <w:tcW w:w="7440" w:type="dxa"/>
            <w:gridSpan w:val="8"/>
          </w:tcPr>
          <w:p w:rsidR="00796F6F" w:rsidRPr="001779C4" w:rsidRDefault="00361154">
            <w:pPr>
              <w:rPr>
                <w:rFonts w:ascii="Arial" w:hAnsi="Arial"/>
                <w:lang w:val="fr-CA"/>
              </w:rPr>
            </w:pPr>
            <w:r w:rsidRPr="001779C4">
              <w:rPr>
                <w:rFonts w:ascii="Arial" w:hAnsi="Arial"/>
                <w:lang w:val="fr-CA"/>
              </w:rPr>
              <w:t>Inscrire la raison de l’élimination ou du rejet dans la colonne approprié</w:t>
            </w:r>
            <w:r w:rsidR="001779C4" w:rsidRPr="001779C4">
              <w:rPr>
                <w:rFonts w:ascii="Arial" w:hAnsi="Arial"/>
                <w:lang w:val="fr-CA"/>
              </w:rPr>
              <w:t>e</w:t>
            </w:r>
            <w:r w:rsidRPr="001779C4">
              <w:rPr>
                <w:rFonts w:ascii="Arial" w:hAnsi="Arial"/>
                <w:lang w:val="fr-CA"/>
              </w:rPr>
              <w:t>. Inscrire le code de rejet dans la dernière colonne</w:t>
            </w:r>
            <w:r w:rsidR="001779C4" w:rsidRPr="001779C4">
              <w:rPr>
                <w:rFonts w:ascii="Arial" w:hAnsi="Arial"/>
                <w:lang w:val="fr-CA"/>
              </w:rPr>
              <w:t>.</w:t>
            </w:r>
          </w:p>
          <w:p w:rsidR="00796F6F" w:rsidRPr="001779C4" w:rsidRDefault="00796F6F">
            <w:pPr>
              <w:rPr>
                <w:rFonts w:ascii="Arial" w:hAnsi="Arial"/>
                <w:lang w:val="fr-CA"/>
              </w:rPr>
            </w:pPr>
          </w:p>
        </w:tc>
      </w:tr>
      <w:tr w:rsidR="00796F6F" w:rsidRPr="00933797">
        <w:trPr>
          <w:gridAfter w:val="1"/>
          <w:wAfter w:w="32" w:type="dxa"/>
          <w:cantSplit/>
          <w:trHeight w:val="162"/>
        </w:trPr>
        <w:tc>
          <w:tcPr>
            <w:tcW w:w="2628" w:type="dxa"/>
            <w:gridSpan w:val="6"/>
            <w:vMerge w:val="restart"/>
          </w:tcPr>
          <w:p w:rsidR="00796F6F" w:rsidRPr="00933797" w:rsidRDefault="00796F6F">
            <w:pPr>
              <w:rPr>
                <w:rFonts w:ascii="Arial" w:hAnsi="Arial"/>
                <w:lang w:val="fr-CA"/>
              </w:rPr>
            </w:pPr>
          </w:p>
        </w:tc>
        <w:tc>
          <w:tcPr>
            <w:tcW w:w="6450" w:type="dxa"/>
            <w:gridSpan w:val="3"/>
          </w:tcPr>
          <w:p w:rsidR="00796F6F" w:rsidRPr="00933797" w:rsidRDefault="00796F6F" w:rsidP="00CD68DC">
            <w:pPr>
              <w:rPr>
                <w:rFonts w:ascii="Arial" w:hAnsi="Arial"/>
                <w:lang w:val="fr-CA"/>
              </w:rPr>
            </w:pPr>
            <w:r w:rsidRPr="00933797">
              <w:rPr>
                <w:rFonts w:ascii="Arial" w:hAnsi="Arial"/>
                <w:lang w:val="fr-CA"/>
              </w:rPr>
              <w:t>Ex</w:t>
            </w:r>
            <w:r w:rsidR="00361154">
              <w:rPr>
                <w:rFonts w:ascii="Arial" w:hAnsi="Arial"/>
                <w:lang w:val="fr-CA"/>
              </w:rPr>
              <w:t>e</w:t>
            </w:r>
            <w:r w:rsidRPr="00933797">
              <w:rPr>
                <w:rFonts w:ascii="Arial" w:hAnsi="Arial"/>
                <w:lang w:val="fr-CA"/>
              </w:rPr>
              <w:t>mples</w:t>
            </w:r>
            <w:r w:rsidR="00361154">
              <w:rPr>
                <w:rFonts w:ascii="Arial" w:hAnsi="Arial"/>
                <w:lang w:val="fr-CA"/>
              </w:rPr>
              <w:t xml:space="preserve"> </w:t>
            </w:r>
            <w:r w:rsidRPr="00933797">
              <w:rPr>
                <w:rFonts w:ascii="Arial" w:hAnsi="Arial"/>
                <w:lang w:val="fr-CA"/>
              </w:rPr>
              <w:t>:</w:t>
            </w:r>
          </w:p>
        </w:tc>
      </w:tr>
      <w:tr w:rsidR="00796F6F" w:rsidRPr="00933797">
        <w:trPr>
          <w:gridAfter w:val="1"/>
          <w:wAfter w:w="32" w:type="dxa"/>
          <w:cantSplit/>
          <w:trHeight w:val="35"/>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933797" w:rsidRDefault="00796F6F" w:rsidP="009735BF">
            <w:pPr>
              <w:rPr>
                <w:rFonts w:ascii="Arial" w:hAnsi="Arial"/>
                <w:lang w:val="fr-CA"/>
              </w:rPr>
            </w:pPr>
            <w:r w:rsidRPr="00933797">
              <w:rPr>
                <w:rFonts w:ascii="Arial" w:hAnsi="Arial"/>
                <w:lang w:val="fr-CA"/>
              </w:rPr>
              <w:t>Br</w:t>
            </w:r>
            <w:r w:rsidR="00361154">
              <w:rPr>
                <w:rFonts w:ascii="Arial" w:hAnsi="Arial"/>
                <w:lang w:val="fr-CA"/>
              </w:rPr>
              <w:t>is</w:t>
            </w:r>
          </w:p>
        </w:tc>
      </w:tr>
      <w:tr w:rsidR="00796F6F" w:rsidRPr="00933797">
        <w:trPr>
          <w:gridAfter w:val="1"/>
          <w:wAfter w:w="32" w:type="dxa"/>
          <w:cantSplit/>
          <w:trHeight w:val="34"/>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933797" w:rsidRDefault="00361154" w:rsidP="009735BF">
            <w:pPr>
              <w:rPr>
                <w:rFonts w:ascii="Arial" w:hAnsi="Arial"/>
                <w:lang w:val="fr-CA"/>
              </w:rPr>
            </w:pPr>
            <w:r>
              <w:rPr>
                <w:rFonts w:ascii="Arial" w:hAnsi="Arial"/>
                <w:lang w:val="fr-CA"/>
              </w:rPr>
              <w:t>Entreposage inapproprié</w:t>
            </w:r>
            <w:r w:rsidR="00796F6F" w:rsidRPr="00933797">
              <w:rPr>
                <w:rFonts w:ascii="Arial" w:hAnsi="Arial"/>
                <w:lang w:val="fr-CA"/>
              </w:rPr>
              <w:t xml:space="preserve"> (</w:t>
            </w:r>
            <w:r>
              <w:rPr>
                <w:rFonts w:ascii="Arial" w:hAnsi="Arial"/>
                <w:lang w:val="fr-CA"/>
              </w:rPr>
              <w:t>p. ex. trop longtemps à température ambiante, non accroché dans les 30 minutes suivant la mise en circulation, panne du réfrigérateur ou du congélateur</w:t>
            </w:r>
            <w:r w:rsidR="00796F6F" w:rsidRPr="00933797">
              <w:rPr>
                <w:rFonts w:ascii="Arial" w:hAnsi="Arial"/>
                <w:lang w:val="fr-CA"/>
              </w:rPr>
              <w:t>)</w:t>
            </w:r>
          </w:p>
        </w:tc>
      </w:tr>
      <w:tr w:rsidR="00796F6F" w:rsidRPr="00933797">
        <w:trPr>
          <w:gridAfter w:val="1"/>
          <w:wAfter w:w="32" w:type="dxa"/>
          <w:cantSplit/>
          <w:trHeight w:val="34"/>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933797" w:rsidRDefault="00361154" w:rsidP="009735BF">
            <w:pPr>
              <w:rPr>
                <w:rFonts w:ascii="Arial" w:hAnsi="Arial"/>
                <w:lang w:val="fr-CA"/>
              </w:rPr>
            </w:pPr>
            <w:r>
              <w:rPr>
                <w:rFonts w:ascii="Arial" w:hAnsi="Arial"/>
                <w:lang w:val="fr-CA"/>
              </w:rPr>
              <w:t>Critères d’inspection visuelle non satisfaits</w:t>
            </w:r>
          </w:p>
        </w:tc>
      </w:tr>
      <w:tr w:rsidR="00796F6F" w:rsidRPr="00933797">
        <w:trPr>
          <w:gridAfter w:val="1"/>
          <w:wAfter w:w="32" w:type="dxa"/>
          <w:cantSplit/>
          <w:trHeight w:val="34"/>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933797" w:rsidRDefault="001779C4" w:rsidP="009735BF">
            <w:pPr>
              <w:rPr>
                <w:rFonts w:ascii="Arial" w:hAnsi="Arial"/>
                <w:lang w:val="fr-CA"/>
              </w:rPr>
            </w:pPr>
            <w:r w:rsidRPr="001779C4">
              <w:rPr>
                <w:rFonts w:ascii="Arial" w:hAnsi="Arial"/>
                <w:lang w:val="fr-CA"/>
              </w:rPr>
              <w:t>Échec du c</w:t>
            </w:r>
            <w:r w:rsidR="00904C7D" w:rsidRPr="001779C4">
              <w:rPr>
                <w:rFonts w:ascii="Arial" w:hAnsi="Arial"/>
                <w:lang w:val="fr-CA"/>
              </w:rPr>
              <w:t>ontrôle de la qualité</w:t>
            </w:r>
            <w:r w:rsidR="00796F6F" w:rsidRPr="001779C4">
              <w:rPr>
                <w:rFonts w:ascii="Arial" w:hAnsi="Arial"/>
                <w:lang w:val="fr-CA"/>
              </w:rPr>
              <w:t xml:space="preserve"> (</w:t>
            </w:r>
            <w:r w:rsidRPr="001779C4">
              <w:rPr>
                <w:rFonts w:ascii="Arial" w:hAnsi="Arial"/>
                <w:lang w:val="fr-CA"/>
              </w:rPr>
              <w:t xml:space="preserve">p. ex. </w:t>
            </w:r>
            <w:r w:rsidR="009016B4">
              <w:rPr>
                <w:rFonts w:ascii="Arial" w:hAnsi="Arial"/>
                <w:lang w:val="fr-CA"/>
              </w:rPr>
              <w:t xml:space="preserve">unité ayant un </w:t>
            </w:r>
            <w:r w:rsidRPr="001779C4">
              <w:rPr>
                <w:rFonts w:ascii="Arial" w:hAnsi="Arial"/>
                <w:lang w:val="fr-CA"/>
              </w:rPr>
              <w:t xml:space="preserve">résultat positif </w:t>
            </w:r>
            <w:r w:rsidR="009016B4">
              <w:rPr>
                <w:rFonts w:ascii="Arial" w:hAnsi="Arial"/>
                <w:lang w:val="fr-CA"/>
              </w:rPr>
              <w:t>au</w:t>
            </w:r>
            <w:r w:rsidR="009016B4" w:rsidRPr="001779C4">
              <w:rPr>
                <w:rFonts w:ascii="Arial" w:hAnsi="Arial"/>
                <w:lang w:val="fr-CA"/>
              </w:rPr>
              <w:t xml:space="preserve"> </w:t>
            </w:r>
            <w:r w:rsidRPr="001779C4">
              <w:rPr>
                <w:rFonts w:ascii="Arial" w:hAnsi="Arial"/>
                <w:lang w:val="fr-CA"/>
              </w:rPr>
              <w:t>test direct à l’</w:t>
            </w:r>
            <w:r w:rsidR="00796F6F" w:rsidRPr="001779C4">
              <w:rPr>
                <w:rFonts w:ascii="Arial" w:hAnsi="Arial"/>
                <w:lang w:val="fr-CA"/>
              </w:rPr>
              <w:t>antiglobulin</w:t>
            </w:r>
            <w:r w:rsidRPr="001779C4">
              <w:rPr>
                <w:rFonts w:ascii="Arial" w:hAnsi="Arial"/>
                <w:lang w:val="fr-CA"/>
              </w:rPr>
              <w:t>e</w:t>
            </w:r>
            <w:r w:rsidR="00796F6F" w:rsidRPr="001779C4">
              <w:rPr>
                <w:rFonts w:ascii="Arial" w:hAnsi="Arial"/>
                <w:lang w:val="fr-CA"/>
              </w:rPr>
              <w:t>, ict</w:t>
            </w:r>
            <w:r w:rsidRPr="001779C4">
              <w:rPr>
                <w:rFonts w:ascii="Arial" w:hAnsi="Arial"/>
                <w:lang w:val="fr-CA"/>
              </w:rPr>
              <w:t>ère</w:t>
            </w:r>
            <w:r w:rsidR="00796F6F" w:rsidRPr="001779C4">
              <w:rPr>
                <w:rFonts w:ascii="Arial" w:hAnsi="Arial"/>
                <w:lang w:val="fr-CA"/>
              </w:rPr>
              <w:t xml:space="preserve">, </w:t>
            </w:r>
            <w:r w:rsidRPr="001779C4">
              <w:rPr>
                <w:rFonts w:ascii="Arial" w:hAnsi="Arial"/>
                <w:lang w:val="fr-CA"/>
              </w:rPr>
              <w:t xml:space="preserve">étiquetage </w:t>
            </w:r>
            <w:r w:rsidR="009016B4">
              <w:rPr>
                <w:rFonts w:ascii="Arial" w:hAnsi="Arial"/>
                <w:lang w:val="fr-CA"/>
              </w:rPr>
              <w:t>incorrect</w:t>
            </w:r>
            <w:r w:rsidR="009016B4" w:rsidRPr="001779C4">
              <w:rPr>
                <w:rFonts w:ascii="Arial" w:hAnsi="Arial"/>
                <w:lang w:val="fr-CA"/>
              </w:rPr>
              <w:t xml:space="preserve"> </w:t>
            </w:r>
            <w:r w:rsidRPr="001779C4">
              <w:rPr>
                <w:rFonts w:ascii="Arial" w:hAnsi="Arial"/>
                <w:lang w:val="fr-CA"/>
              </w:rPr>
              <w:t>ou insuffisant</w:t>
            </w:r>
            <w:r w:rsidR="00796F6F" w:rsidRPr="001779C4">
              <w:rPr>
                <w:rFonts w:ascii="Arial" w:hAnsi="Arial"/>
                <w:lang w:val="fr-CA"/>
              </w:rPr>
              <w:t>, h</w:t>
            </w:r>
            <w:r w:rsidRPr="001779C4">
              <w:rPr>
                <w:rFonts w:ascii="Arial" w:hAnsi="Arial"/>
                <w:lang w:val="fr-CA"/>
              </w:rPr>
              <w:t>émolyse, timbre de date illisible</w:t>
            </w:r>
            <w:r w:rsidR="00796F6F" w:rsidRPr="001779C4">
              <w:rPr>
                <w:rFonts w:ascii="Arial" w:hAnsi="Arial"/>
                <w:lang w:val="fr-CA"/>
              </w:rPr>
              <w:t>)</w:t>
            </w:r>
          </w:p>
        </w:tc>
      </w:tr>
      <w:tr w:rsidR="00796F6F" w:rsidRPr="00933797">
        <w:trPr>
          <w:gridAfter w:val="1"/>
          <w:wAfter w:w="32" w:type="dxa"/>
          <w:cantSplit/>
          <w:trHeight w:val="34"/>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1779C4" w:rsidRDefault="00796F6F" w:rsidP="009735BF">
            <w:pPr>
              <w:rPr>
                <w:rFonts w:ascii="Arial" w:hAnsi="Arial"/>
                <w:lang w:val="fr-CA"/>
              </w:rPr>
            </w:pPr>
            <w:r w:rsidRPr="001779C4">
              <w:rPr>
                <w:rFonts w:ascii="Arial" w:hAnsi="Arial"/>
                <w:lang w:val="fr-CA"/>
              </w:rPr>
              <w:t>Unit</w:t>
            </w:r>
            <w:r w:rsidR="001779C4" w:rsidRPr="001779C4">
              <w:rPr>
                <w:rFonts w:ascii="Arial" w:hAnsi="Arial"/>
                <w:lang w:val="fr-CA"/>
              </w:rPr>
              <w:t>é « ouverte » par les deux orifices du sac (absence d’orifice convenant à l’administration)</w:t>
            </w:r>
          </w:p>
        </w:tc>
      </w:tr>
      <w:tr w:rsidR="00796F6F" w:rsidRPr="00933797">
        <w:trPr>
          <w:gridAfter w:val="1"/>
          <w:wAfter w:w="32" w:type="dxa"/>
          <w:cantSplit/>
          <w:trHeight w:val="34"/>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1779C4" w:rsidRPr="001779C4" w:rsidRDefault="00796F6F" w:rsidP="009735BF">
            <w:pPr>
              <w:rPr>
                <w:rFonts w:ascii="Arial" w:hAnsi="Arial"/>
                <w:lang w:val="fr-CA"/>
              </w:rPr>
            </w:pPr>
            <w:r w:rsidRPr="001779C4">
              <w:rPr>
                <w:rFonts w:ascii="Arial" w:hAnsi="Arial"/>
                <w:lang w:val="fr-CA"/>
              </w:rPr>
              <w:t>Probl</w:t>
            </w:r>
            <w:r w:rsidR="001779C4" w:rsidRPr="001779C4">
              <w:rPr>
                <w:rFonts w:ascii="Arial" w:hAnsi="Arial"/>
                <w:lang w:val="fr-CA"/>
              </w:rPr>
              <w:t xml:space="preserve">ème encouru lors de la procédure de </w:t>
            </w:r>
            <w:r w:rsidR="009016B4" w:rsidRPr="001779C4">
              <w:rPr>
                <w:rFonts w:ascii="Arial" w:hAnsi="Arial"/>
                <w:lang w:val="fr-CA"/>
              </w:rPr>
              <w:t>reconstitution</w:t>
            </w:r>
            <w:r w:rsidRPr="001779C4">
              <w:rPr>
                <w:rFonts w:ascii="Arial" w:hAnsi="Arial"/>
                <w:lang w:val="fr-CA"/>
              </w:rPr>
              <w:t xml:space="preserve"> (</w:t>
            </w:r>
            <w:r w:rsidR="001779C4" w:rsidRPr="001779C4">
              <w:rPr>
                <w:rFonts w:ascii="Arial" w:hAnsi="Arial"/>
                <w:lang w:val="fr-CA"/>
              </w:rPr>
              <w:t xml:space="preserve">p. ex. absence de vide dans un flacon </w:t>
            </w:r>
            <w:r w:rsidRPr="001779C4">
              <w:rPr>
                <w:rFonts w:ascii="Arial" w:hAnsi="Arial"/>
                <w:lang w:val="fr-CA"/>
              </w:rPr>
              <w:t>lyophili</w:t>
            </w:r>
            <w:r w:rsidR="001779C4" w:rsidRPr="001779C4">
              <w:rPr>
                <w:rFonts w:ascii="Arial" w:hAnsi="Arial"/>
                <w:lang w:val="fr-CA"/>
              </w:rPr>
              <w:t>sé</w:t>
            </w:r>
            <w:r w:rsidRPr="001779C4">
              <w:rPr>
                <w:rFonts w:ascii="Arial" w:hAnsi="Arial"/>
                <w:lang w:val="fr-CA"/>
              </w:rPr>
              <w:t xml:space="preserve"> </w:t>
            </w:r>
            <w:r w:rsidR="001779C4" w:rsidRPr="001779C4">
              <w:rPr>
                <w:rFonts w:ascii="Arial" w:hAnsi="Arial"/>
                <w:lang w:val="fr-CA"/>
              </w:rPr>
              <w:t>–</w:t>
            </w:r>
            <w:r w:rsidRPr="001779C4">
              <w:rPr>
                <w:rFonts w:ascii="Arial" w:hAnsi="Arial"/>
                <w:lang w:val="fr-CA"/>
              </w:rPr>
              <w:t xml:space="preserve"> </w:t>
            </w:r>
            <w:r w:rsidR="001779C4" w:rsidRPr="001779C4">
              <w:rPr>
                <w:rFonts w:ascii="Arial" w:hAnsi="Arial"/>
                <w:lang w:val="fr-CA"/>
              </w:rPr>
              <w:t xml:space="preserve">pas de </w:t>
            </w:r>
            <w:r w:rsidRPr="001779C4">
              <w:rPr>
                <w:rFonts w:ascii="Arial" w:hAnsi="Arial"/>
                <w:lang w:val="fr-CA"/>
              </w:rPr>
              <w:t>di</w:t>
            </w:r>
            <w:r w:rsidR="001779C4" w:rsidRPr="001779C4">
              <w:rPr>
                <w:rFonts w:ascii="Arial" w:hAnsi="Arial"/>
                <w:lang w:val="fr-CA"/>
              </w:rPr>
              <w:t>ssolution)</w:t>
            </w:r>
          </w:p>
        </w:tc>
      </w:tr>
      <w:tr w:rsidR="00796F6F" w:rsidRPr="00933797">
        <w:trPr>
          <w:gridAfter w:val="1"/>
          <w:wAfter w:w="32" w:type="dxa"/>
          <w:cantSplit/>
          <w:trHeight w:val="34"/>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1779C4" w:rsidRDefault="00796F6F" w:rsidP="009735BF">
            <w:pPr>
              <w:rPr>
                <w:rFonts w:ascii="Arial" w:hAnsi="Arial"/>
                <w:lang w:val="fr-CA"/>
              </w:rPr>
            </w:pPr>
            <w:r w:rsidRPr="001779C4">
              <w:rPr>
                <w:rFonts w:ascii="Arial" w:hAnsi="Arial"/>
                <w:lang w:val="fr-CA"/>
              </w:rPr>
              <w:t>Compo</w:t>
            </w:r>
            <w:r w:rsidR="001779C4" w:rsidRPr="001779C4">
              <w:rPr>
                <w:rFonts w:ascii="Arial" w:hAnsi="Arial"/>
                <w:lang w:val="fr-CA"/>
              </w:rPr>
              <w:t xml:space="preserve">sant ou produit utilisé à des fins autres que transfusionnelles </w:t>
            </w:r>
            <w:r w:rsidRPr="001779C4">
              <w:rPr>
                <w:rFonts w:ascii="Arial" w:hAnsi="Arial"/>
                <w:lang w:val="fr-CA"/>
              </w:rPr>
              <w:t>(</w:t>
            </w:r>
            <w:r w:rsidR="001779C4" w:rsidRPr="001779C4">
              <w:rPr>
                <w:rFonts w:ascii="Arial" w:hAnsi="Arial"/>
                <w:lang w:val="fr-CA"/>
              </w:rPr>
              <w:t>p. ex. de CQ</w:t>
            </w:r>
            <w:r w:rsidRPr="001779C4">
              <w:rPr>
                <w:rFonts w:ascii="Arial" w:hAnsi="Arial"/>
                <w:lang w:val="fr-CA"/>
              </w:rPr>
              <w:t>)</w:t>
            </w:r>
          </w:p>
        </w:tc>
      </w:tr>
      <w:tr w:rsidR="00796F6F" w:rsidRPr="00933797">
        <w:trPr>
          <w:gridAfter w:val="1"/>
          <w:wAfter w:w="32" w:type="dxa"/>
          <w:cantSplit/>
          <w:trHeight w:val="585"/>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1779C4" w:rsidRDefault="001779C4" w:rsidP="009735BF">
            <w:pPr>
              <w:rPr>
                <w:rFonts w:ascii="Arial" w:hAnsi="Arial"/>
                <w:lang w:val="fr-CA"/>
              </w:rPr>
            </w:pPr>
            <w:r w:rsidRPr="001779C4">
              <w:rPr>
                <w:rFonts w:ascii="Arial" w:hAnsi="Arial"/>
                <w:lang w:val="fr-CA"/>
              </w:rPr>
              <w:t>Aucun segment sur les unités de globules rouges à des fins d’épreuves de compatibilité.</w:t>
            </w:r>
          </w:p>
        </w:tc>
      </w:tr>
      <w:tr w:rsidR="00796F6F" w:rsidRPr="00933797">
        <w:trPr>
          <w:gridAfter w:val="1"/>
          <w:wAfter w:w="32" w:type="dxa"/>
          <w:cantSplit/>
          <w:trHeight w:val="34"/>
        </w:trPr>
        <w:tc>
          <w:tcPr>
            <w:tcW w:w="2628" w:type="dxa"/>
            <w:gridSpan w:val="6"/>
            <w:vMerge/>
          </w:tcPr>
          <w:p w:rsidR="00796F6F" w:rsidRPr="00933797" w:rsidRDefault="00796F6F">
            <w:pPr>
              <w:rPr>
                <w:rFonts w:ascii="Arial" w:hAnsi="Arial"/>
                <w:b/>
                <w:sz w:val="28"/>
                <w:lang w:val="fr-CA"/>
              </w:rPr>
            </w:pPr>
          </w:p>
        </w:tc>
        <w:tc>
          <w:tcPr>
            <w:tcW w:w="540" w:type="dxa"/>
          </w:tcPr>
          <w:p w:rsidR="00796F6F" w:rsidRPr="00933797" w:rsidRDefault="00796F6F">
            <w:pPr>
              <w:numPr>
                <w:ilvl w:val="0"/>
                <w:numId w:val="22"/>
              </w:numPr>
              <w:rPr>
                <w:rFonts w:ascii="Arial" w:hAnsi="Arial"/>
                <w:lang w:val="fr-CA"/>
              </w:rPr>
            </w:pPr>
          </w:p>
        </w:tc>
        <w:tc>
          <w:tcPr>
            <w:tcW w:w="5910" w:type="dxa"/>
            <w:gridSpan w:val="2"/>
          </w:tcPr>
          <w:p w:rsidR="00796F6F" w:rsidRPr="00933797" w:rsidRDefault="001779C4">
            <w:pPr>
              <w:rPr>
                <w:rFonts w:ascii="Arial" w:hAnsi="Arial"/>
                <w:lang w:val="fr-CA"/>
              </w:rPr>
            </w:pPr>
            <w:r>
              <w:rPr>
                <w:rFonts w:ascii="Arial" w:hAnsi="Arial"/>
                <w:lang w:val="fr-CA"/>
              </w:rPr>
              <w:t>Rappel d’unités par le fournisseur du sang</w:t>
            </w:r>
            <w:r w:rsidR="00796F6F" w:rsidRPr="00933797">
              <w:rPr>
                <w:rFonts w:ascii="Arial" w:hAnsi="Arial"/>
                <w:lang w:val="fr-CA"/>
              </w:rPr>
              <w:t>.</w:t>
            </w:r>
          </w:p>
          <w:p w:rsidR="00796F6F" w:rsidRPr="00933797" w:rsidRDefault="00796F6F">
            <w:pPr>
              <w:rPr>
                <w:rFonts w:ascii="Arial" w:hAnsi="Arial"/>
                <w:lang w:val="fr-CA"/>
              </w:rPr>
            </w:pPr>
          </w:p>
        </w:tc>
      </w:tr>
      <w:tr w:rsidR="00796F6F" w:rsidRPr="00933797" w:rsidTr="009735BF">
        <w:trPr>
          <w:cantSplit/>
          <w:trHeight w:val="2094"/>
        </w:trPr>
        <w:tc>
          <w:tcPr>
            <w:tcW w:w="835" w:type="dxa"/>
          </w:tcPr>
          <w:p w:rsidR="00796F6F" w:rsidRPr="00933797" w:rsidRDefault="00796F6F">
            <w:pPr>
              <w:rPr>
                <w:rFonts w:ascii="Arial" w:hAnsi="Arial"/>
                <w:lang w:val="fr-CA"/>
              </w:rPr>
            </w:pPr>
          </w:p>
        </w:tc>
        <w:tc>
          <w:tcPr>
            <w:tcW w:w="835" w:type="dxa"/>
          </w:tcPr>
          <w:p w:rsidR="00796F6F" w:rsidRPr="00933797" w:rsidRDefault="00796F6F" w:rsidP="007839FB">
            <w:pPr>
              <w:pStyle w:val="Heading1"/>
              <w:numPr>
                <w:ilvl w:val="0"/>
                <w:numId w:val="0"/>
              </w:numPr>
            </w:pPr>
          </w:p>
        </w:tc>
        <w:tc>
          <w:tcPr>
            <w:tcW w:w="958" w:type="dxa"/>
            <w:gridSpan w:val="4"/>
          </w:tcPr>
          <w:p w:rsidR="00796F6F" w:rsidRPr="00933797" w:rsidRDefault="00796F6F">
            <w:pPr>
              <w:pStyle w:val="Heading3"/>
              <w:numPr>
                <w:ilvl w:val="0"/>
                <w:numId w:val="0"/>
              </w:numPr>
              <w:rPr>
                <w:rFonts w:ascii="Arial" w:hAnsi="Arial"/>
                <w:lang w:val="fr-CA"/>
              </w:rPr>
            </w:pPr>
            <w:r w:rsidRPr="00933797">
              <w:rPr>
                <w:rFonts w:ascii="Arial" w:hAnsi="Arial"/>
                <w:lang w:val="fr-CA"/>
              </w:rPr>
              <w:t>6.5.1</w:t>
            </w:r>
          </w:p>
        </w:tc>
        <w:tc>
          <w:tcPr>
            <w:tcW w:w="6482" w:type="dxa"/>
            <w:gridSpan w:val="4"/>
          </w:tcPr>
          <w:p w:rsidR="00796F6F" w:rsidRPr="001779C4" w:rsidRDefault="00D338DC">
            <w:pPr>
              <w:pStyle w:val="BodyText"/>
              <w:rPr>
                <w:rFonts w:ascii="Arial" w:hAnsi="Arial"/>
                <w:color w:val="auto"/>
                <w:lang w:val="fr-CA"/>
              </w:rPr>
            </w:pPr>
            <w:r w:rsidRPr="001779C4">
              <w:rPr>
                <w:rFonts w:ascii="Arial" w:hAnsi="Arial"/>
                <w:color w:val="auto"/>
                <w:lang w:val="fr-CA"/>
              </w:rPr>
              <w:t xml:space="preserve">Codes de rejet : </w:t>
            </w:r>
          </w:p>
          <w:p w:rsidR="00796F6F" w:rsidRPr="001779C4" w:rsidRDefault="00796F6F">
            <w:pPr>
              <w:pStyle w:val="BodyText"/>
              <w:rPr>
                <w:rFonts w:ascii="Arial" w:hAnsi="Arial"/>
                <w:color w:val="auto"/>
                <w:lang w:val="fr-CA"/>
              </w:rPr>
            </w:pPr>
          </w:p>
          <w:p w:rsidR="00796F6F" w:rsidRPr="001779C4" w:rsidRDefault="00D338DC" w:rsidP="009735BF">
            <w:pPr>
              <w:pStyle w:val="BodyText"/>
              <w:numPr>
                <w:ilvl w:val="0"/>
                <w:numId w:val="35"/>
              </w:numPr>
              <w:ind w:left="633" w:hanging="567"/>
              <w:rPr>
                <w:rFonts w:ascii="Arial" w:hAnsi="Arial"/>
                <w:color w:val="auto"/>
                <w:lang w:val="fr-CA"/>
              </w:rPr>
            </w:pPr>
            <w:r w:rsidRPr="001779C4">
              <w:rPr>
                <w:rFonts w:ascii="Arial" w:hAnsi="Arial"/>
                <w:color w:val="auto"/>
                <w:lang w:val="fr-CA"/>
              </w:rPr>
              <w:t xml:space="preserve">Inscrire «  </w:t>
            </w:r>
            <w:r w:rsidR="00796F6F" w:rsidRPr="001779C4">
              <w:rPr>
                <w:rFonts w:ascii="Arial" w:hAnsi="Arial"/>
                <w:color w:val="auto"/>
                <w:lang w:val="fr-CA"/>
              </w:rPr>
              <w:t>E</w:t>
            </w:r>
            <w:r w:rsidRPr="001779C4">
              <w:rPr>
                <w:rFonts w:ascii="Arial" w:hAnsi="Arial"/>
                <w:color w:val="auto"/>
                <w:lang w:val="fr-CA"/>
              </w:rPr>
              <w:t xml:space="preserve"> » lorsqu’un composant ou un produit portant un numéro de lot est périmé </w:t>
            </w:r>
            <w:r w:rsidR="00796F6F" w:rsidRPr="001779C4">
              <w:rPr>
                <w:rFonts w:ascii="Arial" w:hAnsi="Arial"/>
                <w:color w:val="auto"/>
                <w:lang w:val="fr-CA"/>
              </w:rPr>
              <w:t>(expir</w:t>
            </w:r>
            <w:r w:rsidRPr="001779C4">
              <w:rPr>
                <w:rFonts w:ascii="Arial" w:hAnsi="Arial"/>
                <w:color w:val="auto"/>
                <w:lang w:val="fr-CA"/>
              </w:rPr>
              <w:t>é</w:t>
            </w:r>
            <w:r w:rsidR="00796F6F" w:rsidRPr="001779C4">
              <w:rPr>
                <w:rFonts w:ascii="Arial" w:hAnsi="Arial"/>
                <w:color w:val="auto"/>
                <w:lang w:val="fr-CA"/>
              </w:rPr>
              <w:t>).</w:t>
            </w:r>
          </w:p>
          <w:p w:rsidR="00796F6F" w:rsidRPr="001779C4" w:rsidRDefault="00D338DC" w:rsidP="009735BF">
            <w:pPr>
              <w:pStyle w:val="Header"/>
              <w:numPr>
                <w:ilvl w:val="0"/>
                <w:numId w:val="35"/>
              </w:numPr>
              <w:tabs>
                <w:tab w:val="clear" w:pos="4320"/>
                <w:tab w:val="clear" w:pos="8640"/>
              </w:tabs>
              <w:ind w:left="633" w:hanging="567"/>
              <w:rPr>
                <w:rFonts w:ascii="Arial" w:hAnsi="Arial"/>
                <w:lang w:val="fr-CA"/>
              </w:rPr>
            </w:pPr>
            <w:r w:rsidRPr="001779C4">
              <w:rPr>
                <w:rFonts w:ascii="Arial" w:hAnsi="Arial"/>
                <w:lang w:val="fr-CA"/>
              </w:rPr>
              <w:t xml:space="preserve">Inscrire « D » lorsqu’un composant ou un produit portant un numéro de lot est </w:t>
            </w:r>
            <w:r w:rsidR="001779C4">
              <w:rPr>
                <w:rFonts w:ascii="Arial" w:hAnsi="Arial"/>
                <w:lang w:val="fr-CA"/>
              </w:rPr>
              <w:t>détruit</w:t>
            </w:r>
            <w:r w:rsidRPr="001779C4">
              <w:rPr>
                <w:rFonts w:ascii="Arial" w:hAnsi="Arial"/>
                <w:lang w:val="fr-CA"/>
              </w:rPr>
              <w:t xml:space="preserve"> ou retourné au fabricant </w:t>
            </w:r>
            <w:r w:rsidR="007F0440" w:rsidRPr="001779C4">
              <w:rPr>
                <w:rFonts w:ascii="Arial" w:hAnsi="Arial"/>
                <w:lang w:val="fr-CA"/>
              </w:rPr>
              <w:t>(destruction)</w:t>
            </w:r>
            <w:r w:rsidR="00796F6F" w:rsidRPr="001779C4">
              <w:rPr>
                <w:rFonts w:ascii="Arial" w:hAnsi="Arial"/>
                <w:lang w:val="fr-CA"/>
              </w:rPr>
              <w:t>.</w:t>
            </w:r>
          </w:p>
          <w:p w:rsidR="00796F6F" w:rsidRPr="00933797" w:rsidRDefault="00796F6F">
            <w:pPr>
              <w:pStyle w:val="Header"/>
              <w:tabs>
                <w:tab w:val="clear" w:pos="4320"/>
                <w:tab w:val="clear" w:pos="8640"/>
              </w:tabs>
              <w:rPr>
                <w:rFonts w:ascii="Arial" w:hAnsi="Arial"/>
                <w:lang w:val="fr-CA"/>
              </w:rPr>
            </w:pPr>
          </w:p>
        </w:tc>
      </w:tr>
      <w:tr w:rsidR="00796F6F" w:rsidRPr="00933797">
        <w:trPr>
          <w:cantSplit/>
        </w:trPr>
        <w:tc>
          <w:tcPr>
            <w:tcW w:w="835" w:type="dxa"/>
          </w:tcPr>
          <w:p w:rsidR="00796F6F" w:rsidRPr="00933797" w:rsidRDefault="00796F6F">
            <w:pPr>
              <w:rPr>
                <w:rFonts w:ascii="Arial" w:hAnsi="Arial"/>
                <w:lang w:val="fr-CA"/>
              </w:rPr>
            </w:pPr>
          </w:p>
        </w:tc>
        <w:tc>
          <w:tcPr>
            <w:tcW w:w="835" w:type="dxa"/>
          </w:tcPr>
          <w:p w:rsidR="00796F6F" w:rsidRPr="00D81B2A" w:rsidRDefault="00796F6F">
            <w:pPr>
              <w:pStyle w:val="Heading2"/>
              <w:numPr>
                <w:ilvl w:val="0"/>
                <w:numId w:val="0"/>
              </w:numPr>
              <w:rPr>
                <w:rFonts w:ascii="Arial" w:hAnsi="Arial"/>
                <w:lang w:val="fr-CA"/>
              </w:rPr>
            </w:pPr>
            <w:r w:rsidRPr="00D81B2A">
              <w:rPr>
                <w:rFonts w:ascii="Arial" w:hAnsi="Arial"/>
                <w:lang w:val="fr-CA"/>
              </w:rPr>
              <w:t>6.6</w:t>
            </w:r>
          </w:p>
        </w:tc>
        <w:tc>
          <w:tcPr>
            <w:tcW w:w="7440" w:type="dxa"/>
            <w:gridSpan w:val="8"/>
          </w:tcPr>
          <w:p w:rsidR="00796F6F" w:rsidRPr="00D81B2A" w:rsidRDefault="00D81B2A">
            <w:pPr>
              <w:rPr>
                <w:rFonts w:ascii="Arial" w:hAnsi="Arial"/>
                <w:lang w:val="fr-CA"/>
              </w:rPr>
            </w:pPr>
            <w:r w:rsidRPr="00D81B2A">
              <w:rPr>
                <w:rFonts w:ascii="Arial" w:hAnsi="Arial"/>
                <w:lang w:val="fr-CA"/>
              </w:rPr>
              <w:t xml:space="preserve">Jeter tout produit sanguin </w:t>
            </w:r>
            <w:r w:rsidR="00796F6F" w:rsidRPr="00D81B2A">
              <w:rPr>
                <w:rFonts w:ascii="Arial" w:hAnsi="Arial"/>
                <w:lang w:val="fr-CA"/>
              </w:rPr>
              <w:t>(</w:t>
            </w:r>
            <w:r w:rsidRPr="00D81B2A">
              <w:rPr>
                <w:rFonts w:ascii="Arial" w:hAnsi="Arial"/>
                <w:lang w:val="fr-CA"/>
              </w:rPr>
              <w:t xml:space="preserve">qui n’est pas renvoyé au fournisseur) dans un contenant approprié au matériel biologique dangereux. </w:t>
            </w:r>
          </w:p>
          <w:p w:rsidR="00796F6F" w:rsidRPr="00D81B2A" w:rsidRDefault="00796F6F">
            <w:pPr>
              <w:rPr>
                <w:rFonts w:ascii="Arial" w:hAnsi="Arial"/>
                <w:lang w:val="fr-CA"/>
              </w:rPr>
            </w:pPr>
          </w:p>
        </w:tc>
      </w:tr>
      <w:tr w:rsidR="00796F6F" w:rsidRPr="00933797">
        <w:trPr>
          <w:cantSplit/>
        </w:trPr>
        <w:tc>
          <w:tcPr>
            <w:tcW w:w="9110" w:type="dxa"/>
            <w:gridSpan w:val="10"/>
          </w:tcPr>
          <w:p w:rsidR="00796F6F" w:rsidRPr="00933797" w:rsidRDefault="00CD3F2F" w:rsidP="007839FB">
            <w:pPr>
              <w:pStyle w:val="Heading1"/>
            </w:pPr>
            <w:r w:rsidRPr="00933797">
              <w:t>Documentation</w:t>
            </w:r>
          </w:p>
        </w:tc>
      </w:tr>
      <w:tr w:rsidR="00796F6F" w:rsidRPr="00933797">
        <w:trPr>
          <w:cantSplit/>
        </w:trPr>
        <w:tc>
          <w:tcPr>
            <w:tcW w:w="835" w:type="dxa"/>
          </w:tcPr>
          <w:p w:rsidR="00796F6F" w:rsidRPr="00933797" w:rsidRDefault="00796F6F">
            <w:pPr>
              <w:rPr>
                <w:rFonts w:ascii="Arial" w:hAnsi="Arial"/>
                <w:lang w:val="fr-CA"/>
              </w:rPr>
            </w:pPr>
          </w:p>
        </w:tc>
        <w:tc>
          <w:tcPr>
            <w:tcW w:w="8275" w:type="dxa"/>
            <w:gridSpan w:val="9"/>
          </w:tcPr>
          <w:p w:rsidR="00796F6F" w:rsidRPr="001779C4" w:rsidRDefault="009735BF">
            <w:pPr>
              <w:rPr>
                <w:rFonts w:ascii="Arial" w:hAnsi="Arial"/>
                <w:lang w:val="fr-CA"/>
              </w:rPr>
            </w:pPr>
            <w:r>
              <w:rPr>
                <w:rFonts w:ascii="Arial" w:hAnsi="Arial"/>
                <w:lang w:val="fr-CA"/>
              </w:rPr>
              <w:t>Lorsque le fournisseur de sang le demande, retourner le ou les composants/produits sanguins en remplissant la documentation pertinente trouvée sur le site Web du fournisseur (</w:t>
            </w:r>
            <w:hyperlink r:id="rId8" w:history="1">
              <w:r w:rsidRPr="00826E33">
                <w:rPr>
                  <w:rStyle w:val="Hyperlink"/>
                  <w:rFonts w:ascii="Arial" w:hAnsi="Arial"/>
                  <w:lang w:val="fr-CA"/>
                </w:rPr>
                <w:t>www.blood.ca</w:t>
              </w:r>
            </w:hyperlink>
            <w:r>
              <w:rPr>
                <w:rFonts w:ascii="Arial" w:hAnsi="Arial"/>
                <w:lang w:val="fr-CA"/>
              </w:rPr>
              <w:t>) sous l’onglet Hôpitaux et médecins - Formulaires</w:t>
            </w:r>
            <w:r w:rsidR="00D338DC" w:rsidRPr="001779C4">
              <w:rPr>
                <w:rFonts w:ascii="Arial" w:hAnsi="Arial"/>
                <w:lang w:val="fr-CA"/>
              </w:rPr>
              <w:t xml:space="preserve">. </w:t>
            </w:r>
          </w:p>
          <w:p w:rsidR="00796F6F" w:rsidRPr="00933797" w:rsidRDefault="00796F6F">
            <w:pPr>
              <w:rPr>
                <w:rFonts w:ascii="Arial" w:hAnsi="Arial"/>
                <w:b/>
                <w:lang w:val="fr-CA"/>
              </w:rPr>
            </w:pPr>
          </w:p>
        </w:tc>
      </w:tr>
      <w:tr w:rsidR="00796F6F" w:rsidRPr="00D338DC">
        <w:trPr>
          <w:cantSplit/>
        </w:trPr>
        <w:tc>
          <w:tcPr>
            <w:tcW w:w="9110" w:type="dxa"/>
            <w:gridSpan w:val="10"/>
          </w:tcPr>
          <w:p w:rsidR="00796F6F" w:rsidRPr="00D338DC" w:rsidRDefault="00D338DC" w:rsidP="007839FB">
            <w:pPr>
              <w:pStyle w:val="Heading1"/>
            </w:pPr>
            <w:r w:rsidRPr="00D338DC">
              <w:t>R</w:t>
            </w:r>
            <w:r w:rsidR="00CD3F2F" w:rsidRPr="00D338DC">
              <w:t xml:space="preserve">emarques - </w:t>
            </w:r>
            <w:r w:rsidRPr="00D338DC">
              <w:t>S.O.</w:t>
            </w:r>
          </w:p>
        </w:tc>
      </w:tr>
    </w:tbl>
    <w:p w:rsidR="00796F6F" w:rsidRPr="00D338DC" w:rsidRDefault="00796F6F">
      <w:pPr>
        <w:rPr>
          <w:rFonts w:ascii="Arial" w:hAnsi="Arial"/>
          <w:lang w:val="fr-CA"/>
        </w:rPr>
      </w:pPr>
    </w:p>
    <w:tbl>
      <w:tblPr>
        <w:tblW w:w="8870" w:type="dxa"/>
        <w:tblLayout w:type="fixed"/>
        <w:tblLook w:val="0000" w:firstRow="0" w:lastRow="0" w:firstColumn="0" w:lastColumn="0" w:noHBand="0" w:noVBand="0"/>
      </w:tblPr>
      <w:tblGrid>
        <w:gridCol w:w="835"/>
        <w:gridCol w:w="713"/>
        <w:gridCol w:w="7322"/>
      </w:tblGrid>
      <w:tr w:rsidR="00796F6F" w:rsidRPr="00D338DC" w:rsidTr="00E77075">
        <w:trPr>
          <w:cantSplit/>
        </w:trPr>
        <w:tc>
          <w:tcPr>
            <w:tcW w:w="8870" w:type="dxa"/>
            <w:gridSpan w:val="3"/>
          </w:tcPr>
          <w:p w:rsidR="00796F6F" w:rsidRPr="00D338DC" w:rsidRDefault="00CD3F2F" w:rsidP="007839FB">
            <w:pPr>
              <w:pStyle w:val="Heading1"/>
            </w:pPr>
            <w:r w:rsidRPr="00D338DC">
              <w:t>Références</w:t>
            </w:r>
          </w:p>
        </w:tc>
      </w:tr>
      <w:tr w:rsidR="00796F6F" w:rsidRPr="00D338DC" w:rsidTr="009735BF">
        <w:trPr>
          <w:trHeight w:val="921"/>
        </w:trPr>
        <w:tc>
          <w:tcPr>
            <w:tcW w:w="835" w:type="dxa"/>
          </w:tcPr>
          <w:p w:rsidR="00796F6F" w:rsidRPr="00D338DC" w:rsidRDefault="00796F6F">
            <w:pPr>
              <w:rPr>
                <w:rFonts w:ascii="Arial" w:hAnsi="Arial"/>
                <w:lang w:val="fr-CA"/>
              </w:rPr>
            </w:pPr>
          </w:p>
        </w:tc>
        <w:tc>
          <w:tcPr>
            <w:tcW w:w="713" w:type="dxa"/>
          </w:tcPr>
          <w:p w:rsidR="00796F6F" w:rsidRPr="00D338DC" w:rsidRDefault="00796F6F">
            <w:pPr>
              <w:pStyle w:val="Heading2"/>
              <w:numPr>
                <w:ilvl w:val="0"/>
                <w:numId w:val="0"/>
              </w:numPr>
              <w:rPr>
                <w:rFonts w:ascii="Arial" w:hAnsi="Arial"/>
                <w:lang w:val="fr-CA"/>
              </w:rPr>
            </w:pPr>
            <w:r w:rsidRPr="00D338DC">
              <w:rPr>
                <w:rFonts w:ascii="Arial" w:hAnsi="Arial"/>
                <w:lang w:val="fr-CA"/>
              </w:rPr>
              <w:t>9.1</w:t>
            </w:r>
          </w:p>
        </w:tc>
        <w:tc>
          <w:tcPr>
            <w:tcW w:w="7322" w:type="dxa"/>
          </w:tcPr>
          <w:p w:rsidR="00796F6F" w:rsidRPr="00D338DC" w:rsidRDefault="00796F6F">
            <w:pPr>
              <w:rPr>
                <w:rFonts w:ascii="Arial" w:hAnsi="Arial"/>
                <w:lang w:val="fr-CA"/>
              </w:rPr>
            </w:pPr>
            <w:r w:rsidRPr="00536049">
              <w:rPr>
                <w:rFonts w:ascii="Arial" w:hAnsi="Arial"/>
                <w:i/>
                <w:lang w:val="fr-CA"/>
              </w:rPr>
              <w:t>Standards for Transfusion Medicine</w:t>
            </w:r>
            <w:r w:rsidRPr="00D338DC">
              <w:rPr>
                <w:rFonts w:ascii="Arial" w:hAnsi="Arial"/>
                <w:lang w:val="fr-CA"/>
              </w:rPr>
              <w:t xml:space="preserve">, </w:t>
            </w:r>
            <w:r w:rsidR="00536049">
              <w:rPr>
                <w:rFonts w:ascii="Arial" w:hAnsi="Arial"/>
                <w:lang w:val="fr-CA"/>
              </w:rPr>
              <w:t xml:space="preserve">version </w:t>
            </w:r>
            <w:r w:rsidR="009735BF">
              <w:rPr>
                <w:rFonts w:ascii="Arial" w:hAnsi="Arial"/>
                <w:lang w:val="fr-CA"/>
              </w:rPr>
              <w:t>3</w:t>
            </w:r>
            <w:r w:rsidR="00536049">
              <w:rPr>
                <w:rFonts w:ascii="Arial" w:hAnsi="Arial"/>
                <w:lang w:val="fr-CA"/>
              </w:rPr>
              <w:t xml:space="preserve">, </w:t>
            </w:r>
            <w:r w:rsidR="009735BF">
              <w:rPr>
                <w:rFonts w:ascii="Arial" w:hAnsi="Arial"/>
                <w:lang w:val="fr-CA"/>
              </w:rPr>
              <w:t xml:space="preserve">février </w:t>
            </w:r>
            <w:r w:rsidR="00536049">
              <w:rPr>
                <w:rFonts w:ascii="Arial" w:hAnsi="Arial"/>
                <w:lang w:val="fr-CA"/>
              </w:rPr>
              <w:t>20</w:t>
            </w:r>
            <w:r w:rsidR="009735BF">
              <w:rPr>
                <w:rFonts w:ascii="Arial" w:hAnsi="Arial"/>
                <w:lang w:val="fr-CA"/>
              </w:rPr>
              <w:t>11</w:t>
            </w:r>
            <w:r w:rsidR="00536049">
              <w:rPr>
                <w:rFonts w:ascii="Arial" w:hAnsi="Arial"/>
                <w:lang w:val="fr-CA"/>
              </w:rPr>
              <w:t xml:space="preserve">, </w:t>
            </w:r>
            <w:r w:rsidR="00D338DC" w:rsidRPr="00D338DC">
              <w:rPr>
                <w:rFonts w:ascii="Arial" w:hAnsi="Arial"/>
                <w:lang w:val="fr-CA"/>
              </w:rPr>
              <w:t>Société canadienne de médecine transfusionnelle</w:t>
            </w:r>
            <w:r w:rsidRPr="00D338DC">
              <w:rPr>
                <w:rFonts w:ascii="Arial" w:hAnsi="Arial"/>
                <w:lang w:val="fr-CA"/>
              </w:rPr>
              <w:t xml:space="preserve">, </w:t>
            </w:r>
            <w:r w:rsidR="00536049">
              <w:rPr>
                <w:rFonts w:ascii="Arial" w:hAnsi="Arial"/>
                <w:lang w:val="fr-CA"/>
              </w:rPr>
              <w:t>6.</w:t>
            </w:r>
            <w:r w:rsidR="009735BF">
              <w:rPr>
                <w:rFonts w:ascii="Arial" w:hAnsi="Arial"/>
                <w:lang w:val="fr-CA"/>
              </w:rPr>
              <w:t>3</w:t>
            </w:r>
            <w:r w:rsidR="00536049">
              <w:rPr>
                <w:rFonts w:ascii="Arial" w:hAnsi="Arial"/>
                <w:lang w:val="fr-CA"/>
              </w:rPr>
              <w:t>.5.</w:t>
            </w:r>
          </w:p>
          <w:p w:rsidR="00796F6F" w:rsidRPr="00D338DC" w:rsidRDefault="00796F6F">
            <w:pPr>
              <w:rPr>
                <w:rFonts w:ascii="Arial" w:hAnsi="Arial"/>
                <w:lang w:val="fr-CA"/>
              </w:rPr>
            </w:pPr>
          </w:p>
        </w:tc>
      </w:tr>
      <w:tr w:rsidR="00796F6F" w:rsidRPr="00D338DC" w:rsidTr="00E77075">
        <w:tc>
          <w:tcPr>
            <w:tcW w:w="835" w:type="dxa"/>
          </w:tcPr>
          <w:p w:rsidR="00796F6F" w:rsidRPr="00D338DC" w:rsidRDefault="00796F6F">
            <w:pPr>
              <w:rPr>
                <w:rFonts w:ascii="Arial" w:hAnsi="Arial"/>
                <w:lang w:val="fr-CA"/>
              </w:rPr>
            </w:pPr>
          </w:p>
        </w:tc>
        <w:tc>
          <w:tcPr>
            <w:tcW w:w="713" w:type="dxa"/>
          </w:tcPr>
          <w:p w:rsidR="00796F6F" w:rsidRPr="00D338DC" w:rsidRDefault="00796F6F">
            <w:pPr>
              <w:pStyle w:val="Heading2"/>
              <w:numPr>
                <w:ilvl w:val="0"/>
                <w:numId w:val="0"/>
              </w:numPr>
              <w:rPr>
                <w:rFonts w:ascii="Arial" w:hAnsi="Arial"/>
                <w:lang w:val="fr-CA"/>
              </w:rPr>
            </w:pPr>
            <w:r w:rsidRPr="00D338DC">
              <w:rPr>
                <w:rFonts w:ascii="Arial" w:hAnsi="Arial"/>
                <w:lang w:val="fr-CA"/>
              </w:rPr>
              <w:t>9.2</w:t>
            </w:r>
          </w:p>
        </w:tc>
        <w:tc>
          <w:tcPr>
            <w:tcW w:w="7322" w:type="dxa"/>
          </w:tcPr>
          <w:p w:rsidR="009735BF" w:rsidRPr="00CD6F76" w:rsidRDefault="009735BF" w:rsidP="009735BF">
            <w:pPr>
              <w:rPr>
                <w:rFonts w:ascii="Arial" w:hAnsi="Arial"/>
              </w:rPr>
            </w:pPr>
            <w:r w:rsidRPr="00CD6F76">
              <w:rPr>
                <w:rFonts w:ascii="Arial" w:hAnsi="Arial"/>
              </w:rPr>
              <w:t>Groupe CSA. Can/C</w:t>
            </w:r>
            <w:r>
              <w:rPr>
                <w:rFonts w:ascii="Arial" w:hAnsi="Arial"/>
              </w:rPr>
              <w:t>SA</w:t>
            </w:r>
            <w:r w:rsidRPr="00CD6F76">
              <w:rPr>
                <w:rFonts w:ascii="Arial" w:hAnsi="Arial"/>
              </w:rPr>
              <w:t>-Z902-10</w:t>
            </w:r>
            <w:r w:rsidRPr="00CD6F76">
              <w:rPr>
                <w:rFonts w:ascii="Arial" w:hAnsi="Arial"/>
                <w:i/>
              </w:rPr>
              <w:t xml:space="preserve">. « Sang et produits sanguins labiles », </w:t>
            </w:r>
            <w:r w:rsidRPr="00CD6F76">
              <w:rPr>
                <w:rFonts w:ascii="Arial" w:hAnsi="Arial"/>
              </w:rPr>
              <w:t>février 2010</w:t>
            </w:r>
            <w:r>
              <w:rPr>
                <w:rFonts w:ascii="Arial" w:hAnsi="Arial"/>
              </w:rPr>
              <w:t>. Tableau 4 - Définitions</w:t>
            </w:r>
            <w:r w:rsidRPr="00CD6F76">
              <w:rPr>
                <w:rFonts w:ascii="Arial" w:hAnsi="Arial"/>
              </w:rPr>
              <w:t>.</w:t>
            </w:r>
          </w:p>
          <w:p w:rsidR="00796F6F" w:rsidRPr="00D338DC" w:rsidRDefault="00796F6F">
            <w:pPr>
              <w:rPr>
                <w:rFonts w:ascii="Arial" w:hAnsi="Arial"/>
                <w:lang w:val="fr-CA"/>
              </w:rPr>
            </w:pPr>
          </w:p>
        </w:tc>
      </w:tr>
    </w:tbl>
    <w:p w:rsidR="00796F6F" w:rsidRPr="00933797" w:rsidRDefault="00796F6F" w:rsidP="009735BF">
      <w:pPr>
        <w:rPr>
          <w:lang w:val="fr-CA"/>
        </w:rPr>
      </w:pPr>
    </w:p>
    <w:p w:rsidR="00BA3163" w:rsidRPr="0076251F" w:rsidRDefault="00BA3163" w:rsidP="00BA3163">
      <w:pPr>
        <w:spacing w:line="228" w:lineRule="auto"/>
        <w:ind w:left="720" w:hanging="720"/>
        <w:rPr>
          <w:b/>
          <w:lang w:val="fr-CA"/>
        </w:rPr>
      </w:pPr>
      <w:r>
        <w:rPr>
          <w:rFonts w:ascii="Arial" w:hAnsi="Arial" w:cs="Arial"/>
          <w:b/>
          <w:sz w:val="28"/>
          <w:lang w:val="fr-CA"/>
        </w:rPr>
        <w:t>10.0</w:t>
      </w:r>
      <w:r>
        <w:rPr>
          <w:rFonts w:ascii="Arial" w:hAnsi="Arial" w:cs="Arial"/>
          <w:b/>
          <w:sz w:val="28"/>
          <w:lang w:val="fr-CA"/>
        </w:rPr>
        <w:tab/>
      </w:r>
      <w:r w:rsidRPr="00167058">
        <w:rPr>
          <w:rFonts w:ascii="Arial" w:hAnsi="Arial" w:cs="Arial"/>
          <w:b/>
          <w:sz w:val="28"/>
          <w:lang w:val="fr-CA"/>
        </w:rPr>
        <w:t>Suivi des révisions</w:t>
      </w:r>
    </w:p>
    <w:p w:rsidR="00BA3163" w:rsidRPr="0076251F" w:rsidRDefault="00BA3163" w:rsidP="00BA3163">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BA3163" w:rsidRPr="0076251F" w:rsidTr="00763758">
        <w:tc>
          <w:tcPr>
            <w:tcW w:w="2235" w:type="dxa"/>
            <w:shd w:val="clear" w:color="auto" w:fill="F2F2F2"/>
          </w:tcPr>
          <w:p w:rsidR="00BA3163" w:rsidRPr="0076251F" w:rsidRDefault="00BA3163" w:rsidP="00763758">
            <w:pPr>
              <w:rPr>
                <w:rFonts w:ascii="Arial" w:hAnsi="Arial" w:cs="Arial"/>
                <w:b/>
                <w:szCs w:val="24"/>
                <w:lang w:val="fr-CA"/>
              </w:rPr>
            </w:pPr>
            <w:r w:rsidRPr="0076251F">
              <w:rPr>
                <w:rFonts w:ascii="Arial" w:hAnsi="Arial" w:cs="Arial"/>
                <w:b/>
                <w:szCs w:val="24"/>
                <w:lang w:val="fr-CA"/>
              </w:rPr>
              <w:t>Date de la révision</w:t>
            </w:r>
          </w:p>
        </w:tc>
        <w:tc>
          <w:tcPr>
            <w:tcW w:w="6621" w:type="dxa"/>
            <w:shd w:val="clear" w:color="auto" w:fill="F2F2F2"/>
          </w:tcPr>
          <w:p w:rsidR="00BA3163" w:rsidRPr="0076251F" w:rsidRDefault="00BA3163" w:rsidP="00763758">
            <w:pPr>
              <w:rPr>
                <w:rFonts w:ascii="Arial" w:hAnsi="Arial" w:cs="Arial"/>
                <w:b/>
                <w:szCs w:val="24"/>
                <w:lang w:val="fr-CA"/>
              </w:rPr>
            </w:pPr>
            <w:r w:rsidRPr="0076251F">
              <w:rPr>
                <w:rFonts w:ascii="Arial" w:hAnsi="Arial" w:cs="Arial"/>
                <w:b/>
                <w:szCs w:val="24"/>
                <w:lang w:val="fr-CA"/>
              </w:rPr>
              <w:t>Résumé des changements</w:t>
            </w:r>
          </w:p>
        </w:tc>
      </w:tr>
      <w:tr w:rsidR="00BA3163" w:rsidRPr="0076251F" w:rsidTr="00763758">
        <w:trPr>
          <w:trHeight w:val="1550"/>
        </w:trPr>
        <w:tc>
          <w:tcPr>
            <w:tcW w:w="2235" w:type="dxa"/>
            <w:shd w:val="clear" w:color="auto" w:fill="auto"/>
          </w:tcPr>
          <w:p w:rsidR="00BA3163" w:rsidRPr="0076251F" w:rsidRDefault="00BA3163" w:rsidP="00763758">
            <w:pPr>
              <w:rPr>
                <w:rFonts w:ascii="Arial" w:hAnsi="Arial" w:cs="Arial"/>
                <w:lang w:val="fr-CA"/>
              </w:rPr>
            </w:pPr>
            <w:r>
              <w:rPr>
                <w:rFonts w:ascii="Arial" w:hAnsi="Arial" w:cs="Arial"/>
                <w:lang w:val="fr-CA"/>
              </w:rPr>
              <w:t xml:space="preserve">8 août </w:t>
            </w:r>
            <w:r w:rsidRPr="0076251F">
              <w:rPr>
                <w:rFonts w:ascii="Arial" w:hAnsi="Arial" w:cs="Arial"/>
                <w:lang w:val="fr-CA"/>
              </w:rPr>
              <w:t>2014</w:t>
            </w:r>
          </w:p>
        </w:tc>
        <w:tc>
          <w:tcPr>
            <w:tcW w:w="6621" w:type="dxa"/>
            <w:shd w:val="clear" w:color="auto" w:fill="auto"/>
          </w:tcPr>
          <w:p w:rsidR="00BA3163" w:rsidRDefault="00BA3163" w:rsidP="00BA3163">
            <w:pPr>
              <w:pStyle w:val="ListParagraph"/>
              <w:numPr>
                <w:ilvl w:val="0"/>
                <w:numId w:val="34"/>
              </w:numPr>
              <w:contextualSpacing/>
              <w:rPr>
                <w:rFonts w:ascii="Arial" w:hAnsi="Arial" w:cs="Arial"/>
                <w:sz w:val="22"/>
                <w:lang w:val="fr-CA"/>
              </w:rPr>
            </w:pPr>
            <w:r w:rsidRPr="00CE366D">
              <w:rPr>
                <w:rFonts w:ascii="Arial" w:hAnsi="Arial" w:cs="Arial"/>
                <w:sz w:val="22"/>
                <w:lang w:val="fr-CA"/>
              </w:rPr>
              <w:t>Changement du nom du manuel</w:t>
            </w:r>
          </w:p>
          <w:p w:rsidR="00BA3163" w:rsidRDefault="00BA3163" w:rsidP="00BA3163">
            <w:pPr>
              <w:pStyle w:val="ListParagraph"/>
              <w:numPr>
                <w:ilvl w:val="0"/>
                <w:numId w:val="34"/>
              </w:numPr>
              <w:contextualSpacing/>
              <w:rPr>
                <w:rFonts w:ascii="Arial" w:hAnsi="Arial" w:cs="Arial"/>
                <w:sz w:val="22"/>
                <w:lang w:val="fr-CA"/>
              </w:rPr>
            </w:pPr>
            <w:r>
              <w:rPr>
                <w:rFonts w:ascii="Arial" w:hAnsi="Arial" w:cs="Arial"/>
                <w:sz w:val="22"/>
                <w:lang w:val="fr-CA"/>
              </w:rPr>
              <w:t>Changement du titre de la procédure</w:t>
            </w:r>
          </w:p>
          <w:p w:rsidR="00BA3163" w:rsidRDefault="00BA3163" w:rsidP="00BA3163">
            <w:pPr>
              <w:pStyle w:val="ListParagraph"/>
              <w:numPr>
                <w:ilvl w:val="0"/>
                <w:numId w:val="34"/>
              </w:numPr>
              <w:contextualSpacing/>
              <w:rPr>
                <w:rFonts w:ascii="Arial" w:hAnsi="Arial" w:cs="Arial"/>
                <w:sz w:val="22"/>
                <w:lang w:val="fr-CA"/>
              </w:rPr>
            </w:pPr>
            <w:r>
              <w:rPr>
                <w:rFonts w:ascii="Arial" w:hAnsi="Arial" w:cs="Arial"/>
                <w:sz w:val="22"/>
                <w:lang w:val="fr-CA"/>
              </w:rPr>
              <w:t xml:space="preserve">Révision des sections </w:t>
            </w:r>
            <w:r w:rsidR="00B652BA">
              <w:rPr>
                <w:rFonts w:ascii="Arial" w:hAnsi="Arial" w:cs="Arial"/>
                <w:sz w:val="22"/>
                <w:lang w:val="fr-CA"/>
              </w:rPr>
              <w:t xml:space="preserve">2.0, </w:t>
            </w:r>
            <w:r>
              <w:rPr>
                <w:rFonts w:ascii="Arial" w:hAnsi="Arial" w:cs="Arial"/>
                <w:sz w:val="22"/>
                <w:lang w:val="fr-CA"/>
              </w:rPr>
              <w:t>5.0 et 7.0</w:t>
            </w:r>
          </w:p>
          <w:p w:rsidR="00B652BA" w:rsidRDefault="00B652BA" w:rsidP="00BA3163">
            <w:pPr>
              <w:pStyle w:val="ListParagraph"/>
              <w:numPr>
                <w:ilvl w:val="0"/>
                <w:numId w:val="34"/>
              </w:numPr>
              <w:contextualSpacing/>
              <w:rPr>
                <w:rFonts w:ascii="Arial" w:hAnsi="Arial" w:cs="Arial"/>
                <w:sz w:val="22"/>
                <w:lang w:val="fr-CA"/>
              </w:rPr>
            </w:pPr>
            <w:r>
              <w:rPr>
                <w:rFonts w:ascii="Arial" w:hAnsi="Arial" w:cs="Arial"/>
                <w:sz w:val="22"/>
                <w:lang w:val="fr-CA"/>
              </w:rPr>
              <w:t>Ajout d’une référence à la section 7.0 – Documentation dans la section 4, Fournitures</w:t>
            </w:r>
          </w:p>
          <w:p w:rsidR="00B652BA" w:rsidRDefault="00B652BA" w:rsidP="00BA3163">
            <w:pPr>
              <w:pStyle w:val="ListParagraph"/>
              <w:numPr>
                <w:ilvl w:val="0"/>
                <w:numId w:val="34"/>
              </w:numPr>
              <w:contextualSpacing/>
              <w:rPr>
                <w:rFonts w:ascii="Arial" w:hAnsi="Arial" w:cs="Arial"/>
                <w:sz w:val="22"/>
                <w:lang w:val="fr-CA"/>
              </w:rPr>
            </w:pPr>
            <w:r>
              <w:rPr>
                <w:rFonts w:ascii="Arial" w:hAnsi="Arial" w:cs="Arial"/>
                <w:sz w:val="22"/>
                <w:lang w:val="fr-CA"/>
              </w:rPr>
              <w:t>Révision et renumérotation de la section 6.0</w:t>
            </w:r>
          </w:p>
          <w:p w:rsidR="00BA3163" w:rsidRPr="0076251F" w:rsidRDefault="00BA3163" w:rsidP="00BA3163">
            <w:pPr>
              <w:pStyle w:val="ListParagraph"/>
              <w:numPr>
                <w:ilvl w:val="0"/>
                <w:numId w:val="34"/>
              </w:numPr>
              <w:contextualSpacing/>
              <w:rPr>
                <w:rFonts w:ascii="Arial" w:hAnsi="Arial" w:cs="Arial"/>
                <w:sz w:val="22"/>
                <w:lang w:val="fr-CA"/>
              </w:rPr>
            </w:pPr>
            <w:r w:rsidRPr="00CE366D">
              <w:rPr>
                <w:rFonts w:ascii="Arial" w:hAnsi="Arial" w:cs="Arial"/>
                <w:sz w:val="22"/>
                <w:lang w:val="fr-CA"/>
              </w:rPr>
              <w:t>Mise à jour de toutes les références</w:t>
            </w:r>
          </w:p>
        </w:tc>
      </w:tr>
    </w:tbl>
    <w:p w:rsidR="00796F6F" w:rsidRPr="00933797" w:rsidRDefault="00796F6F">
      <w:pPr>
        <w:rPr>
          <w:rFonts w:ascii="Arial" w:hAnsi="Arial"/>
          <w:lang w:val="fr-CA"/>
        </w:rPr>
      </w:pPr>
    </w:p>
    <w:sectPr w:rsidR="00796F6F" w:rsidRPr="00933797">
      <w:headerReference w:type="default" r:id="rId9"/>
      <w:footerReference w:type="default" r:id="rId10"/>
      <w:headerReference w:type="first" r:id="rId11"/>
      <w:footerReference w:type="first" r:id="rId12"/>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109" w:rsidRDefault="008F3109">
      <w:r>
        <w:separator/>
      </w:r>
    </w:p>
  </w:endnote>
  <w:endnote w:type="continuationSeparator" w:id="0">
    <w:p w:rsidR="008F3109" w:rsidRDefault="008F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796F6F">
      <w:tc>
        <w:tcPr>
          <w:tcW w:w="1512" w:type="dxa"/>
        </w:tcPr>
        <w:p w:rsidR="00796F6F" w:rsidRDefault="00796F6F">
          <w:pPr>
            <w:pStyle w:val="Footer"/>
            <w:jc w:val="center"/>
            <w:rPr>
              <w:rFonts w:ascii="Verdana" w:hAnsi="Verdana"/>
              <w:sz w:val="8"/>
            </w:rPr>
          </w:pPr>
        </w:p>
        <w:p w:rsidR="00796F6F" w:rsidRDefault="007A33E7">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E77075" w:rsidRPr="00D52543" w:rsidRDefault="00E77075" w:rsidP="00E77075">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796F6F" w:rsidRDefault="004E09AE" w:rsidP="00CD3F2F">
          <w:pPr>
            <w:pStyle w:val="Footer"/>
            <w:jc w:val="center"/>
            <w:rPr>
              <w:rFonts w:ascii="Arial" w:hAnsi="Arial"/>
              <w:sz w:val="18"/>
            </w:rPr>
          </w:pPr>
          <w:r w:rsidRPr="002F220B">
            <w:rPr>
              <w:rFonts w:ascii="Arial" w:hAnsi="Arial" w:cs="Arial"/>
              <w:bCs/>
              <w:sz w:val="18"/>
              <w:szCs w:val="28"/>
              <w:lang w:val="fr-CA"/>
            </w:rPr>
            <w:t>Manuel de ressources techniques en transfusion de l’Ontario</w:t>
          </w:r>
          <w:r>
            <w:rPr>
              <w:rFonts w:ascii="Arial" w:hAnsi="Arial"/>
              <w:sz w:val="18"/>
            </w:rPr>
            <w:t xml:space="preserve"> </w:t>
          </w:r>
        </w:p>
      </w:tc>
      <w:tc>
        <w:tcPr>
          <w:tcW w:w="1494" w:type="dxa"/>
        </w:tcPr>
        <w:p w:rsidR="00796F6F" w:rsidRDefault="00CD3F2F" w:rsidP="00CD3F2F">
          <w:pPr>
            <w:pStyle w:val="Footer"/>
            <w:jc w:val="right"/>
            <w:rPr>
              <w:rFonts w:ascii="Arial" w:hAnsi="Arial"/>
              <w:sz w:val="18"/>
            </w:rPr>
          </w:pPr>
          <w:r w:rsidRPr="00CD3F2F">
            <w:rPr>
              <w:rFonts w:ascii="Arial" w:hAnsi="Arial"/>
              <w:color w:val="000000"/>
              <w:sz w:val="18"/>
            </w:rPr>
            <w:t>G</w:t>
          </w:r>
          <w:r w:rsidR="00E77075">
            <w:rPr>
              <w:rFonts w:ascii="Arial" w:hAnsi="Arial"/>
              <w:color w:val="000000"/>
              <w:sz w:val="18"/>
            </w:rPr>
            <w:t>S</w:t>
          </w:r>
          <w:r w:rsidRPr="00CD3F2F">
            <w:rPr>
              <w:rFonts w:ascii="Arial" w:hAnsi="Arial"/>
              <w:color w:val="000000"/>
              <w:sz w:val="18"/>
            </w:rPr>
            <w:t>.005</w:t>
          </w:r>
        </w:p>
        <w:p w:rsidR="00796F6F" w:rsidRDefault="00796F6F" w:rsidP="00CD3F2F">
          <w:pPr>
            <w:pStyle w:val="Footer"/>
            <w:jc w:val="right"/>
            <w:rPr>
              <w:rFonts w:ascii="Arial" w:hAnsi="Arial"/>
              <w:sz w:val="18"/>
            </w:rPr>
          </w:pP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F37B1">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w:t>
          </w:r>
          <w:r w:rsidR="00933797">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F37B1">
            <w:rPr>
              <w:rFonts w:ascii="Arial" w:hAnsi="Arial"/>
              <w:noProof/>
              <w:snapToGrid w:val="0"/>
              <w:sz w:val="18"/>
            </w:rPr>
            <w:t>4</w:t>
          </w:r>
          <w:r>
            <w:rPr>
              <w:rFonts w:ascii="Arial" w:hAnsi="Arial"/>
              <w:snapToGrid w:val="0"/>
              <w:sz w:val="18"/>
            </w:rPr>
            <w:fldChar w:fldCharType="end"/>
          </w:r>
        </w:p>
      </w:tc>
    </w:tr>
  </w:tbl>
  <w:p w:rsidR="00796F6F" w:rsidRDefault="00796F6F">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796F6F">
      <w:tc>
        <w:tcPr>
          <w:tcW w:w="1512" w:type="dxa"/>
        </w:tcPr>
        <w:p w:rsidR="00796F6F" w:rsidRDefault="00796F6F">
          <w:pPr>
            <w:pStyle w:val="Footer"/>
            <w:jc w:val="center"/>
            <w:rPr>
              <w:rFonts w:ascii="Verdana" w:hAnsi="Verdana"/>
              <w:sz w:val="8"/>
            </w:rPr>
          </w:pPr>
        </w:p>
        <w:p w:rsidR="00796F6F" w:rsidRDefault="007A33E7">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E77075" w:rsidRPr="00D52543" w:rsidRDefault="00796F6F" w:rsidP="00E77075">
          <w:pPr>
            <w:pStyle w:val="Footer"/>
            <w:jc w:val="center"/>
            <w:rPr>
              <w:rFonts w:ascii="Arial" w:hAnsi="Arial"/>
              <w:sz w:val="18"/>
              <w:lang w:val="fr-CA"/>
            </w:rPr>
          </w:pPr>
          <w:r>
            <w:rPr>
              <w:rFonts w:ascii="Verdana" w:hAnsi="Verdana"/>
              <w:sz w:val="16"/>
            </w:rPr>
            <w:br/>
          </w:r>
          <w:r w:rsidR="00E77075" w:rsidRPr="00D52543">
            <w:rPr>
              <w:rFonts w:ascii="Arial" w:hAnsi="Arial"/>
              <w:sz w:val="18"/>
              <w:lang w:val="fr-CA"/>
            </w:rPr>
            <w:t>Réseau r</w:t>
          </w:r>
          <w:r w:rsidR="00E77075">
            <w:rPr>
              <w:rFonts w:ascii="Arial" w:hAnsi="Arial"/>
              <w:sz w:val="18"/>
              <w:lang w:val="fr-CA"/>
            </w:rPr>
            <w:t>é</w:t>
          </w:r>
          <w:r w:rsidR="00E77075" w:rsidRPr="00D52543">
            <w:rPr>
              <w:rFonts w:ascii="Arial" w:hAnsi="Arial"/>
              <w:sz w:val="18"/>
              <w:lang w:val="fr-CA"/>
            </w:rPr>
            <w:t xml:space="preserve">gional ontarien de coordination du sang </w:t>
          </w:r>
        </w:p>
        <w:p w:rsidR="00796F6F" w:rsidRDefault="004E09AE">
          <w:pPr>
            <w:pStyle w:val="Footer"/>
            <w:jc w:val="center"/>
            <w:rPr>
              <w:rFonts w:ascii="Arial" w:hAnsi="Arial"/>
              <w:sz w:val="18"/>
            </w:rPr>
          </w:pPr>
          <w:r w:rsidRPr="002F220B">
            <w:rPr>
              <w:rFonts w:ascii="Arial" w:hAnsi="Arial" w:cs="Arial"/>
              <w:bCs/>
              <w:sz w:val="18"/>
              <w:szCs w:val="28"/>
              <w:lang w:val="fr-CA"/>
            </w:rPr>
            <w:t>Manuel de ressources techniques en transfusion de l’Ontario</w:t>
          </w:r>
          <w:r>
            <w:rPr>
              <w:rFonts w:ascii="Arial" w:hAnsi="Arial"/>
              <w:sz w:val="18"/>
            </w:rPr>
            <w:t xml:space="preserve"> </w:t>
          </w:r>
        </w:p>
      </w:tc>
      <w:tc>
        <w:tcPr>
          <w:tcW w:w="1494" w:type="dxa"/>
        </w:tcPr>
        <w:p w:rsidR="00796F6F" w:rsidRDefault="00796F6F">
          <w:pPr>
            <w:pStyle w:val="Footer"/>
            <w:jc w:val="right"/>
            <w:rPr>
              <w:rFonts w:ascii="Verdana" w:hAnsi="Verdana"/>
              <w:sz w:val="16"/>
            </w:rPr>
          </w:pPr>
        </w:p>
        <w:p w:rsidR="00796F6F" w:rsidRDefault="00933797">
          <w:pPr>
            <w:pStyle w:val="Footer"/>
            <w:jc w:val="right"/>
            <w:rPr>
              <w:rFonts w:ascii="Arial" w:hAnsi="Arial"/>
              <w:sz w:val="18"/>
            </w:rPr>
          </w:pPr>
          <w:r>
            <w:rPr>
              <w:rFonts w:ascii="Arial" w:hAnsi="Arial"/>
              <w:sz w:val="18"/>
            </w:rPr>
            <w:t>G</w:t>
          </w:r>
          <w:r w:rsidR="00E77075">
            <w:rPr>
              <w:rFonts w:ascii="Arial" w:hAnsi="Arial"/>
              <w:sz w:val="18"/>
            </w:rPr>
            <w:t>S</w:t>
          </w:r>
          <w:r w:rsidR="00796F6F">
            <w:rPr>
              <w:rFonts w:ascii="Arial" w:hAnsi="Arial"/>
              <w:sz w:val="18"/>
            </w:rPr>
            <w:t>.005</w:t>
          </w:r>
        </w:p>
        <w:p w:rsidR="00796F6F" w:rsidRDefault="00796F6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F37B1">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w:t>
          </w:r>
          <w:r w:rsidR="00933797">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F37B1">
            <w:rPr>
              <w:rFonts w:ascii="Arial" w:hAnsi="Arial"/>
              <w:noProof/>
              <w:snapToGrid w:val="0"/>
              <w:sz w:val="18"/>
            </w:rPr>
            <w:t>2</w:t>
          </w:r>
          <w:r>
            <w:rPr>
              <w:rFonts w:ascii="Arial" w:hAnsi="Arial"/>
              <w:snapToGrid w:val="0"/>
              <w:sz w:val="18"/>
            </w:rPr>
            <w:fldChar w:fldCharType="end"/>
          </w:r>
        </w:p>
      </w:tc>
    </w:tr>
  </w:tbl>
  <w:p w:rsidR="00796F6F" w:rsidRDefault="00796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109" w:rsidRDefault="008F3109">
      <w:r>
        <w:separator/>
      </w:r>
    </w:p>
  </w:footnote>
  <w:footnote w:type="continuationSeparator" w:id="0">
    <w:p w:rsidR="008F3109" w:rsidRDefault="008F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8"/>
    </w:tblGrid>
    <w:tr w:rsidR="00796F6F">
      <w:trPr>
        <w:trHeight w:val="640"/>
      </w:trPr>
      <w:tc>
        <w:tcPr>
          <w:tcW w:w="8838" w:type="dxa"/>
        </w:tcPr>
        <w:p w:rsidR="00933797" w:rsidRPr="00933797" w:rsidRDefault="001242BA" w:rsidP="00CD3F2F">
          <w:pPr>
            <w:pStyle w:val="Header"/>
            <w:jc w:val="center"/>
            <w:rPr>
              <w:rFonts w:ascii="Arial" w:hAnsi="Arial"/>
              <w:sz w:val="28"/>
              <w:lang w:val="fr-CA"/>
            </w:rPr>
          </w:pPr>
          <w:r>
            <w:rPr>
              <w:rFonts w:ascii="Arial" w:hAnsi="Arial"/>
              <w:sz w:val="28"/>
              <w:lang w:val="fr-CA"/>
            </w:rPr>
            <w:t>Élimination</w:t>
          </w:r>
          <w:r w:rsidR="00CD3F2F" w:rsidRPr="00933797">
            <w:rPr>
              <w:rFonts w:ascii="Arial" w:hAnsi="Arial"/>
              <w:sz w:val="28"/>
              <w:lang w:val="fr-CA"/>
            </w:rPr>
            <w:t xml:space="preserve"> d</w:t>
          </w:r>
          <w:r w:rsidR="00487C05">
            <w:rPr>
              <w:rFonts w:ascii="Arial" w:hAnsi="Arial"/>
              <w:sz w:val="28"/>
              <w:lang w:val="fr-CA"/>
            </w:rPr>
            <w:t>e</w:t>
          </w:r>
          <w:r w:rsidR="00CD3F2F" w:rsidRPr="00933797">
            <w:rPr>
              <w:rFonts w:ascii="Arial" w:hAnsi="Arial"/>
              <w:sz w:val="28"/>
              <w:lang w:val="fr-CA"/>
            </w:rPr>
            <w:t xml:space="preserve"> composants sanguins et </w:t>
          </w:r>
          <w:r w:rsidR="00487C05">
            <w:rPr>
              <w:rFonts w:ascii="Arial" w:hAnsi="Arial"/>
              <w:sz w:val="28"/>
              <w:lang w:val="fr-CA"/>
            </w:rPr>
            <w:t xml:space="preserve">de </w:t>
          </w:r>
          <w:r w:rsidR="00E77075">
            <w:rPr>
              <w:rFonts w:ascii="Arial" w:hAnsi="Arial"/>
              <w:sz w:val="28"/>
              <w:lang w:val="fr-CA"/>
            </w:rPr>
            <w:t>produits</w:t>
          </w:r>
          <w:r w:rsidR="00CD3F2F" w:rsidRPr="00933797">
            <w:rPr>
              <w:rFonts w:ascii="Arial" w:hAnsi="Arial"/>
              <w:sz w:val="28"/>
              <w:lang w:val="fr-CA"/>
            </w:rPr>
            <w:t xml:space="preserve"> </w:t>
          </w:r>
          <w:r w:rsidR="00487C05">
            <w:rPr>
              <w:rFonts w:ascii="Arial" w:hAnsi="Arial"/>
              <w:sz w:val="28"/>
              <w:lang w:val="fr-CA"/>
            </w:rPr>
            <w:t>de protéines plasmatiques qui</w:t>
          </w:r>
          <w:r w:rsidR="00CD3F2F" w:rsidRPr="00933797">
            <w:rPr>
              <w:rFonts w:ascii="Arial" w:hAnsi="Arial"/>
              <w:sz w:val="28"/>
              <w:lang w:val="fr-CA"/>
            </w:rPr>
            <w:t xml:space="preserve"> ne sont pas en état d</w:t>
          </w:r>
          <w:r w:rsidR="00CE6208">
            <w:rPr>
              <w:rFonts w:ascii="Arial" w:hAnsi="Arial"/>
              <w:sz w:val="28"/>
              <w:lang w:val="fr-CA"/>
            </w:rPr>
            <w:t>’</w:t>
          </w:r>
          <w:r w:rsidR="00CD3F2F" w:rsidRPr="00933797">
            <w:rPr>
              <w:rFonts w:ascii="Arial" w:hAnsi="Arial"/>
              <w:sz w:val="28"/>
              <w:lang w:val="fr-CA"/>
            </w:rPr>
            <w:t xml:space="preserve">être transfusés </w:t>
          </w:r>
          <w:r w:rsidR="00933797" w:rsidRPr="00933797">
            <w:rPr>
              <w:rFonts w:ascii="Arial" w:hAnsi="Arial"/>
              <w:sz w:val="28"/>
              <w:lang w:val="fr-CA"/>
            </w:rPr>
            <w:t>–</w:t>
          </w:r>
          <w:r w:rsidR="00CD3F2F" w:rsidRPr="00933797">
            <w:rPr>
              <w:rFonts w:ascii="Arial" w:hAnsi="Arial"/>
              <w:sz w:val="28"/>
              <w:lang w:val="fr-CA"/>
            </w:rPr>
            <w:t xml:space="preserve"> </w:t>
          </w:r>
        </w:p>
        <w:p w:rsidR="00796F6F" w:rsidRPr="00CD3F2F" w:rsidRDefault="00CD3F2F" w:rsidP="00CD68DC">
          <w:pPr>
            <w:pStyle w:val="Header"/>
            <w:jc w:val="center"/>
            <w:rPr>
              <w:rFonts w:ascii="Arial" w:hAnsi="Arial"/>
              <w:highlight w:val="yellow"/>
            </w:rPr>
          </w:pPr>
          <w:r w:rsidRPr="00933797">
            <w:rPr>
              <w:rFonts w:ascii="Arial" w:hAnsi="Arial"/>
              <w:sz w:val="28"/>
              <w:lang w:val="fr-CA"/>
            </w:rPr>
            <w:t>procédure manuelle</w:t>
          </w:r>
          <w:r w:rsidR="00796F6F" w:rsidRPr="00933797">
            <w:rPr>
              <w:rFonts w:ascii="Arial" w:hAnsi="Arial"/>
              <w:b/>
              <w:sz w:val="28"/>
              <w:lang w:val="fr-CA"/>
            </w:rPr>
            <w:t xml:space="preserve">  </w:t>
          </w:r>
        </w:p>
      </w:tc>
    </w:tr>
  </w:tbl>
  <w:p w:rsidR="00796F6F" w:rsidRDefault="00796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6F" w:rsidRPr="00414587" w:rsidRDefault="00796F6F">
    <w:pPr>
      <w:pStyle w:val="Header"/>
      <w:tabs>
        <w:tab w:val="clear" w:pos="8640"/>
        <w:tab w:val="left" w:pos="5057"/>
      </w:tabs>
      <w:rPr>
        <w:lang w:val="fr-CA"/>
      </w:rPr>
    </w:pPr>
  </w:p>
  <w:p w:rsidR="00E77075" w:rsidRDefault="007A33E7" w:rsidP="00E77075">
    <w:pPr>
      <w:pStyle w:val="Header"/>
      <w:tabs>
        <w:tab w:val="clear" w:pos="8640"/>
        <w:tab w:val="left" w:pos="5057"/>
      </w:tabs>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4E09AE" w:rsidRDefault="00E77075" w:rsidP="004E09AE">
    <w:pPr>
      <w:pStyle w:val="Header"/>
      <w:jc w:val="center"/>
    </w:pPr>
    <w:r>
      <w:tab/>
    </w:r>
  </w:p>
  <w:p w:rsidR="004E09AE" w:rsidRPr="00312411" w:rsidRDefault="004E09AE" w:rsidP="004E09AE">
    <w:pPr>
      <w:pStyle w:val="Header"/>
      <w:jc w:val="center"/>
      <w:rPr>
        <w:rFonts w:ascii="Arial" w:hAnsi="Arial" w:cs="Arial"/>
        <w:b/>
        <w:bCs/>
        <w:sz w:val="28"/>
        <w:szCs w:val="28"/>
        <w:lang w:val="fr-CA"/>
      </w:rPr>
    </w:pPr>
    <w:r w:rsidRPr="00312411">
      <w:rPr>
        <w:rFonts w:ascii="Arial" w:hAnsi="Arial" w:cs="Arial"/>
        <w:b/>
        <w:bCs/>
        <w:sz w:val="28"/>
        <w:szCs w:val="28"/>
        <w:lang w:val="fr-CA"/>
      </w:rPr>
      <w:t>Réseau régional ontarien de coordination du sang</w:t>
    </w:r>
  </w:p>
  <w:p w:rsidR="004E09AE" w:rsidRPr="00B21691" w:rsidRDefault="004E09AE" w:rsidP="004E09AE">
    <w:pPr>
      <w:pStyle w:val="Header"/>
      <w:jc w:val="center"/>
      <w:rPr>
        <w:rFonts w:ascii="Arial" w:hAnsi="Arial" w:cs="Arial"/>
        <w:b/>
        <w:bCs/>
        <w:lang w:val="fr-CA"/>
      </w:rPr>
    </w:pPr>
    <w:r w:rsidRPr="00312411">
      <w:rPr>
        <w:rFonts w:ascii="Arial" w:hAnsi="Arial" w:cs="Arial"/>
        <w:b/>
        <w:bCs/>
        <w:sz w:val="28"/>
        <w:szCs w:val="28"/>
        <w:lang w:val="fr-CA"/>
      </w:rPr>
      <w:t>Manuel de ressources techniques en transfusion de l’Ontario</w:t>
    </w:r>
  </w:p>
  <w:p w:rsidR="00796F6F" w:rsidRPr="00414587" w:rsidRDefault="00796F6F" w:rsidP="004E09AE">
    <w:pPr>
      <w:pStyle w:val="Header"/>
      <w:tabs>
        <w:tab w:val="clear" w:pos="8640"/>
        <w:tab w:val="left" w:pos="5057"/>
      </w:tabs>
      <w:rPr>
        <w:rFonts w:ascii="Arial" w:hAnsi="Arial" w:cs="Arial"/>
        <w:b/>
        <w:bCs/>
        <w:lang w:val="fr-CA"/>
      </w:rPr>
    </w:pPr>
  </w:p>
  <w:p w:rsidR="007F0440" w:rsidRDefault="001242BA" w:rsidP="002B6556">
    <w:pPr>
      <w:pStyle w:val="Header"/>
      <w:jc w:val="center"/>
      <w:rPr>
        <w:rFonts w:ascii="Arial" w:hAnsi="Arial"/>
        <w:b/>
        <w:sz w:val="28"/>
        <w:lang w:val="fr-CA"/>
      </w:rPr>
    </w:pPr>
    <w:r>
      <w:rPr>
        <w:rFonts w:ascii="Arial" w:hAnsi="Arial"/>
        <w:b/>
        <w:sz w:val="28"/>
        <w:lang w:val="fr-CA"/>
      </w:rPr>
      <w:t xml:space="preserve">Élimination </w:t>
    </w:r>
    <w:r w:rsidR="002B6556" w:rsidRPr="00414587">
      <w:rPr>
        <w:rFonts w:ascii="Arial" w:hAnsi="Arial"/>
        <w:b/>
        <w:sz w:val="28"/>
        <w:lang w:val="fr-CA"/>
      </w:rPr>
      <w:t xml:space="preserve">de composants sanguins et </w:t>
    </w:r>
    <w:r w:rsidR="004E09AE">
      <w:rPr>
        <w:rFonts w:ascii="Arial" w:hAnsi="Arial"/>
        <w:b/>
        <w:sz w:val="28"/>
        <w:lang w:val="fr-CA"/>
      </w:rPr>
      <w:t xml:space="preserve">de produits de protéines plasmatiques qui </w:t>
    </w:r>
    <w:r w:rsidR="002B6556" w:rsidRPr="00414587">
      <w:rPr>
        <w:rFonts w:ascii="Arial" w:hAnsi="Arial"/>
        <w:b/>
        <w:sz w:val="28"/>
        <w:lang w:val="fr-CA"/>
      </w:rPr>
      <w:t>ne sont pas en état d</w:t>
    </w:r>
    <w:r w:rsidR="00CE6208">
      <w:rPr>
        <w:rFonts w:ascii="Arial" w:hAnsi="Arial"/>
        <w:b/>
        <w:sz w:val="28"/>
        <w:lang w:val="fr-CA"/>
      </w:rPr>
      <w:t>’</w:t>
    </w:r>
    <w:r w:rsidR="002B6556" w:rsidRPr="00414587">
      <w:rPr>
        <w:rFonts w:ascii="Arial" w:hAnsi="Arial"/>
        <w:b/>
        <w:sz w:val="28"/>
        <w:lang w:val="fr-CA"/>
      </w:rPr>
      <w:t xml:space="preserve">être transfusés </w:t>
    </w:r>
    <w:r w:rsidR="007F0440">
      <w:rPr>
        <w:rFonts w:ascii="Arial" w:hAnsi="Arial"/>
        <w:b/>
        <w:sz w:val="28"/>
        <w:lang w:val="fr-CA"/>
      </w:rPr>
      <w:t>–</w:t>
    </w:r>
    <w:r w:rsidR="002B6556" w:rsidRPr="00414587">
      <w:rPr>
        <w:rFonts w:ascii="Arial" w:hAnsi="Arial"/>
        <w:b/>
        <w:sz w:val="28"/>
        <w:lang w:val="fr-CA"/>
      </w:rPr>
      <w:t xml:space="preserve"> </w:t>
    </w:r>
  </w:p>
  <w:p w:rsidR="00796F6F" w:rsidRPr="00414587" w:rsidRDefault="002B6556" w:rsidP="002B6556">
    <w:pPr>
      <w:pStyle w:val="Header"/>
      <w:jc w:val="center"/>
      <w:rPr>
        <w:rFonts w:ascii="Arial" w:hAnsi="Arial"/>
        <w:b/>
        <w:sz w:val="28"/>
        <w:lang w:val="fr-CA"/>
      </w:rPr>
    </w:pPr>
    <w:r w:rsidRPr="00414587">
      <w:rPr>
        <w:rFonts w:ascii="Arial" w:hAnsi="Arial"/>
        <w:b/>
        <w:sz w:val="28"/>
        <w:lang w:val="fr-CA"/>
      </w:rPr>
      <w:t>procédure manuelle</w:t>
    </w:r>
    <w:r w:rsidR="00796F6F" w:rsidRPr="00414587">
      <w:rPr>
        <w:rFonts w:ascii="Arial" w:hAnsi="Arial"/>
        <w:b/>
        <w:sz w:val="28"/>
        <w:lang w:val="fr-CA"/>
      </w:rPr>
      <w:t xml:space="preserve">  </w:t>
    </w:r>
  </w:p>
  <w:p w:rsidR="00796F6F" w:rsidRPr="00414587" w:rsidRDefault="00796F6F">
    <w:pPr>
      <w:pStyle w:val="Header"/>
      <w:tabs>
        <w:tab w:val="left" w:pos="6617"/>
      </w:tabs>
      <w:jc w:val="center"/>
      <w:rPr>
        <w:rFonts w:ascii="Arial" w:hAnsi="Arial" w:cs="Arial"/>
        <w:b/>
        <w:bCs/>
        <w:sz w:val="20"/>
        <w:lang w:val="fr-CA"/>
      </w:rPr>
    </w:pPr>
    <w:r w:rsidRPr="00414587">
      <w:rPr>
        <w:rFonts w:ascii="Arial" w:hAnsi="Arial" w:cs="Arial"/>
        <w:b/>
        <w:bCs/>
        <w:sz w:val="20"/>
        <w:lang w:val="fr-CA"/>
      </w:rPr>
      <w:tab/>
    </w:r>
    <w:r w:rsidR="007A33E7" w:rsidRPr="00414587">
      <w:rPr>
        <w:rFonts w:ascii="Arial" w:hAnsi="Arial" w:cs="Arial"/>
        <w:noProof/>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700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43"/>
      <w:gridCol w:w="4297"/>
    </w:tblGrid>
    <w:tr w:rsidR="00796F6F" w:rsidRPr="00414587">
      <w:tc>
        <w:tcPr>
          <w:tcW w:w="4428" w:type="dxa"/>
        </w:tcPr>
        <w:p w:rsidR="00796F6F" w:rsidRPr="00414587" w:rsidRDefault="00E77075" w:rsidP="004E09AE">
          <w:pPr>
            <w:pStyle w:val="Header"/>
            <w:rPr>
              <w:rFonts w:ascii="Arial" w:hAnsi="Arial" w:cs="Arial"/>
              <w:sz w:val="20"/>
              <w:lang w:val="fr-CA"/>
            </w:rPr>
          </w:pPr>
          <w:r w:rsidRPr="00B04768">
            <w:rPr>
              <w:rFonts w:ascii="Arial" w:hAnsi="Arial" w:cs="Arial"/>
              <w:sz w:val="20"/>
              <w:lang w:val="fr-CA"/>
            </w:rPr>
            <w:t xml:space="preserve">Approbation : </w:t>
          </w:r>
        </w:p>
      </w:tc>
      <w:tc>
        <w:tcPr>
          <w:tcW w:w="4428" w:type="dxa"/>
        </w:tcPr>
        <w:p w:rsidR="00796F6F" w:rsidRPr="00414587" w:rsidRDefault="00796F6F" w:rsidP="00E77075">
          <w:pPr>
            <w:pStyle w:val="Header"/>
            <w:rPr>
              <w:rFonts w:ascii="Arial" w:hAnsi="Arial" w:cs="Arial"/>
              <w:sz w:val="20"/>
              <w:lang w:val="fr-CA"/>
            </w:rPr>
          </w:pPr>
          <w:r w:rsidRPr="00414587">
            <w:rPr>
              <w:rFonts w:ascii="Arial" w:hAnsi="Arial" w:cs="Arial"/>
              <w:sz w:val="20"/>
              <w:lang w:val="fr-CA"/>
            </w:rPr>
            <w:t xml:space="preserve">Document </w:t>
          </w:r>
          <w:r w:rsidR="002B6556" w:rsidRPr="00414587">
            <w:rPr>
              <w:rFonts w:ascii="Arial" w:hAnsi="Arial" w:cs="Arial"/>
              <w:sz w:val="20"/>
              <w:lang w:val="fr-CA"/>
            </w:rPr>
            <w:t>n</w:t>
          </w:r>
          <w:r w:rsidR="002B6556" w:rsidRPr="00414587">
            <w:rPr>
              <w:rFonts w:ascii="Arial" w:hAnsi="Arial" w:cs="Arial"/>
              <w:sz w:val="20"/>
              <w:vertAlign w:val="superscript"/>
              <w:lang w:val="fr-CA"/>
            </w:rPr>
            <w:t>o</w:t>
          </w:r>
          <w:r w:rsidR="002B6556" w:rsidRPr="00414587">
            <w:rPr>
              <w:rFonts w:ascii="Arial" w:hAnsi="Arial" w:cs="Arial"/>
              <w:sz w:val="20"/>
              <w:lang w:val="fr-CA"/>
            </w:rPr>
            <w:t xml:space="preserve"> </w:t>
          </w:r>
          <w:r w:rsidRPr="00414587">
            <w:rPr>
              <w:rFonts w:ascii="Arial" w:hAnsi="Arial" w:cs="Arial"/>
              <w:sz w:val="20"/>
              <w:lang w:val="fr-CA"/>
            </w:rPr>
            <w:t xml:space="preserve">: </w:t>
          </w:r>
          <w:r w:rsidR="002B6556" w:rsidRPr="00414587">
            <w:rPr>
              <w:rFonts w:ascii="Arial" w:hAnsi="Arial" w:cs="Arial"/>
              <w:sz w:val="20"/>
              <w:lang w:val="fr-CA"/>
            </w:rPr>
            <w:t>G</w:t>
          </w:r>
          <w:r w:rsidR="00E77075">
            <w:rPr>
              <w:rFonts w:ascii="Arial" w:hAnsi="Arial" w:cs="Arial"/>
              <w:sz w:val="20"/>
              <w:lang w:val="fr-CA"/>
            </w:rPr>
            <w:t>S</w:t>
          </w:r>
          <w:r w:rsidRPr="00414587">
            <w:rPr>
              <w:rFonts w:ascii="Arial" w:hAnsi="Arial" w:cs="Arial"/>
              <w:sz w:val="20"/>
              <w:lang w:val="fr-CA"/>
            </w:rPr>
            <w:t>.005</w:t>
          </w:r>
        </w:p>
      </w:tc>
    </w:tr>
    <w:tr w:rsidR="00796F6F" w:rsidRPr="00414587">
      <w:tc>
        <w:tcPr>
          <w:tcW w:w="4428" w:type="dxa"/>
        </w:tcPr>
        <w:p w:rsidR="00796F6F" w:rsidRPr="00414587" w:rsidRDefault="002B6556">
          <w:pPr>
            <w:pStyle w:val="Header"/>
            <w:rPr>
              <w:rFonts w:ascii="Arial" w:hAnsi="Arial" w:cs="Arial"/>
              <w:sz w:val="20"/>
              <w:lang w:val="fr-CA"/>
            </w:rPr>
          </w:pPr>
          <w:r w:rsidRPr="00414587">
            <w:rPr>
              <w:rFonts w:ascii="Arial" w:hAnsi="Arial" w:cs="Arial"/>
              <w:sz w:val="20"/>
              <w:lang w:val="fr-CA"/>
            </w:rPr>
            <w:t xml:space="preserve">Date de publication : </w:t>
          </w:r>
          <w:r w:rsidR="00796F6F" w:rsidRPr="00414587">
            <w:rPr>
              <w:rFonts w:ascii="Arial" w:hAnsi="Arial" w:cs="Arial"/>
              <w:sz w:val="20"/>
              <w:lang w:val="fr-CA"/>
            </w:rPr>
            <w:t>200</w:t>
          </w:r>
          <w:r w:rsidRPr="00414587">
            <w:rPr>
              <w:rFonts w:ascii="Arial" w:hAnsi="Arial" w:cs="Arial"/>
              <w:sz w:val="20"/>
              <w:lang w:val="fr-CA"/>
            </w:rPr>
            <w:t>0</w:t>
          </w:r>
          <w:r w:rsidR="00796F6F" w:rsidRPr="00414587">
            <w:rPr>
              <w:rFonts w:ascii="Arial" w:hAnsi="Arial" w:cs="Arial"/>
              <w:sz w:val="20"/>
              <w:lang w:val="fr-CA"/>
            </w:rPr>
            <w:t>/0</w:t>
          </w:r>
          <w:r w:rsidRPr="00414587">
            <w:rPr>
              <w:rFonts w:ascii="Arial" w:hAnsi="Arial" w:cs="Arial"/>
              <w:sz w:val="20"/>
              <w:lang w:val="fr-CA"/>
            </w:rPr>
            <w:t>9</w:t>
          </w:r>
          <w:r w:rsidR="00796F6F" w:rsidRPr="00414587">
            <w:rPr>
              <w:rFonts w:ascii="Arial" w:hAnsi="Arial" w:cs="Arial"/>
              <w:sz w:val="20"/>
              <w:lang w:val="fr-CA"/>
            </w:rPr>
            <w:t>/0</w:t>
          </w:r>
          <w:r w:rsidRPr="00414587">
            <w:rPr>
              <w:rFonts w:ascii="Arial" w:hAnsi="Arial" w:cs="Arial"/>
              <w:sz w:val="20"/>
              <w:lang w:val="fr-CA"/>
            </w:rPr>
            <w:t>1</w:t>
          </w:r>
        </w:p>
      </w:tc>
      <w:tc>
        <w:tcPr>
          <w:tcW w:w="4428" w:type="dxa"/>
        </w:tcPr>
        <w:p w:rsidR="00796F6F" w:rsidRPr="00414587" w:rsidRDefault="00904C7D" w:rsidP="00E77075">
          <w:pPr>
            <w:pStyle w:val="Header"/>
            <w:rPr>
              <w:rFonts w:ascii="Arial" w:hAnsi="Arial" w:cs="Arial"/>
              <w:sz w:val="20"/>
              <w:lang w:val="fr-CA"/>
            </w:rPr>
          </w:pPr>
          <w:r w:rsidRPr="00414587">
            <w:rPr>
              <w:rFonts w:ascii="Arial" w:hAnsi="Arial" w:cs="Arial"/>
              <w:sz w:val="20"/>
              <w:lang w:val="fr-CA"/>
            </w:rPr>
            <w:t xml:space="preserve">Catégorie : </w:t>
          </w:r>
          <w:r w:rsidR="00E77075">
            <w:rPr>
              <w:rFonts w:ascii="Arial" w:hAnsi="Arial" w:cs="Arial"/>
              <w:sz w:val="20"/>
              <w:lang w:val="fr-CA"/>
            </w:rPr>
            <w:t>G</w:t>
          </w:r>
          <w:r w:rsidRPr="00414587">
            <w:rPr>
              <w:rFonts w:ascii="Arial" w:hAnsi="Arial" w:cs="Arial"/>
              <w:sz w:val="20"/>
              <w:lang w:val="fr-CA"/>
            </w:rPr>
            <w:t>estion de</w:t>
          </w:r>
          <w:r w:rsidR="00E77075">
            <w:rPr>
              <w:rFonts w:ascii="Arial" w:hAnsi="Arial" w:cs="Arial"/>
              <w:sz w:val="20"/>
              <w:lang w:val="fr-CA"/>
            </w:rPr>
            <w:t>s stocks</w:t>
          </w:r>
        </w:p>
      </w:tc>
    </w:tr>
    <w:tr w:rsidR="00796F6F" w:rsidRPr="00414587">
      <w:tc>
        <w:tcPr>
          <w:tcW w:w="4428" w:type="dxa"/>
        </w:tcPr>
        <w:p w:rsidR="00796F6F" w:rsidRPr="00414587" w:rsidRDefault="00E77075">
          <w:pPr>
            <w:pStyle w:val="Header"/>
            <w:rPr>
              <w:rFonts w:ascii="Arial" w:hAnsi="Arial" w:cs="Arial"/>
              <w:sz w:val="20"/>
              <w:lang w:val="fr-CA"/>
            </w:rPr>
          </w:pPr>
          <w:r w:rsidRPr="005D49BA">
            <w:rPr>
              <w:rFonts w:ascii="Arial" w:hAnsi="Arial" w:cs="Arial"/>
              <w:sz w:val="20"/>
              <w:lang w:val="fr-CA"/>
            </w:rPr>
            <w:t>Date de révision : 2009/12/31</w:t>
          </w:r>
          <w:r w:rsidR="004E09AE">
            <w:rPr>
              <w:rFonts w:ascii="Arial" w:hAnsi="Arial" w:cs="Arial"/>
              <w:sz w:val="20"/>
              <w:lang w:val="fr-CA"/>
            </w:rPr>
            <w:t>;2014/08/08</w:t>
          </w:r>
        </w:p>
      </w:tc>
      <w:tc>
        <w:tcPr>
          <w:tcW w:w="4428" w:type="dxa"/>
        </w:tcPr>
        <w:p w:rsidR="00796F6F" w:rsidRPr="00414587" w:rsidRDefault="00796F6F">
          <w:pPr>
            <w:pStyle w:val="Header"/>
            <w:rPr>
              <w:rFonts w:ascii="Arial" w:hAnsi="Arial" w:cs="Arial"/>
              <w:sz w:val="20"/>
              <w:lang w:val="fr-CA"/>
            </w:rPr>
          </w:pPr>
          <w:r w:rsidRPr="00414587">
            <w:rPr>
              <w:rFonts w:ascii="Arial" w:hAnsi="Arial" w:cs="Arial"/>
              <w:sz w:val="20"/>
              <w:lang w:val="fr-CA"/>
            </w:rPr>
            <w:t>Page</w:t>
          </w:r>
          <w:r w:rsidR="002B6556" w:rsidRPr="00414587">
            <w:rPr>
              <w:rFonts w:ascii="Arial" w:hAnsi="Arial" w:cs="Arial"/>
              <w:sz w:val="20"/>
              <w:lang w:val="fr-CA"/>
            </w:rPr>
            <w:t xml:space="preserve">s : </w:t>
          </w:r>
          <w:r w:rsidRPr="00414587">
            <w:rPr>
              <w:rFonts w:ascii="Arial" w:hAnsi="Arial" w:cs="Arial"/>
              <w:sz w:val="20"/>
              <w:lang w:val="fr-CA"/>
            </w:rPr>
            <w:fldChar w:fldCharType="begin"/>
          </w:r>
          <w:r w:rsidRPr="00414587">
            <w:rPr>
              <w:rFonts w:ascii="Arial" w:hAnsi="Arial" w:cs="Arial"/>
              <w:sz w:val="20"/>
              <w:lang w:val="fr-CA"/>
            </w:rPr>
            <w:instrText xml:space="preserve"> NUMPAGES </w:instrText>
          </w:r>
          <w:r w:rsidRPr="00414587">
            <w:rPr>
              <w:rFonts w:ascii="Arial" w:hAnsi="Arial" w:cs="Arial"/>
              <w:sz w:val="20"/>
              <w:lang w:val="fr-CA"/>
            </w:rPr>
            <w:fldChar w:fldCharType="separate"/>
          </w:r>
          <w:r w:rsidR="00CF37B1">
            <w:rPr>
              <w:rFonts w:ascii="Arial" w:hAnsi="Arial" w:cs="Arial"/>
              <w:noProof/>
              <w:sz w:val="20"/>
              <w:lang w:val="fr-CA"/>
            </w:rPr>
            <w:t>2</w:t>
          </w:r>
          <w:r w:rsidRPr="00414587">
            <w:rPr>
              <w:rFonts w:ascii="Arial" w:hAnsi="Arial" w:cs="Arial"/>
              <w:sz w:val="20"/>
              <w:lang w:val="fr-CA"/>
            </w:rPr>
            <w:fldChar w:fldCharType="end"/>
          </w:r>
        </w:p>
      </w:tc>
    </w:tr>
  </w:tbl>
  <w:p w:rsidR="00796F6F" w:rsidRDefault="007A33E7">
    <w:pPr>
      <w:pStyle w:val="Header"/>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DE9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796F6F">
      <w:rPr>
        <w:rFonts w:ascii="Arial" w:hAnsi="Arial" w:cs="Arial"/>
        <w:sz w:val="20"/>
      </w:rPr>
      <w:tab/>
    </w:r>
  </w:p>
  <w:p w:rsidR="00796F6F" w:rsidRDefault="0079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86D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34A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88F2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3699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44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B69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FC2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8DD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67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D43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08491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6D42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5C30E0"/>
    <w:multiLevelType w:val="multilevel"/>
    <w:tmpl w:val="81A298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6D0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824C80"/>
    <w:multiLevelType w:val="hybridMultilevel"/>
    <w:tmpl w:val="FE4C5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A4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042260"/>
    <w:multiLevelType w:val="multilevel"/>
    <w:tmpl w:val="C5C0CE0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BA46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614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4D09CB"/>
    <w:multiLevelType w:val="multilevel"/>
    <w:tmpl w:val="38881602"/>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B90358"/>
    <w:multiLevelType w:val="multilevel"/>
    <w:tmpl w:val="D4D0B0CA"/>
    <w:lvl w:ilvl="0">
      <w:start w:val="7"/>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24" w15:restartNumberingAfterBreak="0">
    <w:nsid w:val="57440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50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3045F9"/>
    <w:multiLevelType w:val="multilevel"/>
    <w:tmpl w:val="2670E4F2"/>
    <w:lvl w:ilvl="0">
      <w:start w:val="5"/>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27"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8"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9" w15:restartNumberingAfterBreak="0">
    <w:nsid w:val="6B933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F31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2" w15:restartNumberingAfterBreak="0">
    <w:nsid w:val="73D92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11"/>
  </w:num>
  <w:num w:numId="2">
    <w:abstractNumId w:val="31"/>
  </w:num>
  <w:num w:numId="3">
    <w:abstractNumId w:val="28"/>
  </w:num>
  <w:num w:numId="4">
    <w:abstractNumId w:val="27"/>
  </w:num>
  <w:num w:numId="5">
    <w:abstractNumId w:val="33"/>
  </w:num>
  <w:num w:numId="6">
    <w:abstractNumId w:val="21"/>
  </w:num>
  <w:num w:numId="7">
    <w:abstractNumId w:val="21"/>
  </w:num>
  <w:num w:numId="8">
    <w:abstractNumId w:val="26"/>
  </w:num>
  <w:num w:numId="9">
    <w:abstractNumId w:val="20"/>
  </w:num>
  <w:num w:numId="10">
    <w:abstractNumId w:val="17"/>
  </w:num>
  <w:num w:numId="1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15"/>
  </w:num>
  <w:num w:numId="13">
    <w:abstractNumId w:val="13"/>
  </w:num>
  <w:num w:numId="14">
    <w:abstractNumId w:val="29"/>
  </w:num>
  <w:num w:numId="15">
    <w:abstractNumId w:val="25"/>
  </w:num>
  <w:num w:numId="16">
    <w:abstractNumId w:val="30"/>
  </w:num>
  <w:num w:numId="17">
    <w:abstractNumId w:val="24"/>
  </w:num>
  <w:num w:numId="18">
    <w:abstractNumId w:val="12"/>
  </w:num>
  <w:num w:numId="19">
    <w:abstractNumId w:val="14"/>
  </w:num>
  <w:num w:numId="20">
    <w:abstractNumId w:val="23"/>
  </w:num>
  <w:num w:numId="21">
    <w:abstractNumId w:val="32"/>
  </w:num>
  <w:num w:numId="22">
    <w:abstractNumId w:val="19"/>
  </w:num>
  <w:num w:numId="23">
    <w:abstractNumId w:val="18"/>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2F"/>
    <w:rsid w:val="0002123E"/>
    <w:rsid w:val="001242BA"/>
    <w:rsid w:val="001779C4"/>
    <w:rsid w:val="001B7955"/>
    <w:rsid w:val="001C583E"/>
    <w:rsid w:val="00281CAE"/>
    <w:rsid w:val="00285D9F"/>
    <w:rsid w:val="002B6556"/>
    <w:rsid w:val="003249D2"/>
    <w:rsid w:val="00361154"/>
    <w:rsid w:val="00414587"/>
    <w:rsid w:val="00487C05"/>
    <w:rsid w:val="004E09AE"/>
    <w:rsid w:val="005016CD"/>
    <w:rsid w:val="00506E1D"/>
    <w:rsid w:val="00516729"/>
    <w:rsid w:val="00536049"/>
    <w:rsid w:val="00656409"/>
    <w:rsid w:val="006A3FFC"/>
    <w:rsid w:val="006D577D"/>
    <w:rsid w:val="00740D5E"/>
    <w:rsid w:val="00763758"/>
    <w:rsid w:val="007839FB"/>
    <w:rsid w:val="00796F6F"/>
    <w:rsid w:val="007A33E7"/>
    <w:rsid w:val="007F0440"/>
    <w:rsid w:val="008161FF"/>
    <w:rsid w:val="00837895"/>
    <w:rsid w:val="00855A31"/>
    <w:rsid w:val="008F3109"/>
    <w:rsid w:val="009016B4"/>
    <w:rsid w:val="00904C7D"/>
    <w:rsid w:val="00933797"/>
    <w:rsid w:val="00942694"/>
    <w:rsid w:val="009735BF"/>
    <w:rsid w:val="009C2BAD"/>
    <w:rsid w:val="00A502FD"/>
    <w:rsid w:val="00AE76E8"/>
    <w:rsid w:val="00AF477E"/>
    <w:rsid w:val="00B652BA"/>
    <w:rsid w:val="00BA3163"/>
    <w:rsid w:val="00C02AD0"/>
    <w:rsid w:val="00CB575B"/>
    <w:rsid w:val="00CD08F6"/>
    <w:rsid w:val="00CD3F2F"/>
    <w:rsid w:val="00CD68DC"/>
    <w:rsid w:val="00CE6208"/>
    <w:rsid w:val="00CF2B01"/>
    <w:rsid w:val="00CF37B1"/>
    <w:rsid w:val="00D338DC"/>
    <w:rsid w:val="00D81B2A"/>
    <w:rsid w:val="00E77075"/>
    <w:rsid w:val="00E90498"/>
    <w:rsid w:val="00F24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2987F5-1AC7-497B-BD38-85421F34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5D9F"/>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autoRedefine/>
    <w:qFormat/>
    <w:rsid w:val="007839FB"/>
    <w:pPr>
      <w:keepNext/>
      <w:numPr>
        <w:numId w:val="7"/>
      </w:numPr>
      <w:spacing w:after="240"/>
      <w:outlineLvl w:val="0"/>
    </w:pPr>
    <w:rPr>
      <w:rFonts w:ascii="Arial" w:hAnsi="Arial"/>
      <w:b/>
      <w:kern w:val="32"/>
      <w:sz w:val="28"/>
      <w:lang w:val="fr-CA"/>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rsid w:val="00285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D9F"/>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10" w:hanging="110"/>
    </w:pPr>
  </w:style>
  <w:style w:type="paragraph" w:styleId="BodyTextIndent2">
    <w:name w:val="Body Text Indent 2"/>
    <w:basedOn w:val="Normal"/>
    <w:pPr>
      <w:ind w:left="-126"/>
    </w:pPr>
  </w:style>
  <w:style w:type="character" w:styleId="PageNumber">
    <w:name w:val="page number"/>
    <w:basedOn w:val="DefaultParagraphFont"/>
  </w:style>
  <w:style w:type="paragraph" w:customStyle="1" w:styleId="HTML">
    <w:name w:val="HTML"/>
    <w:basedOn w:val="Normal"/>
    <w:rPr>
      <w:strike/>
    </w:rPr>
  </w:style>
  <w:style w:type="character" w:styleId="Hyperlink">
    <w:name w:val="Hyperlink"/>
    <w:rPr>
      <w:color w:val="0000FF"/>
      <w:u w:val="single"/>
    </w:rPr>
  </w:style>
  <w:style w:type="paragraph" w:styleId="BodyTextIndent3">
    <w:name w:val="Body Text Indent 3"/>
    <w:basedOn w:val="Normal"/>
    <w:pPr>
      <w:ind w:left="1872"/>
    </w:pPr>
  </w:style>
  <w:style w:type="paragraph" w:styleId="BodyText">
    <w:name w:val="Body Text"/>
    <w:basedOn w:val="Normal"/>
    <w:rPr>
      <w:color w:val="000080"/>
    </w:rPr>
  </w:style>
  <w:style w:type="paragraph" w:styleId="BalloonText">
    <w:name w:val="Balloon Text"/>
    <w:basedOn w:val="Normal"/>
    <w:semiHidden/>
    <w:rsid w:val="00CD3F2F"/>
    <w:rPr>
      <w:rFonts w:ascii="Tahoma" w:hAnsi="Tahoma" w:cs="Tahoma"/>
      <w:sz w:val="16"/>
      <w:szCs w:val="16"/>
    </w:rPr>
  </w:style>
  <w:style w:type="character" w:styleId="CommentReference">
    <w:name w:val="annotation reference"/>
    <w:semiHidden/>
    <w:rsid w:val="001B7955"/>
    <w:rPr>
      <w:sz w:val="16"/>
      <w:szCs w:val="16"/>
    </w:rPr>
  </w:style>
  <w:style w:type="paragraph" w:styleId="CommentText">
    <w:name w:val="annotation text"/>
    <w:basedOn w:val="Normal"/>
    <w:semiHidden/>
    <w:rsid w:val="001B7955"/>
    <w:rPr>
      <w:sz w:val="20"/>
    </w:rPr>
  </w:style>
  <w:style w:type="paragraph" w:styleId="CommentSubject">
    <w:name w:val="annotation subject"/>
    <w:basedOn w:val="CommentText"/>
    <w:next w:val="CommentText"/>
    <w:semiHidden/>
    <w:rsid w:val="001B7955"/>
    <w:rPr>
      <w:b/>
      <w:bCs/>
    </w:rPr>
  </w:style>
  <w:style w:type="character" w:customStyle="1" w:styleId="HeaderChar">
    <w:name w:val="Header Char"/>
    <w:link w:val="Header"/>
    <w:uiPriority w:val="99"/>
    <w:rsid w:val="004E09AE"/>
    <w:rPr>
      <w:rFonts w:ascii="Georgia" w:hAnsi="Georgia"/>
      <w:kern w:val="24"/>
      <w:sz w:val="24"/>
      <w:lang w:val="en-US" w:eastAsia="en-US"/>
    </w:rPr>
  </w:style>
  <w:style w:type="paragraph" w:styleId="ListParagraph">
    <w:name w:val="List Paragraph"/>
    <w:basedOn w:val="Normal"/>
    <w:uiPriority w:val="34"/>
    <w:qFormat/>
    <w:rsid w:val="00BA3163"/>
    <w:pPr>
      <w:ind w:left="70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d.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C716-0954-4DBA-AF07-24927631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IM.005 - Manual Final Disposition of Blood, Blood Components and Other Related Products Not Suitable for Transfusion</vt:lpstr>
      <vt:lpstr>IM.005 - Manual Final Disposition of Blood, Blood Components and Other Related Products Not Suitable for Transfusion</vt:lpstr>
    </vt:vector>
  </TitlesOfParts>
  <Company>The Ottawa Hospital</Company>
  <LinksUpToDate>false</LinksUpToDate>
  <CharactersWithSpaces>5987</CharactersWithSpaces>
  <SharedDoc>false</SharedDoc>
  <HLinks>
    <vt:vector size="6" baseType="variant">
      <vt:variant>
        <vt:i4>917532</vt:i4>
      </vt:variant>
      <vt:variant>
        <vt:i4>0</vt:i4>
      </vt:variant>
      <vt:variant>
        <vt:i4>0</vt:i4>
      </vt:variant>
      <vt:variant>
        <vt:i4>5</vt:i4>
      </vt:variant>
      <vt:variant>
        <vt:lpwstr>http://www.blood.ca/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IM.005 - Manual Final Disposition of Blood, Blood Components and Other Related Products Not Suitable for Transfusion</dc:title>
  <dc:subject/>
  <dc:creator>Transfusion Ontario Program Office</dc:creator>
  <cp:keywords/>
  <cp:lastModifiedBy>Nesrallah, Heather</cp:lastModifiedBy>
  <cp:revision>2</cp:revision>
  <cp:lastPrinted>2011-03-25T18:34:00Z</cp:lastPrinted>
  <dcterms:created xsi:type="dcterms:W3CDTF">2020-08-12T12:10:00Z</dcterms:created>
  <dcterms:modified xsi:type="dcterms:W3CDTF">2020-08-12T12:10:00Z</dcterms:modified>
</cp:coreProperties>
</file>