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000" w:firstRow="0" w:lastRow="0" w:firstColumn="0" w:lastColumn="0" w:noHBand="0" w:noVBand="0"/>
      </w:tblPr>
      <w:tblGrid>
        <w:gridCol w:w="835"/>
        <w:gridCol w:w="8453"/>
      </w:tblGrid>
      <w:tr w:rsidR="00B92E8B" w:rsidRPr="00B40D5F">
        <w:tc>
          <w:tcPr>
            <w:tcW w:w="835" w:type="dxa"/>
          </w:tcPr>
          <w:p w:rsidR="00B92E8B" w:rsidRPr="00B40D5F" w:rsidRDefault="00B92E8B" w:rsidP="00B637AF">
            <w:pPr>
              <w:pStyle w:val="Heading1"/>
            </w:pPr>
            <w:bookmarkStart w:id="0" w:name="_GoBack"/>
            <w:bookmarkEnd w:id="0"/>
            <w:r w:rsidRPr="00B40D5F">
              <w:t>1.0</w:t>
            </w:r>
          </w:p>
        </w:tc>
        <w:tc>
          <w:tcPr>
            <w:tcW w:w="8453" w:type="dxa"/>
          </w:tcPr>
          <w:p w:rsidR="00B92E8B" w:rsidRPr="00B40D5F" w:rsidRDefault="00B92E8B">
            <w:pPr>
              <w:pStyle w:val="Heading7"/>
              <w:rPr>
                <w:rFonts w:ascii="Arial" w:hAnsi="Arial"/>
                <w:lang w:val="fr-CA"/>
              </w:rPr>
            </w:pPr>
            <w:r w:rsidRPr="00B40D5F">
              <w:rPr>
                <w:rFonts w:ascii="Arial" w:hAnsi="Arial"/>
                <w:lang w:val="fr-CA"/>
              </w:rPr>
              <w:t>Principe</w:t>
            </w:r>
          </w:p>
          <w:p w:rsidR="00B92E8B" w:rsidRPr="00B40D5F" w:rsidRDefault="00B92E8B">
            <w:pPr>
              <w:rPr>
                <w:lang w:val="fr-CA"/>
              </w:rPr>
            </w:pPr>
          </w:p>
        </w:tc>
      </w:tr>
      <w:tr w:rsidR="00B92E8B" w:rsidRPr="00B40D5F">
        <w:tc>
          <w:tcPr>
            <w:tcW w:w="835" w:type="dxa"/>
          </w:tcPr>
          <w:p w:rsidR="00B92E8B" w:rsidRPr="00B40D5F" w:rsidRDefault="00B92E8B">
            <w:pPr>
              <w:rPr>
                <w:rFonts w:ascii="Arial" w:hAnsi="Arial"/>
                <w:lang w:val="fr-CA"/>
              </w:rPr>
            </w:pPr>
          </w:p>
        </w:tc>
        <w:tc>
          <w:tcPr>
            <w:tcW w:w="8453" w:type="dxa"/>
          </w:tcPr>
          <w:p w:rsidR="00B92E8B" w:rsidRPr="00B40D5F" w:rsidRDefault="00CD6196" w:rsidP="00E35E73">
            <w:pPr>
              <w:rPr>
                <w:rFonts w:ascii="Arial" w:hAnsi="Arial"/>
                <w:lang w:val="fr-CA"/>
              </w:rPr>
            </w:pPr>
            <w:r w:rsidRPr="00B40D5F">
              <w:rPr>
                <w:rFonts w:ascii="Arial" w:hAnsi="Arial"/>
                <w:lang w:val="fr-CA"/>
              </w:rPr>
              <w:t>Pour s’assurer que les produits reçus, mis en circulation pour être transfus</w:t>
            </w:r>
            <w:r w:rsidR="00156CD0">
              <w:rPr>
                <w:rFonts w:ascii="Arial" w:hAnsi="Arial"/>
                <w:lang w:val="fr-CA"/>
              </w:rPr>
              <w:t>és</w:t>
            </w:r>
            <w:r w:rsidRPr="00B40D5F">
              <w:rPr>
                <w:rFonts w:ascii="Arial" w:hAnsi="Arial"/>
                <w:lang w:val="fr-CA"/>
              </w:rPr>
              <w:t xml:space="preserve"> ou expédiés hors de l’établissement </w:t>
            </w:r>
            <w:r w:rsidR="00B67DBC">
              <w:rPr>
                <w:rFonts w:ascii="Arial" w:hAnsi="Arial"/>
                <w:lang w:val="fr-CA"/>
              </w:rPr>
              <w:t>font</w:t>
            </w:r>
            <w:r w:rsidR="00B67DBC" w:rsidRPr="00B40D5F">
              <w:rPr>
                <w:rFonts w:ascii="Arial" w:hAnsi="Arial"/>
                <w:lang w:val="fr-CA"/>
              </w:rPr>
              <w:t xml:space="preserve"> </w:t>
            </w:r>
            <w:r w:rsidRPr="00B40D5F">
              <w:rPr>
                <w:rFonts w:ascii="Arial" w:hAnsi="Arial"/>
                <w:lang w:val="fr-CA"/>
              </w:rPr>
              <w:t>l’objet d’une vérification visuelle à la recherche de signes de contamination ou de détérioration.</w:t>
            </w:r>
            <w:r w:rsidR="00B637AF" w:rsidRPr="00B40D5F">
              <w:rPr>
                <w:rFonts w:ascii="Arial" w:hAnsi="Arial"/>
                <w:lang w:val="fr-CA"/>
              </w:rPr>
              <w:t xml:space="preserve"> </w:t>
            </w:r>
          </w:p>
        </w:tc>
      </w:tr>
    </w:tbl>
    <w:p w:rsidR="00B92E8B" w:rsidRPr="00B40D5F" w:rsidRDefault="00B92E8B">
      <w:pPr>
        <w:rPr>
          <w:rFonts w:ascii="Arial" w:hAnsi="Arial"/>
          <w:lang w:val="fr-CA"/>
        </w:rPr>
      </w:pPr>
    </w:p>
    <w:tbl>
      <w:tblPr>
        <w:tblW w:w="0" w:type="auto"/>
        <w:tblLayout w:type="fixed"/>
        <w:tblLook w:val="0000" w:firstRow="0" w:lastRow="0" w:firstColumn="0" w:lastColumn="0" w:noHBand="0" w:noVBand="0"/>
      </w:tblPr>
      <w:tblGrid>
        <w:gridCol w:w="835"/>
        <w:gridCol w:w="835"/>
        <w:gridCol w:w="7200"/>
        <w:gridCol w:w="418"/>
      </w:tblGrid>
      <w:tr w:rsidR="00B92E8B" w:rsidRPr="00B40D5F">
        <w:trPr>
          <w:cantSplit/>
          <w:trHeight w:val="639"/>
        </w:trPr>
        <w:tc>
          <w:tcPr>
            <w:tcW w:w="835" w:type="dxa"/>
          </w:tcPr>
          <w:p w:rsidR="00B92E8B" w:rsidRPr="00B40D5F" w:rsidRDefault="00B92E8B" w:rsidP="00B637AF">
            <w:pPr>
              <w:pStyle w:val="Heading1"/>
            </w:pPr>
            <w:r w:rsidRPr="00B40D5F">
              <w:t>2.0</w:t>
            </w:r>
          </w:p>
        </w:tc>
        <w:tc>
          <w:tcPr>
            <w:tcW w:w="8453" w:type="dxa"/>
            <w:gridSpan w:val="3"/>
          </w:tcPr>
          <w:p w:rsidR="00B92E8B" w:rsidRPr="00B40D5F" w:rsidRDefault="00CD6196" w:rsidP="00CD6196">
            <w:pPr>
              <w:pStyle w:val="Heading7"/>
              <w:rPr>
                <w:rFonts w:ascii="Arial" w:hAnsi="Arial"/>
                <w:lang w:val="fr-CA"/>
              </w:rPr>
            </w:pPr>
            <w:r w:rsidRPr="00B40D5F">
              <w:rPr>
                <w:rFonts w:ascii="Arial" w:hAnsi="Arial"/>
                <w:lang w:val="fr-CA"/>
              </w:rPr>
              <w:t>Portée et politiques connexes</w:t>
            </w:r>
          </w:p>
        </w:tc>
      </w:tr>
      <w:tr w:rsidR="00B92E8B" w:rsidRPr="00B40D5F">
        <w:tc>
          <w:tcPr>
            <w:tcW w:w="835" w:type="dxa"/>
          </w:tcPr>
          <w:p w:rsidR="00B92E8B" w:rsidRPr="00B40D5F" w:rsidRDefault="00B92E8B">
            <w:pPr>
              <w:rPr>
                <w:rFonts w:ascii="Arial" w:hAnsi="Arial"/>
                <w:lang w:val="fr-CA"/>
              </w:rPr>
            </w:pPr>
          </w:p>
        </w:tc>
        <w:tc>
          <w:tcPr>
            <w:tcW w:w="835" w:type="dxa"/>
          </w:tcPr>
          <w:p w:rsidR="00B92E8B" w:rsidRPr="00B40D5F" w:rsidRDefault="00B92E8B">
            <w:pPr>
              <w:pStyle w:val="Heading2"/>
              <w:numPr>
                <w:ilvl w:val="0"/>
                <w:numId w:val="0"/>
              </w:numPr>
              <w:rPr>
                <w:rFonts w:ascii="Arial" w:hAnsi="Arial"/>
                <w:lang w:val="fr-CA"/>
              </w:rPr>
            </w:pPr>
            <w:r w:rsidRPr="00B40D5F">
              <w:rPr>
                <w:rFonts w:ascii="Arial" w:hAnsi="Arial"/>
                <w:lang w:val="fr-CA"/>
              </w:rPr>
              <w:t>2.1</w:t>
            </w:r>
          </w:p>
        </w:tc>
        <w:tc>
          <w:tcPr>
            <w:tcW w:w="7618" w:type="dxa"/>
            <w:gridSpan w:val="2"/>
          </w:tcPr>
          <w:p w:rsidR="00B92E8B" w:rsidRPr="00B40D5F" w:rsidRDefault="00CD6196" w:rsidP="00CD6196">
            <w:pPr>
              <w:pStyle w:val="Header"/>
              <w:tabs>
                <w:tab w:val="clear" w:pos="4320"/>
                <w:tab w:val="clear" w:pos="8640"/>
              </w:tabs>
              <w:rPr>
                <w:rFonts w:ascii="Arial" w:hAnsi="Arial"/>
                <w:lang w:val="fr-CA"/>
              </w:rPr>
            </w:pPr>
            <w:r w:rsidRPr="00B40D5F">
              <w:rPr>
                <w:rFonts w:ascii="Arial" w:hAnsi="Arial"/>
                <w:lang w:val="fr-CA"/>
              </w:rPr>
              <w:t xml:space="preserve">L'aspect des produits sanguins doit être vérifié dès leur arrivée au </w:t>
            </w:r>
            <w:r w:rsidR="00E35E73">
              <w:rPr>
                <w:rFonts w:ascii="Arial" w:hAnsi="Arial"/>
                <w:lang w:val="fr-CA"/>
              </w:rPr>
              <w:t>Laboratoire de médecine transfusionnelle (LMT)</w:t>
            </w:r>
            <w:r w:rsidRPr="00B40D5F">
              <w:rPr>
                <w:rFonts w:ascii="Arial" w:hAnsi="Arial"/>
                <w:lang w:val="fr-CA"/>
              </w:rPr>
              <w:t xml:space="preserve">. </w:t>
            </w:r>
            <w:r w:rsidR="004E3785">
              <w:rPr>
                <w:rFonts w:ascii="Arial" w:hAnsi="Arial"/>
                <w:lang w:val="fr-CA"/>
              </w:rPr>
              <w:t xml:space="preserve">Cette démarche doit être documentée. </w:t>
            </w:r>
            <w:r w:rsidRPr="00B40D5F">
              <w:rPr>
                <w:rFonts w:ascii="Arial" w:hAnsi="Arial"/>
                <w:lang w:val="fr-CA"/>
              </w:rPr>
              <w:t xml:space="preserve">Il faut mettre en quarantaine les produits sanguins démontrant une anomalie jusqu’à ce qu’une décision soit prise </w:t>
            </w:r>
            <w:r w:rsidR="00E35E73">
              <w:rPr>
                <w:rFonts w:ascii="Arial" w:hAnsi="Arial"/>
                <w:lang w:val="fr-CA"/>
              </w:rPr>
              <w:t>quant à leur devenir</w:t>
            </w:r>
            <w:r w:rsidR="004E3785">
              <w:rPr>
                <w:rFonts w:ascii="Arial" w:hAnsi="Arial"/>
                <w:lang w:val="fr-CA"/>
              </w:rPr>
              <w:t xml:space="preserve"> et en informer l’expéditeur du </w:t>
            </w:r>
            <w:r w:rsidRPr="00B40D5F">
              <w:rPr>
                <w:rFonts w:ascii="Arial" w:hAnsi="Arial"/>
                <w:lang w:val="fr-CA"/>
              </w:rPr>
              <w:t>produit</w:t>
            </w:r>
            <w:r w:rsidRPr="00B40D5F">
              <w:rPr>
                <w:rFonts w:ascii="Arial" w:hAnsi="Arial"/>
                <w:vertAlign w:val="superscript"/>
                <w:lang w:val="fr-CA"/>
              </w:rPr>
              <w:t>9.1</w:t>
            </w:r>
            <w:r w:rsidR="00394A54" w:rsidRPr="00B40D5F">
              <w:rPr>
                <w:rFonts w:ascii="Arial" w:hAnsi="Arial"/>
                <w:lang w:val="fr-CA"/>
              </w:rPr>
              <w:t>.</w:t>
            </w:r>
            <w:r w:rsidR="00B92E8B" w:rsidRPr="00B40D5F">
              <w:rPr>
                <w:rFonts w:ascii="Arial" w:hAnsi="Arial"/>
                <w:vertAlign w:val="superscript"/>
                <w:lang w:val="fr-CA"/>
              </w:rPr>
              <w:t xml:space="preserve"> </w:t>
            </w:r>
          </w:p>
          <w:p w:rsidR="00B92E8B" w:rsidRPr="00B40D5F" w:rsidRDefault="00B92E8B">
            <w:pPr>
              <w:pStyle w:val="Header"/>
              <w:tabs>
                <w:tab w:val="clear" w:pos="4320"/>
                <w:tab w:val="clear" w:pos="8640"/>
              </w:tabs>
              <w:rPr>
                <w:rFonts w:ascii="Arial" w:hAnsi="Arial"/>
                <w:lang w:val="fr-CA"/>
              </w:rPr>
            </w:pPr>
          </w:p>
        </w:tc>
      </w:tr>
      <w:tr w:rsidR="00B92E8B" w:rsidRPr="00B40D5F">
        <w:tc>
          <w:tcPr>
            <w:tcW w:w="835" w:type="dxa"/>
          </w:tcPr>
          <w:p w:rsidR="00B92E8B" w:rsidRPr="00B40D5F" w:rsidRDefault="00B92E8B">
            <w:pPr>
              <w:rPr>
                <w:rFonts w:ascii="Arial" w:hAnsi="Arial"/>
                <w:lang w:val="fr-CA"/>
              </w:rPr>
            </w:pPr>
          </w:p>
        </w:tc>
        <w:tc>
          <w:tcPr>
            <w:tcW w:w="835" w:type="dxa"/>
          </w:tcPr>
          <w:p w:rsidR="00B92E8B" w:rsidRPr="00B40D5F" w:rsidRDefault="00B92E8B">
            <w:pPr>
              <w:pStyle w:val="Heading2"/>
              <w:numPr>
                <w:ilvl w:val="0"/>
                <w:numId w:val="0"/>
              </w:numPr>
              <w:rPr>
                <w:rFonts w:ascii="Arial" w:hAnsi="Arial"/>
                <w:lang w:val="fr-CA"/>
              </w:rPr>
            </w:pPr>
            <w:r w:rsidRPr="00B40D5F">
              <w:rPr>
                <w:rFonts w:ascii="Arial" w:hAnsi="Arial"/>
                <w:lang w:val="fr-CA"/>
              </w:rPr>
              <w:t>2.2</w:t>
            </w:r>
          </w:p>
        </w:tc>
        <w:tc>
          <w:tcPr>
            <w:tcW w:w="7618" w:type="dxa"/>
            <w:gridSpan w:val="2"/>
          </w:tcPr>
          <w:p w:rsidR="00B92E8B" w:rsidRPr="006E008B" w:rsidRDefault="00CD6196" w:rsidP="00CD6196">
            <w:pPr>
              <w:rPr>
                <w:rFonts w:ascii="Arial" w:hAnsi="Arial" w:cs="Arial"/>
                <w:lang w:val="fr-CA"/>
              </w:rPr>
            </w:pPr>
            <w:r w:rsidRPr="00B40D5F">
              <w:rPr>
                <w:rFonts w:ascii="Arial" w:hAnsi="Arial"/>
                <w:lang w:val="fr-CA"/>
              </w:rPr>
              <w:t>Il faut inspecter visuellement tous les produits sanguins à la recherche d’anomalies évidentes avant leur mise en circulation et documenter cette inspection visuelle.</w:t>
            </w:r>
            <w:r w:rsidR="00B637AF" w:rsidRPr="00B40D5F">
              <w:rPr>
                <w:rFonts w:ascii="Arial" w:hAnsi="Arial"/>
                <w:lang w:val="fr-CA"/>
              </w:rPr>
              <w:t xml:space="preserve"> </w:t>
            </w:r>
            <w:r w:rsidRPr="00B40D5F">
              <w:rPr>
                <w:rFonts w:ascii="Arial" w:hAnsi="Arial"/>
                <w:lang w:val="fr-CA"/>
              </w:rPr>
              <w:t>Si on détecte une anomalie lors de l’inspection visuelle, l'unité n</w:t>
            </w:r>
            <w:r w:rsidR="009B0593" w:rsidRPr="00B40D5F">
              <w:rPr>
                <w:rFonts w:ascii="Arial" w:hAnsi="Arial"/>
                <w:lang w:val="fr-CA"/>
              </w:rPr>
              <w:t>e doit pas être mise en circula</w:t>
            </w:r>
            <w:r w:rsidRPr="00B40D5F">
              <w:rPr>
                <w:rFonts w:ascii="Arial" w:hAnsi="Arial"/>
                <w:lang w:val="fr-CA"/>
              </w:rPr>
              <w:t>t</w:t>
            </w:r>
            <w:r w:rsidR="009B0593" w:rsidRPr="00B40D5F">
              <w:rPr>
                <w:rFonts w:ascii="Arial" w:hAnsi="Arial"/>
                <w:lang w:val="fr-CA"/>
              </w:rPr>
              <w:t>i</w:t>
            </w:r>
            <w:r w:rsidRPr="00B40D5F">
              <w:rPr>
                <w:rFonts w:ascii="Arial" w:hAnsi="Arial"/>
                <w:lang w:val="fr-CA"/>
              </w:rPr>
              <w:t xml:space="preserve">on et le fournisseur du sang </w:t>
            </w:r>
            <w:r w:rsidR="004E3785">
              <w:rPr>
                <w:rFonts w:ascii="Arial" w:hAnsi="Arial"/>
                <w:lang w:val="fr-CA"/>
              </w:rPr>
              <w:t xml:space="preserve">doit être avisé </w:t>
            </w:r>
            <w:r w:rsidRPr="00B40D5F">
              <w:rPr>
                <w:rFonts w:ascii="Arial" w:hAnsi="Arial"/>
                <w:lang w:val="fr-CA"/>
              </w:rPr>
              <w:t>d</w:t>
            </w:r>
            <w:r w:rsidR="001E15F1">
              <w:rPr>
                <w:rFonts w:ascii="Arial" w:hAnsi="Arial"/>
                <w:lang w:val="fr-CA"/>
              </w:rPr>
              <w:t xml:space="preserve">u </w:t>
            </w:r>
            <w:r w:rsidR="004E3785">
              <w:rPr>
                <w:rFonts w:ascii="Arial" w:hAnsi="Arial"/>
                <w:lang w:val="fr-CA"/>
              </w:rPr>
              <w:t>devenir</w:t>
            </w:r>
            <w:r w:rsidR="001E15F1">
              <w:rPr>
                <w:rFonts w:ascii="Arial" w:hAnsi="Arial"/>
                <w:lang w:val="fr-CA"/>
              </w:rPr>
              <w:t xml:space="preserve"> </w:t>
            </w:r>
            <w:r w:rsidRPr="00B40D5F">
              <w:rPr>
                <w:rFonts w:ascii="Arial" w:hAnsi="Arial"/>
                <w:lang w:val="fr-CA"/>
              </w:rPr>
              <w:t>de l'unité en cause.</w:t>
            </w:r>
            <w:r w:rsidR="00B637AF" w:rsidRPr="00B40D5F">
              <w:rPr>
                <w:rFonts w:ascii="Arial" w:hAnsi="Arial"/>
                <w:szCs w:val="24"/>
                <w:lang w:val="fr-CA"/>
              </w:rPr>
              <w:t xml:space="preserve"> </w:t>
            </w:r>
            <w:r w:rsidRPr="006E008B">
              <w:rPr>
                <w:rFonts w:ascii="Arial" w:hAnsi="Arial" w:cs="Arial"/>
                <w:kern w:val="0"/>
                <w:szCs w:val="24"/>
                <w:lang w:val="fr-FR" w:eastAsia="fr-FR"/>
              </w:rPr>
              <w:t>Tout</w:t>
            </w:r>
            <w:r w:rsidR="004E3785">
              <w:rPr>
                <w:rFonts w:ascii="Arial" w:hAnsi="Arial" w:cs="Arial"/>
                <w:kern w:val="0"/>
                <w:szCs w:val="24"/>
                <w:lang w:val="fr-FR" w:eastAsia="fr-FR"/>
              </w:rPr>
              <w:t xml:space="preserve"> avis </w:t>
            </w:r>
            <w:r w:rsidRPr="006E008B">
              <w:rPr>
                <w:rFonts w:ascii="Arial" w:hAnsi="Arial" w:cs="Arial"/>
                <w:kern w:val="0"/>
                <w:szCs w:val="24"/>
                <w:lang w:val="fr-FR" w:eastAsia="fr-FR"/>
              </w:rPr>
              <w:t>de cette nature doit être documenté</w:t>
            </w:r>
            <w:r w:rsidR="00B92E8B" w:rsidRPr="006E008B">
              <w:rPr>
                <w:rFonts w:ascii="Arial" w:hAnsi="Arial" w:cs="Arial"/>
                <w:vertAlign w:val="superscript"/>
                <w:lang w:val="fr-CA"/>
              </w:rPr>
              <w:t>9.1</w:t>
            </w:r>
            <w:r w:rsidRPr="006E008B">
              <w:rPr>
                <w:rFonts w:ascii="Arial" w:hAnsi="Arial" w:cs="Arial"/>
                <w:lang w:val="fr-CA"/>
              </w:rPr>
              <w:t>.</w:t>
            </w:r>
          </w:p>
          <w:p w:rsidR="00B92E8B" w:rsidRPr="00B40D5F" w:rsidRDefault="00B92E8B">
            <w:pPr>
              <w:pStyle w:val="Header"/>
              <w:tabs>
                <w:tab w:val="clear" w:pos="4320"/>
                <w:tab w:val="clear" w:pos="8640"/>
              </w:tabs>
              <w:rPr>
                <w:rFonts w:ascii="Arial" w:hAnsi="Arial"/>
                <w:lang w:val="fr-CA"/>
              </w:rPr>
            </w:pPr>
          </w:p>
        </w:tc>
      </w:tr>
      <w:tr w:rsidR="00B92E8B" w:rsidRPr="00B40D5F">
        <w:tc>
          <w:tcPr>
            <w:tcW w:w="835" w:type="dxa"/>
          </w:tcPr>
          <w:p w:rsidR="00B92E8B" w:rsidRPr="00B40D5F" w:rsidRDefault="00B92E8B">
            <w:pPr>
              <w:rPr>
                <w:rFonts w:ascii="Arial" w:hAnsi="Arial"/>
                <w:lang w:val="fr-CA"/>
              </w:rPr>
            </w:pPr>
          </w:p>
        </w:tc>
        <w:tc>
          <w:tcPr>
            <w:tcW w:w="835" w:type="dxa"/>
          </w:tcPr>
          <w:p w:rsidR="00B92E8B" w:rsidRPr="00B40D5F" w:rsidRDefault="00B92E8B">
            <w:pPr>
              <w:pStyle w:val="Heading2"/>
              <w:numPr>
                <w:ilvl w:val="0"/>
                <w:numId w:val="0"/>
              </w:numPr>
              <w:rPr>
                <w:rFonts w:ascii="Arial" w:hAnsi="Arial"/>
                <w:lang w:val="fr-CA"/>
              </w:rPr>
            </w:pPr>
            <w:r w:rsidRPr="00B40D5F">
              <w:rPr>
                <w:rFonts w:ascii="Arial" w:hAnsi="Arial"/>
                <w:lang w:val="fr-CA"/>
              </w:rPr>
              <w:t>2.3</w:t>
            </w:r>
          </w:p>
        </w:tc>
        <w:tc>
          <w:tcPr>
            <w:tcW w:w="7618" w:type="dxa"/>
            <w:gridSpan w:val="2"/>
          </w:tcPr>
          <w:p w:rsidR="00B92E8B" w:rsidRPr="00B40D5F" w:rsidRDefault="00394A54">
            <w:pPr>
              <w:rPr>
                <w:rFonts w:ascii="Arial" w:hAnsi="Arial"/>
                <w:lang w:val="fr-CA"/>
              </w:rPr>
            </w:pPr>
            <w:r w:rsidRPr="00B40D5F">
              <w:rPr>
                <w:rFonts w:ascii="Arial" w:hAnsi="Arial"/>
                <w:lang w:val="fr-CA"/>
              </w:rPr>
              <w:t>Il faut inspecter visuellement tous les produits sanguins à la recherche d’anomalies évidentes</w:t>
            </w:r>
            <w:r w:rsidR="00DE60D1">
              <w:rPr>
                <w:rFonts w:ascii="Arial" w:hAnsi="Arial"/>
                <w:lang w:val="fr-CA"/>
              </w:rPr>
              <w:t xml:space="preserve"> immédiatement</w:t>
            </w:r>
            <w:r w:rsidRPr="00B40D5F">
              <w:rPr>
                <w:rFonts w:ascii="Arial" w:hAnsi="Arial"/>
                <w:lang w:val="fr-CA"/>
              </w:rPr>
              <w:t xml:space="preserve"> avant leur expédition et documenter cette inspection visuelle</w:t>
            </w:r>
            <w:r w:rsidR="00DE60D1">
              <w:rPr>
                <w:rFonts w:ascii="Arial" w:hAnsi="Arial"/>
                <w:lang w:val="fr-CA"/>
              </w:rPr>
              <w:t>. Il ne faut pas expédier un produit à transfuser présentant une anomalie évidente</w:t>
            </w:r>
            <w:r w:rsidR="00B92E8B" w:rsidRPr="00B40D5F">
              <w:rPr>
                <w:rFonts w:ascii="Arial" w:hAnsi="Arial"/>
                <w:vertAlign w:val="superscript"/>
                <w:lang w:val="fr-CA"/>
              </w:rPr>
              <w:t>9.1</w:t>
            </w:r>
            <w:r w:rsidRPr="00B40D5F">
              <w:rPr>
                <w:rFonts w:ascii="Arial" w:hAnsi="Arial"/>
                <w:lang w:val="fr-CA"/>
              </w:rPr>
              <w:t>.</w:t>
            </w:r>
          </w:p>
          <w:p w:rsidR="00B92E8B" w:rsidRPr="00B40D5F" w:rsidRDefault="00B92E8B">
            <w:pPr>
              <w:pStyle w:val="Header"/>
              <w:tabs>
                <w:tab w:val="clear" w:pos="4320"/>
                <w:tab w:val="clear" w:pos="8640"/>
              </w:tabs>
              <w:rPr>
                <w:rFonts w:ascii="Arial" w:hAnsi="Arial"/>
                <w:lang w:val="fr-CA"/>
              </w:rPr>
            </w:pPr>
          </w:p>
        </w:tc>
      </w:tr>
      <w:tr w:rsidR="00B92E8B" w:rsidRPr="00B40D5F">
        <w:tc>
          <w:tcPr>
            <w:tcW w:w="835" w:type="dxa"/>
          </w:tcPr>
          <w:p w:rsidR="00B92E8B" w:rsidRPr="00B40D5F" w:rsidRDefault="00B92E8B">
            <w:pPr>
              <w:rPr>
                <w:rFonts w:ascii="Arial" w:hAnsi="Arial"/>
                <w:lang w:val="fr-CA"/>
              </w:rPr>
            </w:pPr>
          </w:p>
        </w:tc>
        <w:tc>
          <w:tcPr>
            <w:tcW w:w="835" w:type="dxa"/>
          </w:tcPr>
          <w:p w:rsidR="00B92E8B" w:rsidRPr="00B40D5F" w:rsidRDefault="00B92E8B">
            <w:pPr>
              <w:pStyle w:val="Heading2"/>
              <w:numPr>
                <w:ilvl w:val="0"/>
                <w:numId w:val="0"/>
              </w:numPr>
              <w:rPr>
                <w:rFonts w:ascii="Arial" w:hAnsi="Arial"/>
                <w:lang w:val="fr-CA"/>
              </w:rPr>
            </w:pPr>
            <w:r w:rsidRPr="00B40D5F">
              <w:rPr>
                <w:rFonts w:ascii="Arial" w:hAnsi="Arial"/>
                <w:lang w:val="fr-CA"/>
              </w:rPr>
              <w:t>2.4</w:t>
            </w:r>
          </w:p>
        </w:tc>
        <w:tc>
          <w:tcPr>
            <w:tcW w:w="7618" w:type="dxa"/>
            <w:gridSpan w:val="2"/>
          </w:tcPr>
          <w:p w:rsidR="00B92E8B" w:rsidRPr="00B40D5F" w:rsidRDefault="00394A54">
            <w:pPr>
              <w:rPr>
                <w:rFonts w:ascii="Arial" w:hAnsi="Arial"/>
                <w:lang w:val="fr-CA"/>
              </w:rPr>
            </w:pPr>
            <w:r w:rsidRPr="00B40D5F">
              <w:rPr>
                <w:rFonts w:ascii="Arial" w:hAnsi="Arial"/>
                <w:lang w:val="fr-CA"/>
              </w:rPr>
              <w:t xml:space="preserve">Il faut noter sur le contenant le moment de péremption de tout produit modifié en « circuit ouvert » dans le </w:t>
            </w:r>
            <w:r w:rsidR="00DE60D1">
              <w:rPr>
                <w:rFonts w:ascii="Arial" w:hAnsi="Arial"/>
                <w:lang w:val="fr-CA"/>
              </w:rPr>
              <w:t>LMT</w:t>
            </w:r>
            <w:r w:rsidRPr="00B40D5F">
              <w:rPr>
                <w:rFonts w:ascii="Arial" w:hAnsi="Arial"/>
                <w:lang w:val="fr-CA"/>
              </w:rPr>
              <w:t xml:space="preserve"> ou attacher cette information au produit au moment de sa préparation. </w:t>
            </w:r>
          </w:p>
          <w:p w:rsidR="00B92E8B" w:rsidRPr="00B40D5F" w:rsidRDefault="00B92E8B">
            <w:pPr>
              <w:rPr>
                <w:rFonts w:ascii="Arial" w:hAnsi="Arial"/>
                <w:lang w:val="fr-CA"/>
              </w:rPr>
            </w:pPr>
          </w:p>
        </w:tc>
      </w:tr>
      <w:tr w:rsidR="00B92E8B" w:rsidRPr="00B40D5F">
        <w:tc>
          <w:tcPr>
            <w:tcW w:w="835" w:type="dxa"/>
          </w:tcPr>
          <w:p w:rsidR="00B92E8B" w:rsidRPr="00B40D5F" w:rsidRDefault="00B92E8B">
            <w:pPr>
              <w:rPr>
                <w:rFonts w:ascii="Arial" w:hAnsi="Arial"/>
                <w:lang w:val="fr-CA"/>
              </w:rPr>
            </w:pPr>
          </w:p>
        </w:tc>
        <w:tc>
          <w:tcPr>
            <w:tcW w:w="835" w:type="dxa"/>
          </w:tcPr>
          <w:p w:rsidR="00B92E8B" w:rsidRPr="00B40D5F" w:rsidRDefault="00B92E8B">
            <w:pPr>
              <w:pStyle w:val="Heading2"/>
              <w:numPr>
                <w:ilvl w:val="0"/>
                <w:numId w:val="0"/>
              </w:numPr>
              <w:rPr>
                <w:rFonts w:ascii="Arial" w:hAnsi="Arial"/>
                <w:lang w:val="fr-CA"/>
              </w:rPr>
            </w:pPr>
            <w:r w:rsidRPr="00B40D5F">
              <w:rPr>
                <w:rFonts w:ascii="Arial" w:hAnsi="Arial"/>
                <w:lang w:val="fr-CA"/>
              </w:rPr>
              <w:t>2.5</w:t>
            </w:r>
          </w:p>
        </w:tc>
        <w:tc>
          <w:tcPr>
            <w:tcW w:w="7618" w:type="dxa"/>
            <w:gridSpan w:val="2"/>
          </w:tcPr>
          <w:p w:rsidR="00B92E8B" w:rsidRPr="00B40D5F" w:rsidRDefault="00394A54" w:rsidP="00E35E73">
            <w:pPr>
              <w:rPr>
                <w:rFonts w:ascii="Arial" w:hAnsi="Arial"/>
                <w:lang w:val="fr-CA"/>
              </w:rPr>
            </w:pPr>
            <w:r w:rsidRPr="00B40D5F">
              <w:rPr>
                <w:rFonts w:ascii="Arial" w:hAnsi="Arial"/>
                <w:lang w:val="fr-CA"/>
              </w:rPr>
              <w:t xml:space="preserve">Si un produit semble anormal, il faut chercher dans l’inventaire tout autre produit préparé à partir de cette unité de donneur et mettre en quarantaine le produit jusqu’à ce qu’une décision soit prise </w:t>
            </w:r>
            <w:r w:rsidR="001E15F1">
              <w:rPr>
                <w:rFonts w:ascii="Arial" w:hAnsi="Arial"/>
                <w:lang w:val="fr-CA"/>
              </w:rPr>
              <w:t xml:space="preserve">au sujet de son </w:t>
            </w:r>
            <w:r w:rsidR="00E35E73">
              <w:rPr>
                <w:rFonts w:ascii="Arial" w:hAnsi="Arial"/>
                <w:lang w:val="fr-CA"/>
              </w:rPr>
              <w:t>devenir</w:t>
            </w:r>
            <w:r w:rsidRPr="00B40D5F">
              <w:rPr>
                <w:rFonts w:ascii="Arial" w:hAnsi="Arial"/>
                <w:lang w:val="fr-CA"/>
              </w:rPr>
              <w:t>.</w:t>
            </w:r>
            <w:r w:rsidRPr="00B40D5F">
              <w:rPr>
                <w:rFonts w:ascii="Arial" w:hAnsi="Arial"/>
                <w:lang w:val="fr-CA"/>
              </w:rPr>
              <w:br/>
            </w:r>
          </w:p>
        </w:tc>
      </w:tr>
      <w:tr w:rsidR="00B92E8B" w:rsidRPr="00B40D5F">
        <w:trPr>
          <w:gridAfter w:val="1"/>
          <w:wAfter w:w="418" w:type="dxa"/>
          <w:cantSplit/>
        </w:trPr>
        <w:tc>
          <w:tcPr>
            <w:tcW w:w="835" w:type="dxa"/>
          </w:tcPr>
          <w:p w:rsidR="00B92E8B" w:rsidRPr="00B40D5F" w:rsidRDefault="00B92E8B" w:rsidP="00B637AF">
            <w:pPr>
              <w:pStyle w:val="Heading1"/>
            </w:pPr>
            <w:r w:rsidRPr="00B40D5F">
              <w:t>3.0</w:t>
            </w:r>
          </w:p>
        </w:tc>
        <w:tc>
          <w:tcPr>
            <w:tcW w:w="8035" w:type="dxa"/>
            <w:gridSpan w:val="2"/>
          </w:tcPr>
          <w:p w:rsidR="00B92E8B" w:rsidRPr="00B40D5F" w:rsidRDefault="00CD6196" w:rsidP="00CD6196">
            <w:pPr>
              <w:pStyle w:val="Heading7"/>
              <w:rPr>
                <w:rFonts w:ascii="Arial" w:hAnsi="Arial"/>
                <w:lang w:val="fr-CA"/>
              </w:rPr>
            </w:pPr>
            <w:r w:rsidRPr="00B40D5F">
              <w:rPr>
                <w:rFonts w:ascii="Arial" w:hAnsi="Arial"/>
                <w:lang w:val="fr-CA"/>
              </w:rPr>
              <w:t>Échantillons – S.O</w:t>
            </w:r>
            <w:r w:rsidR="004B487F" w:rsidRPr="00B40D5F">
              <w:rPr>
                <w:rFonts w:ascii="Arial" w:hAnsi="Arial"/>
                <w:lang w:val="fr-CA"/>
              </w:rPr>
              <w:t>.</w:t>
            </w:r>
          </w:p>
        </w:tc>
      </w:tr>
    </w:tbl>
    <w:p w:rsidR="00B92E8B" w:rsidRPr="00B40D5F" w:rsidRDefault="00B92E8B">
      <w:pPr>
        <w:rPr>
          <w:rFonts w:ascii="Arial" w:hAnsi="Arial"/>
          <w:lang w:val="fr-CA"/>
        </w:rPr>
      </w:pPr>
    </w:p>
    <w:tbl>
      <w:tblPr>
        <w:tblW w:w="9705" w:type="dxa"/>
        <w:tblLayout w:type="fixed"/>
        <w:tblLook w:val="0000" w:firstRow="0" w:lastRow="0" w:firstColumn="0" w:lastColumn="0" w:noHBand="0" w:noVBand="0"/>
      </w:tblPr>
      <w:tblGrid>
        <w:gridCol w:w="834"/>
        <w:gridCol w:w="834"/>
        <w:gridCol w:w="58"/>
        <w:gridCol w:w="360"/>
        <w:gridCol w:w="360"/>
        <w:gridCol w:w="70"/>
        <w:gridCol w:w="110"/>
        <w:gridCol w:w="743"/>
        <w:gridCol w:w="427"/>
        <w:gridCol w:w="5070"/>
        <w:gridCol w:w="242"/>
        <w:gridCol w:w="536"/>
        <w:gridCol w:w="61"/>
      </w:tblGrid>
      <w:tr w:rsidR="00B92E8B" w:rsidRPr="00B40D5F" w:rsidTr="0049678B">
        <w:trPr>
          <w:gridAfter w:val="3"/>
          <w:wAfter w:w="839" w:type="dxa"/>
          <w:cantSplit/>
        </w:trPr>
        <w:tc>
          <w:tcPr>
            <w:tcW w:w="834" w:type="dxa"/>
          </w:tcPr>
          <w:p w:rsidR="00B92E8B" w:rsidRPr="00B40D5F" w:rsidRDefault="00B92E8B" w:rsidP="00B637AF">
            <w:pPr>
              <w:pStyle w:val="Heading1"/>
            </w:pPr>
            <w:r w:rsidRPr="00B40D5F">
              <w:t>4.0</w:t>
            </w:r>
          </w:p>
        </w:tc>
        <w:tc>
          <w:tcPr>
            <w:tcW w:w="8032" w:type="dxa"/>
            <w:gridSpan w:val="9"/>
          </w:tcPr>
          <w:p w:rsidR="00B92E8B" w:rsidRPr="00B40D5F" w:rsidRDefault="00CD6196" w:rsidP="00CD6196">
            <w:pPr>
              <w:pStyle w:val="Heading7"/>
              <w:rPr>
                <w:rFonts w:ascii="Arial" w:hAnsi="Arial"/>
                <w:lang w:val="fr-CA"/>
              </w:rPr>
            </w:pPr>
            <w:r w:rsidRPr="00B40D5F">
              <w:rPr>
                <w:rFonts w:ascii="Arial" w:hAnsi="Arial"/>
                <w:lang w:val="fr-CA"/>
              </w:rPr>
              <w:t>Matériel</w:t>
            </w:r>
          </w:p>
          <w:p w:rsidR="00B92E8B" w:rsidRPr="00B40D5F" w:rsidRDefault="00B92E8B">
            <w:pPr>
              <w:rPr>
                <w:lang w:val="fr-CA"/>
              </w:rPr>
            </w:pPr>
          </w:p>
        </w:tc>
      </w:tr>
      <w:tr w:rsidR="00B92E8B" w:rsidRPr="00B40D5F" w:rsidTr="0049678B">
        <w:trPr>
          <w:gridAfter w:val="3"/>
          <w:wAfter w:w="839" w:type="dxa"/>
          <w:cantSplit/>
        </w:trPr>
        <w:tc>
          <w:tcPr>
            <w:tcW w:w="834" w:type="dxa"/>
          </w:tcPr>
          <w:p w:rsidR="00B92E8B" w:rsidRPr="00B40D5F" w:rsidRDefault="00B92E8B">
            <w:pPr>
              <w:rPr>
                <w:rFonts w:ascii="Arial" w:hAnsi="Arial"/>
                <w:lang w:val="fr-CA"/>
              </w:rPr>
            </w:pPr>
          </w:p>
        </w:tc>
        <w:tc>
          <w:tcPr>
            <w:tcW w:w="8032" w:type="dxa"/>
            <w:gridSpan w:val="9"/>
          </w:tcPr>
          <w:p w:rsidR="00B92E8B" w:rsidRDefault="00877A94">
            <w:pPr>
              <w:rPr>
                <w:rFonts w:ascii="Arial" w:hAnsi="Arial"/>
                <w:lang w:val="fr-CA"/>
              </w:rPr>
            </w:pPr>
            <w:r w:rsidRPr="00B40D5F">
              <w:rPr>
                <w:rFonts w:ascii="Arial" w:hAnsi="Arial"/>
                <w:lang w:val="fr-CA"/>
              </w:rPr>
              <w:t>Produits sanguins à inspecter</w:t>
            </w:r>
          </w:p>
          <w:p w:rsidR="00DE60D1" w:rsidRPr="00B40D5F" w:rsidRDefault="00DE60D1" w:rsidP="004E3785">
            <w:pPr>
              <w:rPr>
                <w:rFonts w:ascii="Arial" w:hAnsi="Arial"/>
                <w:lang w:val="fr-CA"/>
              </w:rPr>
            </w:pPr>
            <w:r>
              <w:rPr>
                <w:rFonts w:ascii="Arial" w:hAnsi="Arial"/>
                <w:lang w:val="fr-CA"/>
              </w:rPr>
              <w:t xml:space="preserve">Bordereau de </w:t>
            </w:r>
            <w:r w:rsidR="0049678B">
              <w:rPr>
                <w:rFonts w:ascii="Arial" w:hAnsi="Arial"/>
                <w:lang w:val="fr-CA"/>
              </w:rPr>
              <w:t>retour de l’hôpital</w:t>
            </w:r>
            <w:r>
              <w:rPr>
                <w:rFonts w:ascii="Arial" w:hAnsi="Arial"/>
                <w:lang w:val="fr-CA"/>
              </w:rPr>
              <w:t xml:space="preserve"> </w:t>
            </w:r>
            <w:r w:rsidR="004E3785">
              <w:rPr>
                <w:rFonts w:ascii="Arial" w:hAnsi="Arial"/>
                <w:lang w:val="fr-CA"/>
              </w:rPr>
              <w:t xml:space="preserve">à la </w:t>
            </w:r>
            <w:r w:rsidR="0049678B">
              <w:rPr>
                <w:rFonts w:ascii="Arial" w:hAnsi="Arial"/>
                <w:lang w:val="fr-CA"/>
              </w:rPr>
              <w:t>SCS</w:t>
            </w:r>
          </w:p>
        </w:tc>
      </w:tr>
      <w:tr w:rsidR="00B92E8B" w:rsidRPr="00B40D5F" w:rsidTr="0049678B">
        <w:trPr>
          <w:gridAfter w:val="3"/>
          <w:wAfter w:w="839" w:type="dxa"/>
          <w:cantSplit/>
          <w:trHeight w:hRule="exact" w:val="288"/>
        </w:trPr>
        <w:tc>
          <w:tcPr>
            <w:tcW w:w="834" w:type="dxa"/>
          </w:tcPr>
          <w:p w:rsidR="00B92E8B" w:rsidRPr="00B40D5F" w:rsidRDefault="00B92E8B" w:rsidP="00B637AF">
            <w:pPr>
              <w:pStyle w:val="Heading1"/>
            </w:pPr>
          </w:p>
        </w:tc>
        <w:tc>
          <w:tcPr>
            <w:tcW w:w="8032" w:type="dxa"/>
            <w:gridSpan w:val="9"/>
          </w:tcPr>
          <w:p w:rsidR="00B92E8B" w:rsidRPr="00B40D5F" w:rsidRDefault="00B92E8B">
            <w:pPr>
              <w:pStyle w:val="Heading7"/>
              <w:rPr>
                <w:rFonts w:ascii="Arial" w:hAnsi="Arial"/>
                <w:lang w:val="fr-CA"/>
              </w:rPr>
            </w:pPr>
          </w:p>
        </w:tc>
      </w:tr>
      <w:tr w:rsidR="00B92E8B" w:rsidRPr="00B40D5F" w:rsidTr="0049678B">
        <w:trPr>
          <w:gridAfter w:val="3"/>
          <w:wAfter w:w="839" w:type="dxa"/>
          <w:cantSplit/>
        </w:trPr>
        <w:tc>
          <w:tcPr>
            <w:tcW w:w="834" w:type="dxa"/>
          </w:tcPr>
          <w:p w:rsidR="00B92E8B" w:rsidRPr="00B40D5F" w:rsidRDefault="00B92E8B" w:rsidP="00B637AF">
            <w:pPr>
              <w:pStyle w:val="Heading1"/>
            </w:pPr>
            <w:r w:rsidRPr="00B40D5F">
              <w:t>5.0</w:t>
            </w:r>
          </w:p>
        </w:tc>
        <w:tc>
          <w:tcPr>
            <w:tcW w:w="8032" w:type="dxa"/>
            <w:gridSpan w:val="9"/>
          </w:tcPr>
          <w:p w:rsidR="00B92E8B" w:rsidRPr="00B40D5F" w:rsidRDefault="00CD6196" w:rsidP="00CD6196">
            <w:pPr>
              <w:pStyle w:val="Heading7"/>
              <w:rPr>
                <w:rFonts w:ascii="Arial" w:hAnsi="Arial"/>
                <w:lang w:val="fr-CA"/>
              </w:rPr>
            </w:pPr>
            <w:r w:rsidRPr="00B40D5F">
              <w:rPr>
                <w:rFonts w:ascii="Arial" w:hAnsi="Arial"/>
                <w:lang w:val="fr-CA"/>
              </w:rPr>
              <w:t>Contrôle de la qualité</w:t>
            </w:r>
          </w:p>
          <w:p w:rsidR="00B92E8B" w:rsidRPr="00B40D5F" w:rsidRDefault="00B92E8B">
            <w:pPr>
              <w:rPr>
                <w:lang w:val="fr-CA"/>
              </w:rPr>
            </w:pPr>
          </w:p>
        </w:tc>
      </w:tr>
      <w:tr w:rsidR="00B92E8B" w:rsidRPr="00B40D5F" w:rsidTr="0049678B">
        <w:trPr>
          <w:gridAfter w:val="3"/>
          <w:wAfter w:w="839"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pStyle w:val="Heading2"/>
              <w:numPr>
                <w:ilvl w:val="0"/>
                <w:numId w:val="0"/>
              </w:numPr>
              <w:rPr>
                <w:rFonts w:ascii="Arial" w:hAnsi="Arial"/>
                <w:lang w:val="fr-CA"/>
              </w:rPr>
            </w:pPr>
            <w:r w:rsidRPr="00B40D5F">
              <w:rPr>
                <w:rFonts w:ascii="Arial" w:hAnsi="Arial"/>
                <w:lang w:val="fr-CA"/>
              </w:rPr>
              <w:t>5.1</w:t>
            </w:r>
          </w:p>
        </w:tc>
        <w:tc>
          <w:tcPr>
            <w:tcW w:w="7198" w:type="dxa"/>
            <w:gridSpan w:val="8"/>
          </w:tcPr>
          <w:p w:rsidR="00B92E8B" w:rsidRPr="00B40D5F" w:rsidRDefault="00877A94">
            <w:pPr>
              <w:rPr>
                <w:rFonts w:ascii="Arial" w:hAnsi="Arial"/>
                <w:lang w:val="fr-CA"/>
              </w:rPr>
            </w:pPr>
            <w:r w:rsidRPr="00B40D5F">
              <w:rPr>
                <w:rFonts w:ascii="Arial" w:hAnsi="Arial"/>
                <w:lang w:val="fr-CA"/>
              </w:rPr>
              <w:t xml:space="preserve">Les contenants de composants sanguins et de produits </w:t>
            </w:r>
            <w:r w:rsidR="00E35E73">
              <w:rPr>
                <w:rFonts w:ascii="Arial" w:hAnsi="Arial"/>
                <w:lang w:val="fr-CA"/>
              </w:rPr>
              <w:t>plasmatiques</w:t>
            </w:r>
            <w:r w:rsidRPr="00B40D5F">
              <w:rPr>
                <w:rFonts w:ascii="Arial" w:hAnsi="Arial"/>
                <w:lang w:val="fr-CA"/>
              </w:rPr>
              <w:t xml:space="preserve"> doivent faire l’objet d’une inspection visuelle pour s’assurer que les sceaux et orifices n’ont pas été brisés</w:t>
            </w:r>
            <w:r w:rsidR="006E008B">
              <w:rPr>
                <w:rFonts w:ascii="Arial" w:hAnsi="Arial"/>
                <w:lang w:val="fr-CA"/>
              </w:rPr>
              <w:t>.</w:t>
            </w:r>
            <w:r w:rsidR="00B637AF" w:rsidRPr="00B40D5F">
              <w:rPr>
                <w:rFonts w:ascii="Arial" w:hAnsi="Arial"/>
                <w:lang w:val="fr-CA"/>
              </w:rPr>
              <w:t xml:space="preserve"> </w:t>
            </w:r>
          </w:p>
          <w:p w:rsidR="00B92E8B" w:rsidRPr="00B40D5F" w:rsidRDefault="00B92E8B">
            <w:pPr>
              <w:rPr>
                <w:rFonts w:ascii="Arial" w:hAnsi="Arial"/>
                <w:lang w:val="fr-CA"/>
              </w:rPr>
            </w:pPr>
          </w:p>
        </w:tc>
      </w:tr>
      <w:tr w:rsidR="00B92E8B" w:rsidRPr="00B40D5F" w:rsidTr="0049678B">
        <w:trPr>
          <w:gridAfter w:val="3"/>
          <w:wAfter w:w="839"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pStyle w:val="Heading2"/>
              <w:numPr>
                <w:ilvl w:val="0"/>
                <w:numId w:val="0"/>
              </w:numPr>
              <w:rPr>
                <w:rFonts w:ascii="Arial" w:hAnsi="Arial"/>
                <w:lang w:val="fr-CA"/>
              </w:rPr>
            </w:pPr>
            <w:r w:rsidRPr="00B40D5F">
              <w:rPr>
                <w:rFonts w:ascii="Arial" w:hAnsi="Arial"/>
                <w:lang w:val="fr-CA"/>
              </w:rPr>
              <w:t>5.2</w:t>
            </w:r>
          </w:p>
        </w:tc>
        <w:tc>
          <w:tcPr>
            <w:tcW w:w="7198" w:type="dxa"/>
            <w:gridSpan w:val="8"/>
          </w:tcPr>
          <w:p w:rsidR="00B92E8B" w:rsidRPr="00B40D5F" w:rsidRDefault="00877A94">
            <w:pPr>
              <w:rPr>
                <w:rFonts w:ascii="Arial" w:hAnsi="Arial"/>
                <w:lang w:val="fr-CA"/>
              </w:rPr>
            </w:pPr>
            <w:r w:rsidRPr="00B40D5F">
              <w:rPr>
                <w:rFonts w:ascii="Arial" w:hAnsi="Arial"/>
                <w:lang w:val="fr-CA"/>
              </w:rPr>
              <w:t>Les composants sanguins et les pro</w:t>
            </w:r>
            <w:r w:rsidR="00E35E73">
              <w:rPr>
                <w:rFonts w:ascii="Arial" w:hAnsi="Arial"/>
                <w:lang w:val="fr-CA"/>
              </w:rPr>
              <w:t>téines plasmatiques</w:t>
            </w:r>
            <w:r w:rsidRPr="00B40D5F">
              <w:rPr>
                <w:rFonts w:ascii="Arial" w:hAnsi="Arial"/>
                <w:lang w:val="fr-CA"/>
              </w:rPr>
              <w:t xml:space="preserve"> qui ne satisfont pas à cette inspection visuelle doivent être </w:t>
            </w:r>
            <w:r w:rsidR="004E3785">
              <w:rPr>
                <w:rFonts w:ascii="Arial" w:hAnsi="Arial"/>
                <w:lang w:val="fr-CA"/>
              </w:rPr>
              <w:t>re</w:t>
            </w:r>
            <w:r w:rsidRPr="00B40D5F">
              <w:rPr>
                <w:rFonts w:ascii="Arial" w:hAnsi="Arial"/>
                <w:lang w:val="fr-CA"/>
              </w:rPr>
              <w:t>jetés.</w:t>
            </w:r>
          </w:p>
          <w:p w:rsidR="00B92E8B" w:rsidRPr="00B40D5F" w:rsidRDefault="00B92E8B">
            <w:pPr>
              <w:rPr>
                <w:rFonts w:ascii="Arial" w:hAnsi="Arial"/>
                <w:lang w:val="fr-CA"/>
              </w:rPr>
            </w:pPr>
          </w:p>
        </w:tc>
      </w:tr>
      <w:tr w:rsidR="00B92E8B" w:rsidRPr="00B40D5F" w:rsidTr="0049678B">
        <w:trPr>
          <w:gridAfter w:val="3"/>
          <w:wAfter w:w="839"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pStyle w:val="Heading2"/>
              <w:numPr>
                <w:ilvl w:val="0"/>
                <w:numId w:val="0"/>
              </w:numPr>
              <w:rPr>
                <w:rFonts w:ascii="Arial" w:hAnsi="Arial"/>
                <w:lang w:val="fr-CA"/>
              </w:rPr>
            </w:pPr>
            <w:r w:rsidRPr="00B40D5F">
              <w:rPr>
                <w:rFonts w:ascii="Arial" w:hAnsi="Arial"/>
                <w:lang w:val="fr-CA"/>
              </w:rPr>
              <w:t>5.3</w:t>
            </w:r>
          </w:p>
        </w:tc>
        <w:tc>
          <w:tcPr>
            <w:tcW w:w="7198" w:type="dxa"/>
            <w:gridSpan w:val="8"/>
          </w:tcPr>
          <w:p w:rsidR="00B92E8B" w:rsidRPr="00B40D5F" w:rsidRDefault="00877A94">
            <w:pPr>
              <w:rPr>
                <w:rFonts w:ascii="Arial" w:hAnsi="Arial"/>
                <w:lang w:val="fr-CA"/>
              </w:rPr>
            </w:pPr>
            <w:r w:rsidRPr="00B40D5F">
              <w:rPr>
                <w:rFonts w:ascii="Arial" w:hAnsi="Arial"/>
                <w:lang w:val="fr-CA"/>
              </w:rPr>
              <w:t>Une i</w:t>
            </w:r>
            <w:r w:rsidR="00B92E8B" w:rsidRPr="00B40D5F">
              <w:rPr>
                <w:rFonts w:ascii="Arial" w:hAnsi="Arial"/>
                <w:lang w:val="fr-CA"/>
              </w:rPr>
              <w:t xml:space="preserve">nspection </w:t>
            </w:r>
            <w:r w:rsidRPr="00B40D5F">
              <w:rPr>
                <w:rFonts w:ascii="Arial" w:hAnsi="Arial"/>
                <w:lang w:val="fr-CA"/>
              </w:rPr>
              <w:t xml:space="preserve">des composants sanguins et des </w:t>
            </w:r>
            <w:r w:rsidR="00E35E73" w:rsidRPr="00B40D5F">
              <w:rPr>
                <w:rFonts w:ascii="Arial" w:hAnsi="Arial"/>
                <w:lang w:val="fr-CA"/>
              </w:rPr>
              <w:t>pro</w:t>
            </w:r>
            <w:r w:rsidR="00E35E73">
              <w:rPr>
                <w:rFonts w:ascii="Arial" w:hAnsi="Arial"/>
                <w:lang w:val="fr-CA"/>
              </w:rPr>
              <w:t>téines plasmatiques</w:t>
            </w:r>
            <w:r w:rsidR="00E35E73" w:rsidRPr="00B40D5F">
              <w:rPr>
                <w:rFonts w:ascii="Arial" w:hAnsi="Arial"/>
                <w:lang w:val="fr-CA"/>
              </w:rPr>
              <w:t xml:space="preserve"> </w:t>
            </w:r>
            <w:r w:rsidRPr="00B40D5F">
              <w:rPr>
                <w:rFonts w:ascii="Arial" w:hAnsi="Arial"/>
                <w:lang w:val="fr-CA"/>
              </w:rPr>
              <w:t xml:space="preserve">doit être faite aux moments suivants : </w:t>
            </w:r>
          </w:p>
          <w:p w:rsidR="00B92E8B" w:rsidRPr="00B40D5F" w:rsidRDefault="00B92E8B">
            <w:pPr>
              <w:rPr>
                <w:rFonts w:ascii="Arial" w:hAnsi="Arial"/>
                <w:lang w:val="fr-CA"/>
              </w:rPr>
            </w:pPr>
          </w:p>
        </w:tc>
      </w:tr>
      <w:tr w:rsidR="00B92E8B" w:rsidRPr="00B40D5F" w:rsidTr="0049678B">
        <w:trPr>
          <w:gridAfter w:val="3"/>
          <w:wAfter w:w="839"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418" w:type="dxa"/>
            <w:gridSpan w:val="2"/>
          </w:tcPr>
          <w:p w:rsidR="00B92E8B" w:rsidRPr="00B40D5F" w:rsidRDefault="00B92E8B">
            <w:pPr>
              <w:numPr>
                <w:ilvl w:val="0"/>
                <w:numId w:val="20"/>
              </w:numPr>
              <w:rPr>
                <w:rFonts w:ascii="Arial" w:hAnsi="Arial"/>
                <w:lang w:val="fr-CA"/>
              </w:rPr>
            </w:pPr>
          </w:p>
        </w:tc>
        <w:tc>
          <w:tcPr>
            <w:tcW w:w="6780" w:type="dxa"/>
            <w:gridSpan w:val="6"/>
          </w:tcPr>
          <w:p w:rsidR="00B92E8B" w:rsidRPr="00B40D5F" w:rsidRDefault="00B92E8B" w:rsidP="004E3785">
            <w:pPr>
              <w:rPr>
                <w:rFonts w:ascii="Arial" w:hAnsi="Arial"/>
                <w:lang w:val="fr-CA"/>
              </w:rPr>
            </w:pPr>
            <w:r w:rsidRPr="00B40D5F">
              <w:rPr>
                <w:rFonts w:ascii="Arial" w:hAnsi="Arial"/>
                <w:lang w:val="fr-CA"/>
              </w:rPr>
              <w:t>à</w:t>
            </w:r>
            <w:r w:rsidR="00877A94" w:rsidRPr="00B40D5F">
              <w:rPr>
                <w:rFonts w:ascii="Arial" w:hAnsi="Arial"/>
                <w:lang w:val="fr-CA"/>
              </w:rPr>
              <w:t xml:space="preserve"> la réception du produit </w:t>
            </w:r>
            <w:r w:rsidR="004E3785">
              <w:rPr>
                <w:rFonts w:ascii="Arial" w:hAnsi="Arial"/>
                <w:lang w:val="fr-CA"/>
              </w:rPr>
              <w:t>provenant du fournisseur ou d’un autre établissement</w:t>
            </w:r>
          </w:p>
        </w:tc>
      </w:tr>
      <w:tr w:rsidR="00B92E8B" w:rsidRPr="00B40D5F" w:rsidTr="0049678B">
        <w:trPr>
          <w:gridAfter w:val="3"/>
          <w:wAfter w:w="839"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418" w:type="dxa"/>
            <w:gridSpan w:val="2"/>
          </w:tcPr>
          <w:p w:rsidR="00B92E8B" w:rsidRPr="00B40D5F" w:rsidRDefault="00B92E8B">
            <w:pPr>
              <w:numPr>
                <w:ilvl w:val="0"/>
                <w:numId w:val="22"/>
              </w:numPr>
              <w:rPr>
                <w:rFonts w:ascii="Arial" w:hAnsi="Arial"/>
                <w:lang w:val="fr-CA"/>
              </w:rPr>
            </w:pPr>
          </w:p>
        </w:tc>
        <w:tc>
          <w:tcPr>
            <w:tcW w:w="6780" w:type="dxa"/>
            <w:gridSpan w:val="6"/>
          </w:tcPr>
          <w:p w:rsidR="00B92E8B" w:rsidRPr="00B40D5F" w:rsidRDefault="00B92E8B" w:rsidP="004E3785">
            <w:pPr>
              <w:rPr>
                <w:rFonts w:ascii="Arial" w:hAnsi="Arial"/>
                <w:lang w:val="fr-CA"/>
              </w:rPr>
            </w:pPr>
            <w:r w:rsidRPr="00B40D5F">
              <w:rPr>
                <w:rFonts w:ascii="Arial" w:hAnsi="Arial"/>
                <w:lang w:val="fr-CA"/>
              </w:rPr>
              <w:t>a</w:t>
            </w:r>
            <w:r w:rsidR="00877A94" w:rsidRPr="00B40D5F">
              <w:rPr>
                <w:rFonts w:ascii="Arial" w:hAnsi="Arial"/>
                <w:lang w:val="fr-CA"/>
              </w:rPr>
              <w:t xml:space="preserve">vant l’émission du produit pour transfusion </w:t>
            </w:r>
          </w:p>
        </w:tc>
      </w:tr>
      <w:tr w:rsidR="00B92E8B" w:rsidRPr="00B40D5F" w:rsidTr="0049678B">
        <w:trPr>
          <w:gridAfter w:val="3"/>
          <w:wAfter w:w="839"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418" w:type="dxa"/>
            <w:gridSpan w:val="2"/>
          </w:tcPr>
          <w:p w:rsidR="00B92E8B" w:rsidRPr="00B40D5F" w:rsidRDefault="00B92E8B">
            <w:pPr>
              <w:numPr>
                <w:ilvl w:val="0"/>
                <w:numId w:val="22"/>
              </w:numPr>
              <w:rPr>
                <w:rFonts w:ascii="Arial" w:hAnsi="Arial"/>
                <w:lang w:val="fr-CA"/>
              </w:rPr>
            </w:pPr>
          </w:p>
        </w:tc>
        <w:tc>
          <w:tcPr>
            <w:tcW w:w="6780" w:type="dxa"/>
            <w:gridSpan w:val="6"/>
          </w:tcPr>
          <w:p w:rsidR="00B92E8B" w:rsidRPr="00B40D5F" w:rsidRDefault="00B92E8B" w:rsidP="004E3785">
            <w:pPr>
              <w:rPr>
                <w:rFonts w:ascii="Arial" w:hAnsi="Arial"/>
                <w:lang w:val="fr-CA"/>
              </w:rPr>
            </w:pPr>
            <w:r w:rsidRPr="00B40D5F">
              <w:rPr>
                <w:rFonts w:ascii="Arial" w:hAnsi="Arial"/>
                <w:lang w:val="fr-CA"/>
              </w:rPr>
              <w:t>a</w:t>
            </w:r>
            <w:r w:rsidR="00877A94" w:rsidRPr="00B40D5F">
              <w:rPr>
                <w:rFonts w:ascii="Arial" w:hAnsi="Arial"/>
                <w:lang w:val="fr-CA"/>
              </w:rPr>
              <w:t xml:space="preserve">vant l’expédition du produit à un autre établissement </w:t>
            </w:r>
          </w:p>
        </w:tc>
      </w:tr>
      <w:tr w:rsidR="00B92E8B" w:rsidRPr="00B40D5F" w:rsidTr="0049678B">
        <w:trPr>
          <w:gridAfter w:val="3"/>
          <w:wAfter w:w="839"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418" w:type="dxa"/>
            <w:gridSpan w:val="2"/>
          </w:tcPr>
          <w:p w:rsidR="00B92E8B" w:rsidRPr="00B40D5F" w:rsidRDefault="00B92E8B">
            <w:pPr>
              <w:numPr>
                <w:ilvl w:val="0"/>
                <w:numId w:val="22"/>
              </w:numPr>
              <w:rPr>
                <w:rFonts w:ascii="Arial" w:hAnsi="Arial"/>
                <w:lang w:val="fr-CA"/>
              </w:rPr>
            </w:pPr>
          </w:p>
        </w:tc>
        <w:tc>
          <w:tcPr>
            <w:tcW w:w="6780" w:type="dxa"/>
            <w:gridSpan w:val="6"/>
          </w:tcPr>
          <w:p w:rsidR="00B92E8B" w:rsidRPr="00B40D5F" w:rsidRDefault="00B92E8B">
            <w:pPr>
              <w:rPr>
                <w:rFonts w:ascii="Arial" w:hAnsi="Arial"/>
                <w:lang w:val="fr-CA"/>
              </w:rPr>
            </w:pPr>
            <w:r w:rsidRPr="00B40D5F">
              <w:rPr>
                <w:rFonts w:ascii="Arial" w:hAnsi="Arial"/>
                <w:lang w:val="fr-CA"/>
              </w:rPr>
              <w:t xml:space="preserve">lorsque le produit est renvoyé d’un autre endroit de l’hôpital </w:t>
            </w:r>
          </w:p>
          <w:p w:rsidR="00B92E8B" w:rsidRPr="00B40D5F" w:rsidRDefault="00B92E8B">
            <w:pPr>
              <w:rPr>
                <w:rFonts w:ascii="Arial" w:hAnsi="Arial"/>
                <w:lang w:val="fr-CA"/>
              </w:rPr>
            </w:pPr>
          </w:p>
        </w:tc>
      </w:tr>
      <w:tr w:rsidR="00B92E8B" w:rsidRPr="00B40D5F" w:rsidTr="0049678B">
        <w:trPr>
          <w:gridAfter w:val="2"/>
          <w:wAfter w:w="597" w:type="dxa"/>
          <w:cantSplit/>
        </w:trPr>
        <w:tc>
          <w:tcPr>
            <w:tcW w:w="834" w:type="dxa"/>
          </w:tcPr>
          <w:p w:rsidR="00B92E8B" w:rsidRPr="00B40D5F" w:rsidRDefault="00B92E8B" w:rsidP="00B637AF">
            <w:pPr>
              <w:pStyle w:val="Heading1"/>
            </w:pPr>
            <w:r w:rsidRPr="00B40D5F">
              <w:t>6.0</w:t>
            </w:r>
          </w:p>
        </w:tc>
        <w:tc>
          <w:tcPr>
            <w:tcW w:w="8274" w:type="dxa"/>
            <w:gridSpan w:val="10"/>
          </w:tcPr>
          <w:p w:rsidR="00B92E8B" w:rsidRPr="00B40D5F" w:rsidRDefault="00CD6196" w:rsidP="00CD6196">
            <w:pPr>
              <w:pStyle w:val="Heading7"/>
              <w:rPr>
                <w:rFonts w:ascii="Arial" w:hAnsi="Arial"/>
                <w:lang w:val="fr-CA"/>
              </w:rPr>
            </w:pPr>
            <w:r w:rsidRPr="00B40D5F">
              <w:rPr>
                <w:rFonts w:ascii="Arial" w:hAnsi="Arial"/>
                <w:lang w:val="fr-CA"/>
              </w:rPr>
              <w:t>Procédure</w:t>
            </w:r>
          </w:p>
          <w:p w:rsidR="00B92E8B" w:rsidRPr="00B40D5F" w:rsidRDefault="00B92E8B">
            <w:pPr>
              <w:rPr>
                <w:lang w:val="fr-CA"/>
              </w:rPr>
            </w:pPr>
          </w:p>
        </w:tc>
      </w:tr>
      <w:tr w:rsidR="00B92E8B" w:rsidRPr="00B40D5F" w:rsidTr="0049678B">
        <w:trPr>
          <w:gridAfter w:val="2"/>
          <w:wAfter w:w="597"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pStyle w:val="Heading2"/>
              <w:numPr>
                <w:ilvl w:val="0"/>
                <w:numId w:val="0"/>
              </w:numPr>
              <w:rPr>
                <w:rFonts w:ascii="Arial" w:hAnsi="Arial"/>
                <w:lang w:val="fr-CA"/>
              </w:rPr>
            </w:pPr>
            <w:r w:rsidRPr="00B40D5F">
              <w:rPr>
                <w:rFonts w:ascii="Arial" w:hAnsi="Arial"/>
                <w:lang w:val="fr-CA"/>
              </w:rPr>
              <w:t>6.1</w:t>
            </w:r>
          </w:p>
        </w:tc>
        <w:tc>
          <w:tcPr>
            <w:tcW w:w="7440" w:type="dxa"/>
            <w:gridSpan w:val="9"/>
          </w:tcPr>
          <w:p w:rsidR="00B92E8B" w:rsidRPr="00B40D5F" w:rsidRDefault="00B92E8B">
            <w:pPr>
              <w:rPr>
                <w:rFonts w:ascii="Arial" w:hAnsi="Arial"/>
                <w:lang w:val="fr-CA"/>
              </w:rPr>
            </w:pPr>
            <w:r w:rsidRPr="00B40D5F">
              <w:rPr>
                <w:rFonts w:ascii="Arial" w:hAnsi="Arial"/>
                <w:lang w:val="fr-CA"/>
              </w:rPr>
              <w:t xml:space="preserve">Déterminer si la date de péremption du produit n’est pas dépassée. </w:t>
            </w:r>
          </w:p>
        </w:tc>
      </w:tr>
      <w:tr w:rsidR="00B92E8B" w:rsidRPr="00B40D5F" w:rsidTr="0049678B">
        <w:trPr>
          <w:gridAfter w:val="2"/>
          <w:wAfter w:w="597"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848" w:type="dxa"/>
            <w:gridSpan w:val="4"/>
          </w:tcPr>
          <w:p w:rsidR="00B92E8B" w:rsidRPr="00B40D5F" w:rsidRDefault="00B92E8B">
            <w:pPr>
              <w:pStyle w:val="Heading3"/>
              <w:numPr>
                <w:ilvl w:val="0"/>
                <w:numId w:val="0"/>
              </w:numPr>
              <w:rPr>
                <w:rFonts w:ascii="Arial" w:hAnsi="Arial"/>
                <w:lang w:val="fr-CA"/>
              </w:rPr>
            </w:pPr>
            <w:r w:rsidRPr="00B40D5F">
              <w:rPr>
                <w:rFonts w:ascii="Arial" w:hAnsi="Arial"/>
                <w:lang w:val="fr-CA"/>
              </w:rPr>
              <w:t>6.1.1</w:t>
            </w:r>
          </w:p>
        </w:tc>
        <w:tc>
          <w:tcPr>
            <w:tcW w:w="6592" w:type="dxa"/>
            <w:gridSpan w:val="5"/>
          </w:tcPr>
          <w:p w:rsidR="00B92E8B" w:rsidRPr="00B40D5F" w:rsidRDefault="00B92E8B">
            <w:pPr>
              <w:rPr>
                <w:rFonts w:ascii="Arial" w:hAnsi="Arial"/>
                <w:lang w:val="fr-CA"/>
              </w:rPr>
            </w:pPr>
            <w:r w:rsidRPr="00B40D5F">
              <w:rPr>
                <w:rFonts w:ascii="Arial" w:hAnsi="Arial"/>
                <w:lang w:val="fr-CA"/>
              </w:rPr>
              <w:t>Vérifier la date de péremption sur l’étiquette du produit</w:t>
            </w:r>
          </w:p>
        </w:tc>
      </w:tr>
      <w:tr w:rsidR="00B92E8B" w:rsidRPr="00B40D5F" w:rsidTr="0049678B">
        <w:trPr>
          <w:gridAfter w:val="2"/>
          <w:wAfter w:w="597"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848" w:type="dxa"/>
            <w:gridSpan w:val="4"/>
          </w:tcPr>
          <w:p w:rsidR="00B92E8B" w:rsidRPr="00B40D5F" w:rsidRDefault="00B92E8B">
            <w:pPr>
              <w:pStyle w:val="Heading3"/>
              <w:numPr>
                <w:ilvl w:val="0"/>
                <w:numId w:val="0"/>
              </w:numPr>
              <w:rPr>
                <w:rFonts w:ascii="Arial" w:hAnsi="Arial"/>
                <w:lang w:val="fr-CA"/>
              </w:rPr>
            </w:pPr>
            <w:r w:rsidRPr="00B40D5F">
              <w:rPr>
                <w:rFonts w:ascii="Arial" w:hAnsi="Arial"/>
                <w:lang w:val="fr-CA"/>
              </w:rPr>
              <w:t>6.1.2</w:t>
            </w:r>
          </w:p>
        </w:tc>
        <w:tc>
          <w:tcPr>
            <w:tcW w:w="6592" w:type="dxa"/>
            <w:gridSpan w:val="5"/>
          </w:tcPr>
          <w:p w:rsidR="00B92E8B" w:rsidRPr="00B40D5F" w:rsidRDefault="001E15F1" w:rsidP="00CD6196">
            <w:pPr>
              <w:rPr>
                <w:rFonts w:ascii="Arial" w:hAnsi="Arial"/>
                <w:lang w:val="fr-CA"/>
              </w:rPr>
            </w:pPr>
            <w:r>
              <w:rPr>
                <w:rFonts w:ascii="Arial" w:hAnsi="Arial"/>
                <w:lang w:val="fr-CA"/>
              </w:rPr>
              <w:t>Éliminer</w:t>
            </w:r>
            <w:r w:rsidR="00B92E8B" w:rsidRPr="00B40D5F">
              <w:rPr>
                <w:rFonts w:ascii="Arial" w:hAnsi="Arial"/>
                <w:lang w:val="fr-CA"/>
              </w:rPr>
              <w:t xml:space="preserve"> tout produit périmé. </w:t>
            </w:r>
            <w:r w:rsidR="00CD6196" w:rsidRPr="00B40D5F">
              <w:rPr>
                <w:rFonts w:ascii="Arial" w:hAnsi="Arial"/>
                <w:lang w:val="fr-CA"/>
              </w:rPr>
              <w:t>Voir G</w:t>
            </w:r>
            <w:r w:rsidR="0049678B">
              <w:rPr>
                <w:rFonts w:ascii="Arial" w:hAnsi="Arial"/>
                <w:lang w:val="fr-CA"/>
              </w:rPr>
              <w:t>S</w:t>
            </w:r>
            <w:r w:rsidR="00CD6196" w:rsidRPr="00B40D5F">
              <w:rPr>
                <w:rFonts w:ascii="Arial" w:hAnsi="Arial"/>
                <w:lang w:val="fr-CA"/>
              </w:rPr>
              <w:t xml:space="preserve">.005 </w:t>
            </w:r>
            <w:r>
              <w:rPr>
                <w:rFonts w:ascii="Arial" w:hAnsi="Arial"/>
                <w:lang w:val="fr-CA"/>
              </w:rPr>
              <w:t>–</w:t>
            </w:r>
            <w:r w:rsidR="00CD6196" w:rsidRPr="00B40D5F">
              <w:rPr>
                <w:rFonts w:ascii="Arial" w:hAnsi="Arial"/>
                <w:lang w:val="fr-CA"/>
              </w:rPr>
              <w:t xml:space="preserve"> </w:t>
            </w:r>
            <w:r>
              <w:rPr>
                <w:rFonts w:ascii="Arial" w:hAnsi="Arial"/>
                <w:lang w:val="fr-CA"/>
              </w:rPr>
              <w:t>Élimination</w:t>
            </w:r>
            <w:r w:rsidR="00CD6196" w:rsidRPr="00B40D5F">
              <w:rPr>
                <w:rFonts w:ascii="Arial" w:hAnsi="Arial"/>
                <w:lang w:val="fr-CA"/>
              </w:rPr>
              <w:t xml:space="preserve"> de composants sanguins et de pro</w:t>
            </w:r>
            <w:r w:rsidR="004E3785">
              <w:rPr>
                <w:rFonts w:ascii="Arial" w:hAnsi="Arial"/>
                <w:lang w:val="fr-CA"/>
              </w:rPr>
              <w:t>téines plasmatiques</w:t>
            </w:r>
            <w:r w:rsidR="00CD6196" w:rsidRPr="00B40D5F">
              <w:rPr>
                <w:rFonts w:ascii="Arial" w:hAnsi="Arial"/>
                <w:lang w:val="fr-CA"/>
              </w:rPr>
              <w:t xml:space="preserve"> qui ne sont pas en état d'être transfusés - procédure manuelle.</w:t>
            </w:r>
          </w:p>
          <w:p w:rsidR="00B92E8B" w:rsidRPr="00B40D5F" w:rsidRDefault="00B92E8B">
            <w:pPr>
              <w:rPr>
                <w:rFonts w:ascii="Arial" w:hAnsi="Arial"/>
                <w:lang w:val="fr-CA"/>
              </w:rPr>
            </w:pPr>
          </w:p>
        </w:tc>
      </w:tr>
      <w:tr w:rsidR="00B92E8B" w:rsidRPr="00B40D5F" w:rsidTr="0049678B">
        <w:trPr>
          <w:gridAfter w:val="2"/>
          <w:wAfter w:w="597"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pStyle w:val="Heading2"/>
              <w:numPr>
                <w:ilvl w:val="0"/>
                <w:numId w:val="0"/>
              </w:numPr>
              <w:rPr>
                <w:rFonts w:ascii="Arial" w:hAnsi="Arial"/>
                <w:lang w:val="fr-CA"/>
              </w:rPr>
            </w:pPr>
            <w:r w:rsidRPr="00B40D5F">
              <w:rPr>
                <w:rFonts w:ascii="Arial" w:hAnsi="Arial"/>
                <w:lang w:val="fr-CA"/>
              </w:rPr>
              <w:t>6.2</w:t>
            </w:r>
          </w:p>
        </w:tc>
        <w:tc>
          <w:tcPr>
            <w:tcW w:w="7440" w:type="dxa"/>
            <w:gridSpan w:val="9"/>
          </w:tcPr>
          <w:p w:rsidR="00B92E8B" w:rsidRPr="00B40D5F" w:rsidRDefault="00B92E8B">
            <w:pPr>
              <w:rPr>
                <w:rFonts w:ascii="Arial" w:hAnsi="Arial"/>
                <w:lang w:val="fr-CA"/>
              </w:rPr>
            </w:pPr>
            <w:r w:rsidRPr="00B40D5F">
              <w:rPr>
                <w:rFonts w:ascii="Arial" w:hAnsi="Arial"/>
                <w:lang w:val="fr-CA"/>
              </w:rPr>
              <w:t>D</w:t>
            </w:r>
            <w:r w:rsidR="008F5340" w:rsidRPr="00B40D5F">
              <w:rPr>
                <w:rFonts w:ascii="Arial" w:hAnsi="Arial"/>
                <w:lang w:val="fr-CA"/>
              </w:rPr>
              <w:t xml:space="preserve">éterminer si le produit a été modifié dans l’hôpital (mis en pool, modifié, divisé, </w:t>
            </w:r>
            <w:r w:rsidRPr="00B40D5F">
              <w:rPr>
                <w:rFonts w:ascii="Arial" w:hAnsi="Arial"/>
                <w:lang w:val="fr-CA"/>
              </w:rPr>
              <w:t>etc.).</w:t>
            </w:r>
            <w:r w:rsidR="00B637AF" w:rsidRPr="00B40D5F">
              <w:rPr>
                <w:rFonts w:ascii="Arial" w:hAnsi="Arial"/>
                <w:lang w:val="fr-CA"/>
              </w:rPr>
              <w:t xml:space="preserve"> </w:t>
            </w:r>
            <w:r w:rsidR="008F5340" w:rsidRPr="00B40D5F">
              <w:rPr>
                <w:rFonts w:ascii="Arial" w:hAnsi="Arial"/>
                <w:lang w:val="fr-CA"/>
              </w:rPr>
              <w:t xml:space="preserve">Si c’est </w:t>
            </w:r>
            <w:r w:rsidR="006E008B" w:rsidRPr="00B40D5F">
              <w:rPr>
                <w:rFonts w:ascii="Arial" w:hAnsi="Arial"/>
                <w:lang w:val="fr-CA"/>
              </w:rPr>
              <w:t>l</w:t>
            </w:r>
            <w:r w:rsidR="006E008B">
              <w:rPr>
                <w:rFonts w:ascii="Arial" w:hAnsi="Arial"/>
                <w:lang w:val="fr-CA"/>
              </w:rPr>
              <w:t>e</w:t>
            </w:r>
            <w:r w:rsidR="006E008B" w:rsidRPr="00B40D5F">
              <w:rPr>
                <w:rFonts w:ascii="Arial" w:hAnsi="Arial"/>
                <w:lang w:val="fr-CA"/>
              </w:rPr>
              <w:t xml:space="preserve"> </w:t>
            </w:r>
            <w:r w:rsidR="008F5340" w:rsidRPr="00B40D5F">
              <w:rPr>
                <w:rFonts w:ascii="Arial" w:hAnsi="Arial"/>
                <w:lang w:val="fr-CA"/>
              </w:rPr>
              <w:t xml:space="preserve">cas, une étiquette mentionnant la </w:t>
            </w:r>
            <w:r w:rsidR="005C0CB6">
              <w:rPr>
                <w:rFonts w:ascii="Arial" w:hAnsi="Arial"/>
                <w:lang w:val="fr-CA"/>
              </w:rPr>
              <w:t xml:space="preserve">nouvelle </w:t>
            </w:r>
            <w:r w:rsidR="008F5340" w:rsidRPr="00B40D5F">
              <w:rPr>
                <w:rFonts w:ascii="Arial" w:hAnsi="Arial"/>
                <w:lang w:val="fr-CA"/>
              </w:rPr>
              <w:t xml:space="preserve">date et heure de péremption doit être attachée au contenant du produit. </w:t>
            </w:r>
          </w:p>
          <w:p w:rsidR="00B92E8B" w:rsidRPr="00B40D5F" w:rsidRDefault="00B92E8B">
            <w:pPr>
              <w:rPr>
                <w:rFonts w:ascii="Arial" w:hAnsi="Arial"/>
                <w:lang w:val="fr-CA"/>
              </w:rPr>
            </w:pPr>
          </w:p>
        </w:tc>
      </w:tr>
      <w:tr w:rsidR="00B92E8B" w:rsidRPr="00B40D5F" w:rsidTr="0049678B">
        <w:trPr>
          <w:gridAfter w:val="2"/>
          <w:wAfter w:w="597"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848" w:type="dxa"/>
            <w:gridSpan w:val="4"/>
          </w:tcPr>
          <w:p w:rsidR="00B92E8B" w:rsidRPr="00B40D5F" w:rsidRDefault="00B92E8B">
            <w:pPr>
              <w:pStyle w:val="Heading3"/>
              <w:numPr>
                <w:ilvl w:val="0"/>
                <w:numId w:val="0"/>
              </w:numPr>
              <w:rPr>
                <w:rFonts w:ascii="Arial" w:hAnsi="Arial"/>
                <w:lang w:val="fr-CA"/>
              </w:rPr>
            </w:pPr>
            <w:r w:rsidRPr="00B40D5F">
              <w:rPr>
                <w:rFonts w:ascii="Arial" w:hAnsi="Arial"/>
                <w:lang w:val="fr-CA"/>
              </w:rPr>
              <w:t>6.2.1</w:t>
            </w:r>
          </w:p>
        </w:tc>
        <w:tc>
          <w:tcPr>
            <w:tcW w:w="6592" w:type="dxa"/>
            <w:gridSpan w:val="5"/>
          </w:tcPr>
          <w:p w:rsidR="00B92E8B" w:rsidRPr="00B40D5F" w:rsidRDefault="008F5340" w:rsidP="00CD6196">
            <w:pPr>
              <w:rPr>
                <w:rFonts w:ascii="Arial" w:hAnsi="Arial"/>
                <w:lang w:val="fr-CA"/>
              </w:rPr>
            </w:pPr>
            <w:r w:rsidRPr="00B40D5F">
              <w:rPr>
                <w:rFonts w:ascii="Arial" w:hAnsi="Arial"/>
                <w:lang w:val="fr-CA"/>
              </w:rPr>
              <w:t xml:space="preserve">Si le produit ne comporte aucune étiquette de péremption, déterminer s’il fallait en poser une en vérifiant </w:t>
            </w:r>
            <w:r w:rsidR="003A4205">
              <w:rPr>
                <w:rFonts w:ascii="Arial" w:hAnsi="Arial"/>
                <w:lang w:val="fr-CA"/>
              </w:rPr>
              <w:t>auprès du</w:t>
            </w:r>
            <w:r w:rsidR="006E008B" w:rsidRPr="00B40D5F">
              <w:rPr>
                <w:rFonts w:ascii="Arial" w:hAnsi="Arial"/>
                <w:lang w:val="fr-CA"/>
              </w:rPr>
              <w:t xml:space="preserve"> </w:t>
            </w:r>
            <w:r w:rsidR="00B92E8B" w:rsidRPr="00B40D5F">
              <w:rPr>
                <w:rFonts w:ascii="Arial" w:hAnsi="Arial"/>
                <w:lang w:val="fr-CA"/>
              </w:rPr>
              <w:t>technolog</w:t>
            </w:r>
            <w:r w:rsidRPr="00B40D5F">
              <w:rPr>
                <w:rFonts w:ascii="Arial" w:hAnsi="Arial"/>
                <w:lang w:val="fr-CA"/>
              </w:rPr>
              <w:t xml:space="preserve">ue qui a </w:t>
            </w:r>
            <w:r w:rsidR="006E008B" w:rsidRPr="00B40D5F">
              <w:rPr>
                <w:rFonts w:ascii="Arial" w:hAnsi="Arial"/>
                <w:lang w:val="fr-CA"/>
              </w:rPr>
              <w:t>prépar</w:t>
            </w:r>
            <w:r w:rsidR="006E008B">
              <w:rPr>
                <w:rFonts w:ascii="Arial" w:hAnsi="Arial"/>
                <w:lang w:val="fr-CA"/>
              </w:rPr>
              <w:t>é</w:t>
            </w:r>
            <w:r w:rsidR="006E008B" w:rsidRPr="00B40D5F">
              <w:rPr>
                <w:rFonts w:ascii="Arial" w:hAnsi="Arial"/>
                <w:lang w:val="fr-CA"/>
              </w:rPr>
              <w:t xml:space="preserve"> </w:t>
            </w:r>
            <w:r w:rsidRPr="00B40D5F">
              <w:rPr>
                <w:rFonts w:ascii="Arial" w:hAnsi="Arial"/>
                <w:lang w:val="fr-CA"/>
              </w:rPr>
              <w:t>le composant</w:t>
            </w:r>
            <w:r w:rsidR="00B92E8B" w:rsidRPr="00B40D5F">
              <w:rPr>
                <w:rFonts w:ascii="Arial" w:hAnsi="Arial"/>
                <w:lang w:val="fr-CA"/>
              </w:rPr>
              <w:t xml:space="preserve">. </w:t>
            </w:r>
            <w:r w:rsidR="00CD6196" w:rsidRPr="00B40D5F">
              <w:rPr>
                <w:rFonts w:ascii="Arial" w:hAnsi="Arial"/>
                <w:lang w:val="fr-CA"/>
              </w:rPr>
              <w:t xml:space="preserve">Voir la </w:t>
            </w:r>
            <w:r w:rsidR="00BE7B05">
              <w:rPr>
                <w:rFonts w:ascii="Arial" w:hAnsi="Arial"/>
                <w:lang w:val="fr-CA"/>
              </w:rPr>
              <w:t>Remarque </w:t>
            </w:r>
            <w:r w:rsidR="00CD6196" w:rsidRPr="00B40D5F">
              <w:rPr>
                <w:rFonts w:ascii="Arial" w:hAnsi="Arial"/>
                <w:lang w:val="fr-CA"/>
              </w:rPr>
              <w:t>8.2.</w:t>
            </w:r>
          </w:p>
          <w:p w:rsidR="00B92E8B" w:rsidRPr="00B40D5F" w:rsidRDefault="00B92E8B">
            <w:pPr>
              <w:rPr>
                <w:rFonts w:ascii="Arial" w:hAnsi="Arial"/>
                <w:lang w:val="fr-CA"/>
              </w:rPr>
            </w:pPr>
          </w:p>
        </w:tc>
      </w:tr>
      <w:tr w:rsidR="00B92E8B" w:rsidRPr="00B40D5F" w:rsidTr="0049678B">
        <w:trPr>
          <w:gridAfter w:val="2"/>
          <w:wAfter w:w="597"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pStyle w:val="Heading2"/>
              <w:numPr>
                <w:ilvl w:val="0"/>
                <w:numId w:val="0"/>
              </w:numPr>
              <w:rPr>
                <w:rFonts w:ascii="Arial" w:hAnsi="Arial"/>
                <w:lang w:val="fr-CA"/>
              </w:rPr>
            </w:pPr>
            <w:r w:rsidRPr="00B40D5F">
              <w:rPr>
                <w:rFonts w:ascii="Arial" w:hAnsi="Arial"/>
                <w:lang w:val="fr-CA"/>
              </w:rPr>
              <w:t>6.3</w:t>
            </w:r>
          </w:p>
        </w:tc>
        <w:tc>
          <w:tcPr>
            <w:tcW w:w="7440" w:type="dxa"/>
            <w:gridSpan w:val="9"/>
          </w:tcPr>
          <w:p w:rsidR="00B92E8B" w:rsidRPr="00B40D5F" w:rsidRDefault="00B92E8B">
            <w:pPr>
              <w:rPr>
                <w:rFonts w:ascii="Arial" w:hAnsi="Arial"/>
                <w:lang w:val="fr-CA"/>
              </w:rPr>
            </w:pPr>
            <w:r w:rsidRPr="00B40D5F">
              <w:rPr>
                <w:rFonts w:ascii="Arial" w:hAnsi="Arial"/>
                <w:lang w:val="fr-CA"/>
              </w:rPr>
              <w:t>Faire une inspection visuelle du composant sanguin.</w:t>
            </w:r>
          </w:p>
          <w:p w:rsidR="00B92E8B" w:rsidRPr="00276FEE" w:rsidRDefault="00B92E8B">
            <w:pPr>
              <w:rPr>
                <w:rFonts w:ascii="Arial" w:hAnsi="Arial"/>
                <w:b/>
                <w:lang w:val="fr-CA"/>
              </w:rPr>
            </w:pPr>
            <w:r w:rsidRPr="00E35E73">
              <w:rPr>
                <w:rFonts w:ascii="Arial" w:hAnsi="Arial"/>
                <w:lang w:val="fr-CA"/>
              </w:rPr>
              <w:t xml:space="preserve">Voir Figure 1, page </w:t>
            </w:r>
            <w:r w:rsidR="00E35E73" w:rsidRPr="003A4205">
              <w:rPr>
                <w:rFonts w:ascii="Arial" w:hAnsi="Arial"/>
                <w:lang w:val="fr-CA"/>
              </w:rPr>
              <w:t>9</w:t>
            </w:r>
            <w:r w:rsidRPr="003A4205">
              <w:rPr>
                <w:rFonts w:ascii="Arial" w:hAnsi="Arial"/>
                <w:b/>
                <w:lang w:val="fr-CA"/>
              </w:rPr>
              <w:t>.</w:t>
            </w:r>
          </w:p>
          <w:p w:rsidR="00B92E8B" w:rsidRPr="00B40D5F" w:rsidRDefault="00B92E8B">
            <w:pPr>
              <w:rPr>
                <w:rFonts w:ascii="Arial" w:hAnsi="Arial"/>
                <w:b/>
                <w:lang w:val="fr-CA"/>
              </w:rPr>
            </w:pP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pStyle w:val="Heading3"/>
              <w:numPr>
                <w:ilvl w:val="0"/>
                <w:numId w:val="0"/>
              </w:numPr>
              <w:rPr>
                <w:rFonts w:ascii="Arial" w:hAnsi="Arial"/>
                <w:lang w:val="fr-CA"/>
              </w:rPr>
            </w:pPr>
            <w:r w:rsidRPr="00B40D5F">
              <w:rPr>
                <w:rFonts w:ascii="Arial" w:hAnsi="Arial"/>
                <w:lang w:val="fr-CA"/>
              </w:rPr>
              <w:t>6.3.1</w:t>
            </w:r>
          </w:p>
        </w:tc>
        <w:tc>
          <w:tcPr>
            <w:tcW w:w="6482" w:type="dxa"/>
            <w:gridSpan w:val="4"/>
          </w:tcPr>
          <w:p w:rsidR="00B92E8B" w:rsidRPr="00B40D5F" w:rsidRDefault="005C0CB6">
            <w:pPr>
              <w:rPr>
                <w:rFonts w:ascii="Arial" w:hAnsi="Arial"/>
                <w:lang w:val="fr-CA"/>
              </w:rPr>
            </w:pPr>
            <w:r>
              <w:rPr>
                <w:rFonts w:ascii="Arial" w:hAnsi="Arial"/>
                <w:lang w:val="fr-CA"/>
              </w:rPr>
              <w:t>G</w:t>
            </w:r>
            <w:r w:rsidR="008F5340" w:rsidRPr="005B0469">
              <w:rPr>
                <w:rFonts w:ascii="Arial" w:hAnsi="Arial"/>
                <w:lang w:val="fr-CA"/>
              </w:rPr>
              <w:t xml:space="preserve">lobules </w:t>
            </w:r>
            <w:r w:rsidR="00156CD0" w:rsidRPr="005B0469">
              <w:rPr>
                <w:rFonts w:ascii="Arial" w:hAnsi="Arial"/>
                <w:lang w:val="fr-CA"/>
              </w:rPr>
              <w:t>rouges</w:t>
            </w:r>
            <w:r w:rsidR="00156CD0">
              <w:rPr>
                <w:rFonts w:ascii="Arial" w:hAnsi="Arial"/>
                <w:b/>
                <w:lang w:val="fr-CA"/>
              </w:rPr>
              <w:t> </w:t>
            </w:r>
            <w:r w:rsidR="00B92E8B" w:rsidRPr="00B40D5F">
              <w:rPr>
                <w:rFonts w:ascii="Arial" w:hAnsi="Arial"/>
                <w:b/>
                <w:lang w:val="fr-CA"/>
              </w:rPr>
              <w:t>:</w:t>
            </w:r>
            <w:r w:rsidR="00B92E8B" w:rsidRPr="00B40D5F">
              <w:rPr>
                <w:rFonts w:ascii="Arial" w:hAnsi="Arial"/>
                <w:lang w:val="fr-CA"/>
              </w:rPr>
              <w:t xml:space="preserve"> </w:t>
            </w:r>
          </w:p>
          <w:p w:rsidR="00B92E8B" w:rsidRPr="00B40D5F" w:rsidRDefault="00B92E8B">
            <w:pPr>
              <w:rPr>
                <w:rFonts w:ascii="Arial" w:hAnsi="Arial"/>
                <w:lang w:val="fr-CA"/>
              </w:rPr>
            </w:pPr>
            <w:r w:rsidRPr="00B40D5F">
              <w:rPr>
                <w:rFonts w:ascii="Arial" w:hAnsi="Arial"/>
                <w:lang w:val="fr-CA"/>
              </w:rPr>
              <w:t>Inspect</w:t>
            </w:r>
            <w:r w:rsidR="008F5340" w:rsidRPr="00B40D5F">
              <w:rPr>
                <w:rFonts w:ascii="Arial" w:hAnsi="Arial"/>
                <w:lang w:val="fr-CA"/>
              </w:rPr>
              <w:t>er l’unité à la recherche des anomalies suivantes :</w:t>
            </w:r>
            <w:r w:rsidR="00B637AF" w:rsidRPr="00B40D5F">
              <w:rPr>
                <w:rFonts w:ascii="Arial" w:hAnsi="Arial"/>
                <w:lang w:val="fr-CA"/>
              </w:rPr>
              <w:t xml:space="preserve"> </w:t>
            </w:r>
          </w:p>
          <w:p w:rsidR="00B92E8B" w:rsidRPr="00B40D5F" w:rsidRDefault="00B92E8B">
            <w:pPr>
              <w:rPr>
                <w:rFonts w:ascii="Arial" w:hAnsi="Arial"/>
                <w:lang w:val="fr-CA"/>
              </w:rPr>
            </w:pP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pStyle w:val="Heading4"/>
              <w:numPr>
                <w:ilvl w:val="0"/>
                <w:numId w:val="0"/>
              </w:numPr>
              <w:rPr>
                <w:rFonts w:ascii="Arial" w:hAnsi="Arial"/>
                <w:lang w:val="fr-CA"/>
              </w:rPr>
            </w:pPr>
            <w:r w:rsidRPr="00B40D5F">
              <w:rPr>
                <w:rFonts w:ascii="Arial" w:hAnsi="Arial"/>
                <w:lang w:val="fr-CA"/>
              </w:rPr>
              <w:t>6.3.1.1</w:t>
            </w:r>
          </w:p>
        </w:tc>
        <w:tc>
          <w:tcPr>
            <w:tcW w:w="5312" w:type="dxa"/>
            <w:gridSpan w:val="2"/>
          </w:tcPr>
          <w:p w:rsidR="00B92E8B" w:rsidRPr="00B40D5F" w:rsidRDefault="008F5340">
            <w:pPr>
              <w:rPr>
                <w:rFonts w:ascii="Arial" w:hAnsi="Arial"/>
                <w:lang w:val="fr-CA"/>
              </w:rPr>
            </w:pPr>
            <w:r w:rsidRPr="00B40D5F">
              <w:rPr>
                <w:rFonts w:ascii="Arial" w:hAnsi="Arial"/>
                <w:lang w:val="fr-CA"/>
              </w:rPr>
              <w:t>Le ou les orifices sont ouverts ou les couvercles des orifices ne sont pas intacts. Les couvercles des orifices doivent être intacts et ne contenir ni sang, ni plasma. Les composants qui ont été modifiés doivent avoir au moins un couvercle d’orifice intact</w:t>
            </w:r>
            <w:r w:rsidR="00B92E8B" w:rsidRPr="00B40D5F">
              <w:rPr>
                <w:rFonts w:ascii="Arial" w:hAnsi="Arial"/>
                <w:lang w:val="fr-CA"/>
              </w:rPr>
              <w:t xml:space="preserve">. </w:t>
            </w:r>
          </w:p>
          <w:p w:rsidR="00B92E8B" w:rsidRPr="00B40D5F" w:rsidRDefault="00B92E8B">
            <w:pPr>
              <w:rPr>
                <w:rFonts w:ascii="Arial" w:hAnsi="Arial"/>
                <w:lang w:val="fr-CA"/>
              </w:rPr>
            </w:pP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pStyle w:val="Heading4"/>
              <w:numPr>
                <w:ilvl w:val="0"/>
                <w:numId w:val="0"/>
              </w:numPr>
              <w:rPr>
                <w:rFonts w:ascii="Arial" w:hAnsi="Arial"/>
                <w:lang w:val="fr-CA"/>
              </w:rPr>
            </w:pPr>
            <w:r w:rsidRPr="00B40D5F">
              <w:rPr>
                <w:rFonts w:ascii="Arial" w:hAnsi="Arial"/>
                <w:lang w:val="fr-CA"/>
              </w:rPr>
              <w:t>6.3.1.2</w:t>
            </w:r>
          </w:p>
        </w:tc>
        <w:tc>
          <w:tcPr>
            <w:tcW w:w="5312" w:type="dxa"/>
            <w:gridSpan w:val="2"/>
          </w:tcPr>
          <w:p w:rsidR="00B92E8B" w:rsidRPr="00B40D5F" w:rsidRDefault="005C0CB6">
            <w:pPr>
              <w:rPr>
                <w:rFonts w:ascii="Arial" w:hAnsi="Arial"/>
                <w:lang w:val="fr-CA"/>
              </w:rPr>
            </w:pPr>
            <w:r>
              <w:rPr>
                <w:rFonts w:ascii="Arial" w:hAnsi="Arial"/>
                <w:lang w:val="fr-CA"/>
              </w:rPr>
              <w:t>Inspecter</w:t>
            </w:r>
            <w:r w:rsidR="00CC307E" w:rsidRPr="00B40D5F">
              <w:rPr>
                <w:rFonts w:ascii="Arial" w:hAnsi="Arial"/>
                <w:lang w:val="fr-CA"/>
              </w:rPr>
              <w:t xml:space="preserve"> la masse de globules rouges à la recherche de tout</w:t>
            </w:r>
            <w:r>
              <w:rPr>
                <w:rFonts w:ascii="Arial" w:hAnsi="Arial"/>
                <w:lang w:val="fr-CA"/>
              </w:rPr>
              <w:t xml:space="preserve"> changement de couleur par rapport au segment(s). La couleur devrait être semblable.</w:t>
            </w:r>
          </w:p>
          <w:p w:rsidR="00B92E8B" w:rsidRPr="00B40D5F" w:rsidRDefault="00B92E8B">
            <w:pPr>
              <w:rPr>
                <w:rFonts w:ascii="Arial" w:hAnsi="Arial"/>
                <w:lang w:val="fr-CA"/>
              </w:rPr>
            </w:pP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rPr>
                <w:rFonts w:ascii="Arial" w:hAnsi="Arial"/>
                <w:lang w:val="fr-CA"/>
              </w:rPr>
            </w:pPr>
          </w:p>
        </w:tc>
        <w:tc>
          <w:tcPr>
            <w:tcW w:w="5312" w:type="dxa"/>
            <w:gridSpan w:val="2"/>
          </w:tcPr>
          <w:p w:rsidR="00B92E8B" w:rsidRDefault="00B92E8B" w:rsidP="0049678B">
            <w:pPr>
              <w:numPr>
                <w:ilvl w:val="0"/>
                <w:numId w:val="9"/>
              </w:numPr>
              <w:spacing w:line="228" w:lineRule="auto"/>
              <w:rPr>
                <w:rFonts w:ascii="Arial" w:hAnsi="Arial"/>
                <w:lang w:val="fr-CA"/>
              </w:rPr>
            </w:pPr>
            <w:r w:rsidRPr="0049678B">
              <w:rPr>
                <w:rFonts w:ascii="Arial" w:hAnsi="Arial"/>
                <w:lang w:val="fr-CA"/>
              </w:rPr>
              <w:t>Si la masse de globules rouges semble noire ou violette, soupçonner une hémolyse d</w:t>
            </w:r>
            <w:r w:rsidR="004B487F" w:rsidRPr="0049678B">
              <w:rPr>
                <w:rFonts w:ascii="Arial" w:hAnsi="Arial"/>
                <w:lang w:val="fr-CA"/>
              </w:rPr>
              <w:t xml:space="preserve">ans </w:t>
            </w:r>
            <w:r w:rsidRPr="0049678B">
              <w:rPr>
                <w:rFonts w:ascii="Arial" w:hAnsi="Arial"/>
                <w:lang w:val="fr-CA"/>
              </w:rPr>
              <w:t xml:space="preserve">l’unité qui pourrait résulter d’une destruction physique des </w:t>
            </w:r>
            <w:r w:rsidR="00877A94" w:rsidRPr="0049678B">
              <w:rPr>
                <w:rFonts w:ascii="Arial" w:hAnsi="Arial"/>
                <w:lang w:val="fr-CA"/>
              </w:rPr>
              <w:t>globules rouges</w:t>
            </w:r>
            <w:r w:rsidRPr="0049678B">
              <w:rPr>
                <w:rFonts w:ascii="Arial" w:hAnsi="Arial"/>
                <w:lang w:val="fr-CA"/>
              </w:rPr>
              <w:t xml:space="preserve"> ou d’une contamination bactérienne.</w:t>
            </w:r>
          </w:p>
          <w:p w:rsidR="005C0CB6" w:rsidRDefault="005C0CB6" w:rsidP="0049678B">
            <w:pPr>
              <w:numPr>
                <w:ilvl w:val="0"/>
                <w:numId w:val="9"/>
              </w:numPr>
              <w:spacing w:line="228" w:lineRule="auto"/>
              <w:rPr>
                <w:rFonts w:ascii="Arial" w:hAnsi="Arial"/>
                <w:lang w:val="fr-CA"/>
              </w:rPr>
            </w:pPr>
            <w:r>
              <w:rPr>
                <w:rFonts w:ascii="Arial" w:hAnsi="Arial"/>
                <w:lang w:val="fr-CA"/>
              </w:rPr>
              <w:t>Si la masse de globule</w:t>
            </w:r>
            <w:r w:rsidR="003A4205">
              <w:rPr>
                <w:rFonts w:ascii="Arial" w:hAnsi="Arial"/>
                <w:lang w:val="fr-CA"/>
              </w:rPr>
              <w:t>s</w:t>
            </w:r>
            <w:r>
              <w:rPr>
                <w:rFonts w:ascii="Arial" w:hAnsi="Arial"/>
                <w:lang w:val="fr-CA"/>
              </w:rPr>
              <w:t xml:space="preserve"> rouge</w:t>
            </w:r>
            <w:r w:rsidR="003A4205">
              <w:rPr>
                <w:rFonts w:ascii="Arial" w:hAnsi="Arial"/>
                <w:lang w:val="fr-CA"/>
              </w:rPr>
              <w:t>s</w:t>
            </w:r>
            <w:r>
              <w:rPr>
                <w:rFonts w:ascii="Arial" w:hAnsi="Arial"/>
                <w:lang w:val="fr-CA"/>
              </w:rPr>
              <w:t xml:space="preserve"> semble plus pâle ou rouge vif, il pourrait y avoir eu un prélèvement accidentel de sang artériel. Voir la Remarque 8.3</w:t>
            </w:r>
          </w:p>
          <w:p w:rsidR="005C0CB6" w:rsidRPr="00B40D5F" w:rsidRDefault="005C0CB6" w:rsidP="004729EC">
            <w:pPr>
              <w:spacing w:line="228" w:lineRule="auto"/>
              <w:ind w:left="360"/>
              <w:rPr>
                <w:rFonts w:ascii="Arial" w:hAnsi="Arial"/>
                <w:lang w:val="fr-CA"/>
              </w:rPr>
            </w:pP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pStyle w:val="Heading4"/>
              <w:numPr>
                <w:ilvl w:val="0"/>
                <w:numId w:val="0"/>
              </w:numPr>
              <w:rPr>
                <w:rFonts w:ascii="Arial" w:hAnsi="Arial"/>
                <w:lang w:val="fr-CA"/>
              </w:rPr>
            </w:pPr>
            <w:r w:rsidRPr="00B40D5F">
              <w:rPr>
                <w:rFonts w:ascii="Arial" w:hAnsi="Arial"/>
                <w:lang w:val="fr-CA"/>
              </w:rPr>
              <w:t>6.3.1.3</w:t>
            </w:r>
          </w:p>
        </w:tc>
        <w:tc>
          <w:tcPr>
            <w:tcW w:w="5312" w:type="dxa"/>
            <w:gridSpan w:val="2"/>
          </w:tcPr>
          <w:p w:rsidR="00B92E8B" w:rsidRPr="00B40D5F" w:rsidRDefault="00CC307E">
            <w:pPr>
              <w:spacing w:line="228" w:lineRule="auto"/>
              <w:rPr>
                <w:rFonts w:ascii="Arial" w:hAnsi="Arial"/>
                <w:lang w:val="fr-CA"/>
              </w:rPr>
            </w:pPr>
            <w:r w:rsidRPr="00B40D5F">
              <w:rPr>
                <w:rFonts w:ascii="Arial" w:hAnsi="Arial"/>
                <w:lang w:val="fr-CA"/>
              </w:rPr>
              <w:t>Inspecter le plasma ou le surnageant à la recherche de toute décoloration</w:t>
            </w:r>
            <w:r w:rsidR="00B92E8B" w:rsidRPr="00B40D5F">
              <w:rPr>
                <w:rFonts w:ascii="Arial" w:hAnsi="Arial"/>
                <w:lang w:val="fr-CA"/>
              </w:rPr>
              <w:t>.</w:t>
            </w:r>
          </w:p>
          <w:p w:rsidR="00B92E8B" w:rsidRPr="00B40D5F" w:rsidRDefault="00B92E8B">
            <w:pPr>
              <w:spacing w:line="228" w:lineRule="auto"/>
              <w:rPr>
                <w:rFonts w:ascii="Arial" w:hAnsi="Arial"/>
                <w:lang w:val="fr-CA"/>
              </w:rPr>
            </w:pPr>
          </w:p>
        </w:tc>
      </w:tr>
      <w:tr w:rsidR="00B92E8B" w:rsidRPr="00B40D5F" w:rsidTr="0049678B">
        <w:trPr>
          <w:gridAfter w:val="2"/>
          <w:wAfter w:w="597" w:type="dxa"/>
          <w:trHeight w:val="810"/>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rPr>
                <w:rFonts w:ascii="Arial" w:hAnsi="Arial"/>
                <w:lang w:val="fr-CA"/>
              </w:rPr>
            </w:pPr>
          </w:p>
        </w:tc>
        <w:tc>
          <w:tcPr>
            <w:tcW w:w="5312" w:type="dxa"/>
            <w:gridSpan w:val="2"/>
          </w:tcPr>
          <w:p w:rsidR="00B92E8B" w:rsidRPr="00B40D5F" w:rsidRDefault="00CC307E">
            <w:pPr>
              <w:numPr>
                <w:ilvl w:val="0"/>
                <w:numId w:val="9"/>
              </w:numPr>
              <w:spacing w:line="228" w:lineRule="auto"/>
              <w:rPr>
                <w:rFonts w:ascii="Arial" w:hAnsi="Arial"/>
                <w:lang w:val="fr-CA"/>
              </w:rPr>
            </w:pPr>
            <w:r w:rsidRPr="00B40D5F">
              <w:rPr>
                <w:rFonts w:ascii="Arial" w:hAnsi="Arial"/>
                <w:lang w:val="fr-CA"/>
              </w:rPr>
              <w:t xml:space="preserve">Le plasma contaminé par des bactéries peut </w:t>
            </w:r>
            <w:r w:rsidR="006E008B" w:rsidRPr="00B40D5F">
              <w:rPr>
                <w:rFonts w:ascii="Arial" w:hAnsi="Arial"/>
                <w:lang w:val="fr-CA"/>
              </w:rPr>
              <w:t>sembl</w:t>
            </w:r>
            <w:r w:rsidR="006E008B">
              <w:rPr>
                <w:rFonts w:ascii="Arial" w:hAnsi="Arial"/>
                <w:lang w:val="fr-CA"/>
              </w:rPr>
              <w:t>er</w:t>
            </w:r>
            <w:r w:rsidR="006E008B" w:rsidRPr="00B40D5F">
              <w:rPr>
                <w:rFonts w:ascii="Arial" w:hAnsi="Arial"/>
                <w:lang w:val="fr-CA"/>
              </w:rPr>
              <w:t xml:space="preserve"> </w:t>
            </w:r>
            <w:r w:rsidR="002A0051" w:rsidRPr="00B40D5F">
              <w:rPr>
                <w:rFonts w:ascii="Arial" w:hAnsi="Arial"/>
                <w:lang w:val="fr-CA"/>
              </w:rPr>
              <w:t xml:space="preserve">trouble et </w:t>
            </w:r>
            <w:r w:rsidRPr="00B40D5F">
              <w:rPr>
                <w:rFonts w:ascii="Arial" w:hAnsi="Arial"/>
                <w:lang w:val="fr-CA"/>
              </w:rPr>
              <w:t>d’une couleur grisâtre ou sembler violet ou brun.</w:t>
            </w:r>
            <w:r w:rsidR="00B637AF" w:rsidRPr="00B40D5F">
              <w:rPr>
                <w:rFonts w:ascii="Arial" w:hAnsi="Arial"/>
                <w:lang w:val="fr-CA"/>
              </w:rPr>
              <w:t xml:space="preserve"> </w:t>
            </w:r>
          </w:p>
          <w:p w:rsidR="00B92E8B" w:rsidRPr="00B40D5F" w:rsidRDefault="00B92E8B">
            <w:pPr>
              <w:spacing w:line="228" w:lineRule="auto"/>
              <w:rPr>
                <w:rFonts w:ascii="Arial" w:hAnsi="Arial"/>
                <w:lang w:val="fr-CA"/>
              </w:rPr>
            </w:pP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A670F" w:rsidRPr="00B40D5F" w:rsidRDefault="00BA670F">
            <w:pPr>
              <w:rPr>
                <w:rFonts w:ascii="Arial" w:hAnsi="Arial"/>
                <w:lang w:val="fr-CA"/>
              </w:rPr>
            </w:pPr>
          </w:p>
          <w:p w:rsidR="00BA670F" w:rsidRPr="00BA670F" w:rsidRDefault="00BA670F" w:rsidP="00BA670F">
            <w:pPr>
              <w:rPr>
                <w:rFonts w:ascii="Arial" w:hAnsi="Arial"/>
                <w:lang w:val="fr-CA"/>
              </w:rPr>
            </w:pPr>
          </w:p>
          <w:p w:rsidR="00BA670F" w:rsidRPr="00BA670F" w:rsidRDefault="00BA670F" w:rsidP="00BA670F">
            <w:pPr>
              <w:rPr>
                <w:rFonts w:ascii="Arial" w:hAnsi="Arial"/>
                <w:lang w:val="fr-CA"/>
              </w:rPr>
            </w:pPr>
          </w:p>
          <w:p w:rsidR="00BA670F" w:rsidRPr="00BA670F" w:rsidRDefault="00BA670F" w:rsidP="00BA670F">
            <w:pPr>
              <w:rPr>
                <w:rFonts w:ascii="Arial" w:hAnsi="Arial"/>
                <w:lang w:val="fr-CA"/>
              </w:rPr>
            </w:pPr>
          </w:p>
          <w:p w:rsidR="00BA670F" w:rsidRPr="00BA670F" w:rsidRDefault="00BA670F" w:rsidP="00BA670F">
            <w:pPr>
              <w:rPr>
                <w:rFonts w:ascii="Arial" w:hAnsi="Arial"/>
                <w:lang w:val="fr-CA"/>
              </w:rPr>
            </w:pPr>
          </w:p>
          <w:p w:rsidR="00BA670F" w:rsidRPr="00BA670F" w:rsidRDefault="00BA670F" w:rsidP="00BA670F">
            <w:pPr>
              <w:rPr>
                <w:rFonts w:ascii="Arial" w:hAnsi="Arial"/>
                <w:lang w:val="fr-CA"/>
              </w:rPr>
            </w:pPr>
          </w:p>
          <w:p w:rsidR="00BA670F" w:rsidRPr="00BA670F" w:rsidRDefault="00BA670F" w:rsidP="00BA670F">
            <w:pPr>
              <w:rPr>
                <w:rFonts w:ascii="Arial" w:hAnsi="Arial"/>
                <w:lang w:val="fr-CA"/>
              </w:rPr>
            </w:pPr>
          </w:p>
          <w:p w:rsidR="00BA670F" w:rsidRPr="00BA670F" w:rsidRDefault="00BA670F" w:rsidP="00BA670F">
            <w:pPr>
              <w:rPr>
                <w:rFonts w:ascii="Arial" w:hAnsi="Arial"/>
                <w:lang w:val="fr-CA"/>
              </w:rPr>
            </w:pPr>
          </w:p>
          <w:p w:rsidR="00BA670F" w:rsidRPr="00BA670F" w:rsidRDefault="00BA670F" w:rsidP="00BA670F">
            <w:pPr>
              <w:rPr>
                <w:rFonts w:ascii="Arial" w:hAnsi="Arial"/>
                <w:lang w:val="fr-CA"/>
              </w:rPr>
            </w:pPr>
          </w:p>
          <w:p w:rsidR="00B92E8B" w:rsidRPr="00BA670F" w:rsidRDefault="00B92E8B" w:rsidP="00BA670F">
            <w:pPr>
              <w:rPr>
                <w:rFonts w:ascii="Arial" w:hAnsi="Arial"/>
                <w:lang w:val="fr-CA"/>
              </w:rPr>
            </w:pPr>
          </w:p>
        </w:tc>
        <w:tc>
          <w:tcPr>
            <w:tcW w:w="5312" w:type="dxa"/>
            <w:gridSpan w:val="2"/>
          </w:tcPr>
          <w:p w:rsidR="00B92E8B" w:rsidRPr="00B40D5F" w:rsidRDefault="00CC307E">
            <w:pPr>
              <w:numPr>
                <w:ilvl w:val="0"/>
                <w:numId w:val="11"/>
              </w:numPr>
              <w:spacing w:line="228" w:lineRule="auto"/>
              <w:rPr>
                <w:rFonts w:ascii="Arial" w:hAnsi="Arial"/>
                <w:lang w:val="fr-CA"/>
              </w:rPr>
            </w:pPr>
            <w:r w:rsidRPr="00B40D5F">
              <w:rPr>
                <w:rFonts w:ascii="Arial" w:hAnsi="Arial"/>
                <w:lang w:val="fr-CA"/>
              </w:rPr>
              <w:t>Une vive couleur rouge peut être un indice d’une hémolyse importante des globules rouges.</w:t>
            </w:r>
          </w:p>
          <w:p w:rsidR="00B92E8B" w:rsidRPr="00B40D5F" w:rsidRDefault="00B92E8B">
            <w:pPr>
              <w:pStyle w:val="Header"/>
              <w:tabs>
                <w:tab w:val="clear" w:pos="4320"/>
                <w:tab w:val="clear" w:pos="8640"/>
              </w:tabs>
              <w:spacing w:line="228" w:lineRule="auto"/>
              <w:rPr>
                <w:rFonts w:ascii="Arial" w:hAnsi="Arial"/>
                <w:lang w:val="fr-CA"/>
              </w:rPr>
            </w:pPr>
          </w:p>
          <w:p w:rsidR="00B92E8B" w:rsidRPr="00B40D5F" w:rsidRDefault="00B92E8B">
            <w:pPr>
              <w:numPr>
                <w:ilvl w:val="0"/>
                <w:numId w:val="11"/>
              </w:numPr>
              <w:spacing w:line="228" w:lineRule="auto"/>
              <w:ind w:left="1080"/>
              <w:rPr>
                <w:rFonts w:ascii="Arial" w:hAnsi="Arial"/>
                <w:lang w:val="fr-CA"/>
              </w:rPr>
            </w:pPr>
            <w:r w:rsidRPr="00B40D5F">
              <w:rPr>
                <w:rFonts w:ascii="Arial" w:hAnsi="Arial"/>
                <w:lang w:val="fr-CA"/>
              </w:rPr>
              <w:t>Centrifuge</w:t>
            </w:r>
            <w:r w:rsidR="00CC307E" w:rsidRPr="00B40D5F">
              <w:rPr>
                <w:rFonts w:ascii="Arial" w:hAnsi="Arial"/>
                <w:lang w:val="fr-CA"/>
              </w:rPr>
              <w:t>r l’unité ou la laisser</w:t>
            </w:r>
            <w:r w:rsidRPr="00B40D5F">
              <w:rPr>
                <w:rFonts w:ascii="Arial" w:hAnsi="Arial"/>
                <w:lang w:val="fr-CA"/>
              </w:rPr>
              <w:t xml:space="preserve"> </w:t>
            </w:r>
            <w:r w:rsidR="00BA670F">
              <w:rPr>
                <w:rFonts w:ascii="Arial" w:hAnsi="Arial"/>
                <w:lang w:val="fr-CA"/>
              </w:rPr>
              <w:t>reposer</w:t>
            </w:r>
            <w:r w:rsidR="00BA670F" w:rsidRPr="00B40D5F">
              <w:rPr>
                <w:rFonts w:ascii="Arial" w:hAnsi="Arial"/>
                <w:lang w:val="fr-CA"/>
              </w:rPr>
              <w:t xml:space="preserve"> </w:t>
            </w:r>
            <w:r w:rsidR="00813D33">
              <w:rPr>
                <w:rFonts w:ascii="Arial" w:hAnsi="Arial"/>
                <w:lang w:val="fr-CA"/>
              </w:rPr>
              <w:t xml:space="preserve">(sédimenter) </w:t>
            </w:r>
            <w:r w:rsidR="00CC307E" w:rsidRPr="00B40D5F">
              <w:rPr>
                <w:rFonts w:ascii="Arial" w:hAnsi="Arial"/>
                <w:lang w:val="fr-CA"/>
              </w:rPr>
              <w:t xml:space="preserve">et observer attentivement le </w:t>
            </w:r>
            <w:r w:rsidRPr="00B40D5F">
              <w:rPr>
                <w:rFonts w:ascii="Arial" w:hAnsi="Arial"/>
                <w:lang w:val="fr-CA"/>
              </w:rPr>
              <w:t>plasma (id</w:t>
            </w:r>
            <w:r w:rsidR="00CC307E" w:rsidRPr="00B40D5F">
              <w:rPr>
                <w:rFonts w:ascii="Arial" w:hAnsi="Arial"/>
                <w:lang w:val="fr-CA"/>
              </w:rPr>
              <w:t>éalement en le comparant à d’autres unités</w:t>
            </w:r>
            <w:r w:rsidRPr="00B40D5F">
              <w:rPr>
                <w:rFonts w:ascii="Arial" w:hAnsi="Arial"/>
                <w:lang w:val="fr-CA"/>
              </w:rPr>
              <w:t xml:space="preserve">). </w:t>
            </w:r>
            <w:r w:rsidR="00CC307E" w:rsidRPr="00B40D5F">
              <w:rPr>
                <w:rFonts w:ascii="Arial" w:hAnsi="Arial"/>
                <w:lang w:val="fr-CA"/>
              </w:rPr>
              <w:t>Les épreuves facultatives peuvent comprendre un taux d’hémoglobine plasmatique.</w:t>
            </w:r>
          </w:p>
          <w:p w:rsidR="00B92E8B" w:rsidRPr="00B40D5F" w:rsidRDefault="00B92E8B">
            <w:pPr>
              <w:ind w:left="720"/>
              <w:rPr>
                <w:rFonts w:ascii="Arial" w:hAnsi="Arial"/>
                <w:lang w:val="fr-CA"/>
              </w:rPr>
            </w:pP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pStyle w:val="Heading4"/>
              <w:numPr>
                <w:ilvl w:val="0"/>
                <w:numId w:val="0"/>
              </w:numPr>
              <w:rPr>
                <w:rFonts w:ascii="Arial" w:hAnsi="Arial"/>
                <w:lang w:val="fr-CA"/>
              </w:rPr>
            </w:pPr>
            <w:r w:rsidRPr="00B40D5F">
              <w:rPr>
                <w:rFonts w:ascii="Arial" w:hAnsi="Arial"/>
                <w:lang w:val="fr-CA"/>
              </w:rPr>
              <w:t>6.3.1.4</w:t>
            </w:r>
          </w:p>
        </w:tc>
        <w:tc>
          <w:tcPr>
            <w:tcW w:w="5312" w:type="dxa"/>
            <w:gridSpan w:val="2"/>
          </w:tcPr>
          <w:p w:rsidR="00B92E8B" w:rsidRPr="00B40D5F" w:rsidRDefault="00CC307E">
            <w:pPr>
              <w:rPr>
                <w:rFonts w:ascii="Arial" w:hAnsi="Arial"/>
                <w:lang w:val="fr-CA"/>
              </w:rPr>
            </w:pPr>
            <w:r w:rsidRPr="00B40D5F">
              <w:rPr>
                <w:rFonts w:ascii="Arial" w:hAnsi="Arial"/>
                <w:lang w:val="fr-CA"/>
              </w:rPr>
              <w:t xml:space="preserve">Noter la taille de l’unité </w:t>
            </w:r>
            <w:r w:rsidR="00B92E8B" w:rsidRPr="00B40D5F">
              <w:rPr>
                <w:rFonts w:ascii="Arial" w:hAnsi="Arial"/>
                <w:lang w:val="fr-CA"/>
              </w:rPr>
              <w:t>(</w:t>
            </w:r>
            <w:r w:rsidRPr="00B40D5F">
              <w:rPr>
                <w:rFonts w:ascii="Arial" w:hAnsi="Arial"/>
                <w:lang w:val="fr-CA"/>
              </w:rPr>
              <w:t>poids</w:t>
            </w:r>
            <w:r w:rsidR="00B92E8B" w:rsidRPr="00B40D5F">
              <w:rPr>
                <w:rFonts w:ascii="Arial" w:hAnsi="Arial"/>
                <w:lang w:val="fr-CA"/>
              </w:rPr>
              <w:t xml:space="preserve">) </w:t>
            </w:r>
            <w:r w:rsidR="005C0CB6">
              <w:rPr>
                <w:rFonts w:ascii="Arial" w:hAnsi="Arial"/>
                <w:lang w:val="fr-CA"/>
              </w:rPr>
              <w:t xml:space="preserve">et la présence SAGM (solution </w:t>
            </w:r>
            <w:r w:rsidR="00B92E8B" w:rsidRPr="00B40D5F">
              <w:rPr>
                <w:rFonts w:ascii="Arial" w:hAnsi="Arial"/>
                <w:lang w:val="fr-CA"/>
              </w:rPr>
              <w:t>nutri</w:t>
            </w:r>
            <w:r w:rsidR="005C0CB6">
              <w:rPr>
                <w:rFonts w:ascii="Arial" w:hAnsi="Arial"/>
                <w:lang w:val="fr-CA"/>
              </w:rPr>
              <w:t>tive</w:t>
            </w:r>
            <w:r w:rsidR="00B92E8B" w:rsidRPr="00B40D5F">
              <w:rPr>
                <w:rFonts w:ascii="Arial" w:hAnsi="Arial"/>
                <w:lang w:val="fr-CA"/>
              </w:rPr>
              <w:t>/anticoagulant</w:t>
            </w:r>
            <w:r w:rsidR="005C0CB6">
              <w:rPr>
                <w:rFonts w:ascii="Arial" w:hAnsi="Arial"/>
                <w:lang w:val="fr-CA"/>
              </w:rPr>
              <w:t>e</w:t>
            </w:r>
            <w:r w:rsidR="00B92E8B" w:rsidRPr="00B40D5F">
              <w:rPr>
                <w:rFonts w:ascii="Arial" w:hAnsi="Arial"/>
                <w:lang w:val="fr-CA"/>
              </w:rPr>
              <w:t>).</w:t>
            </w:r>
          </w:p>
          <w:p w:rsidR="00B92E8B" w:rsidRPr="00B40D5F" w:rsidRDefault="00B92E8B">
            <w:pPr>
              <w:rPr>
                <w:rFonts w:ascii="Arial" w:hAnsi="Arial"/>
                <w:lang w:val="fr-CA"/>
              </w:rPr>
            </w:pPr>
            <w:r w:rsidRPr="00B40D5F">
              <w:rPr>
                <w:rFonts w:ascii="Arial" w:hAnsi="Arial"/>
                <w:lang w:val="fr-CA"/>
              </w:rPr>
              <w:t xml:space="preserve"> </w:t>
            </w: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rPr>
                <w:rFonts w:ascii="Arial" w:hAnsi="Arial"/>
                <w:lang w:val="fr-CA"/>
              </w:rPr>
            </w:pPr>
          </w:p>
        </w:tc>
        <w:tc>
          <w:tcPr>
            <w:tcW w:w="5312" w:type="dxa"/>
            <w:gridSpan w:val="2"/>
          </w:tcPr>
          <w:p w:rsidR="00B92E8B" w:rsidRPr="00B40D5F" w:rsidRDefault="00CC307E" w:rsidP="00CD6196">
            <w:pPr>
              <w:numPr>
                <w:ilvl w:val="0"/>
                <w:numId w:val="13"/>
              </w:numPr>
              <w:rPr>
                <w:rFonts w:ascii="Arial" w:hAnsi="Arial"/>
                <w:lang w:val="fr-CA"/>
              </w:rPr>
            </w:pPr>
            <w:r w:rsidRPr="00B40D5F">
              <w:rPr>
                <w:rFonts w:ascii="Arial" w:hAnsi="Arial"/>
                <w:lang w:val="fr-CA"/>
              </w:rPr>
              <w:t>Si l’unité semble petite et qu’il n’y a pas de surnageant visible sur l’unité de GR</w:t>
            </w:r>
            <w:r w:rsidR="00B92E8B" w:rsidRPr="00B40D5F">
              <w:rPr>
                <w:rFonts w:ascii="Arial" w:hAnsi="Arial"/>
                <w:lang w:val="fr-CA"/>
              </w:rPr>
              <w:t xml:space="preserve">, </w:t>
            </w:r>
            <w:r w:rsidRPr="00B40D5F">
              <w:rPr>
                <w:rFonts w:ascii="Arial" w:hAnsi="Arial"/>
                <w:lang w:val="fr-CA"/>
              </w:rPr>
              <w:t>l</w:t>
            </w:r>
            <w:r w:rsidR="005C0CB6">
              <w:rPr>
                <w:rFonts w:ascii="Arial" w:hAnsi="Arial"/>
                <w:lang w:val="fr-CA"/>
              </w:rPr>
              <w:t xml:space="preserve">a solution </w:t>
            </w:r>
            <w:r w:rsidRPr="00B40D5F">
              <w:rPr>
                <w:rFonts w:ascii="Arial" w:hAnsi="Arial"/>
                <w:lang w:val="fr-CA"/>
              </w:rPr>
              <w:t>pourrait ne pas avoir été ajouté</w:t>
            </w:r>
            <w:r w:rsidR="00B92E8B" w:rsidRPr="00B40D5F">
              <w:rPr>
                <w:rFonts w:ascii="Arial" w:hAnsi="Arial"/>
                <w:lang w:val="fr-CA"/>
              </w:rPr>
              <w:t>.</w:t>
            </w:r>
            <w:r w:rsidR="00B637AF" w:rsidRPr="00B40D5F">
              <w:rPr>
                <w:rFonts w:ascii="Arial" w:hAnsi="Arial"/>
                <w:lang w:val="fr-CA"/>
              </w:rPr>
              <w:t xml:space="preserve"> </w:t>
            </w:r>
          </w:p>
          <w:p w:rsidR="00B92E8B" w:rsidRPr="00B40D5F" w:rsidRDefault="00B92E8B">
            <w:pPr>
              <w:rPr>
                <w:rFonts w:ascii="Arial" w:hAnsi="Arial"/>
                <w:lang w:val="fr-CA"/>
              </w:rPr>
            </w:pPr>
          </w:p>
        </w:tc>
      </w:tr>
      <w:tr w:rsidR="00B92E8B" w:rsidRPr="00B40D5F" w:rsidTr="0049678B">
        <w:trPr>
          <w:gridAfter w:val="2"/>
          <w:wAfter w:w="597" w:type="dxa"/>
          <w:trHeight w:val="414"/>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pStyle w:val="Heading4"/>
              <w:numPr>
                <w:ilvl w:val="0"/>
                <w:numId w:val="0"/>
              </w:numPr>
              <w:rPr>
                <w:rFonts w:ascii="Arial" w:hAnsi="Arial"/>
                <w:lang w:val="fr-CA"/>
              </w:rPr>
            </w:pPr>
            <w:r w:rsidRPr="00B40D5F">
              <w:rPr>
                <w:rFonts w:ascii="Arial" w:hAnsi="Arial"/>
                <w:lang w:val="fr-CA"/>
              </w:rPr>
              <w:t>6.3.1.5</w:t>
            </w:r>
          </w:p>
        </w:tc>
        <w:tc>
          <w:tcPr>
            <w:tcW w:w="5312" w:type="dxa"/>
            <w:gridSpan w:val="2"/>
          </w:tcPr>
          <w:p w:rsidR="00B92E8B" w:rsidRPr="00B40D5F" w:rsidRDefault="00B92E8B">
            <w:pPr>
              <w:rPr>
                <w:rFonts w:ascii="Arial" w:hAnsi="Arial"/>
                <w:lang w:val="fr-CA"/>
              </w:rPr>
            </w:pPr>
            <w:r w:rsidRPr="00B40D5F">
              <w:rPr>
                <w:rFonts w:ascii="Arial" w:hAnsi="Arial"/>
                <w:lang w:val="fr-CA"/>
              </w:rPr>
              <w:t>M</w:t>
            </w:r>
            <w:r w:rsidR="00CC307E" w:rsidRPr="00B40D5F">
              <w:rPr>
                <w:rFonts w:ascii="Arial" w:hAnsi="Arial"/>
                <w:lang w:val="fr-CA"/>
              </w:rPr>
              <w:t>élanger l’unité et rechercher de gros caillots</w:t>
            </w:r>
            <w:r w:rsidRPr="00B40D5F">
              <w:rPr>
                <w:rFonts w:ascii="Arial" w:hAnsi="Arial"/>
                <w:lang w:val="fr-CA"/>
              </w:rPr>
              <w:t>.</w:t>
            </w:r>
          </w:p>
        </w:tc>
      </w:tr>
      <w:tr w:rsidR="00B92E8B" w:rsidRPr="00B40D5F" w:rsidTr="0049678B">
        <w:trPr>
          <w:gridAfter w:val="2"/>
          <w:wAfter w:w="597" w:type="dxa"/>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rPr>
                <w:rFonts w:ascii="Arial" w:hAnsi="Arial"/>
                <w:lang w:val="fr-CA"/>
              </w:rPr>
            </w:pPr>
          </w:p>
        </w:tc>
        <w:tc>
          <w:tcPr>
            <w:tcW w:w="1170" w:type="dxa"/>
            <w:gridSpan w:val="2"/>
          </w:tcPr>
          <w:p w:rsidR="00B92E8B" w:rsidRPr="00B40D5F" w:rsidRDefault="00B92E8B">
            <w:pPr>
              <w:rPr>
                <w:rFonts w:ascii="Arial" w:hAnsi="Arial"/>
                <w:lang w:val="fr-CA"/>
              </w:rPr>
            </w:pPr>
          </w:p>
        </w:tc>
        <w:tc>
          <w:tcPr>
            <w:tcW w:w="5312" w:type="dxa"/>
            <w:gridSpan w:val="2"/>
          </w:tcPr>
          <w:p w:rsidR="00B92E8B" w:rsidRPr="00B40D5F" w:rsidRDefault="00CC307E" w:rsidP="0049678B">
            <w:pPr>
              <w:numPr>
                <w:ilvl w:val="0"/>
                <w:numId w:val="15"/>
              </w:numPr>
              <w:rPr>
                <w:rFonts w:ascii="Arial" w:hAnsi="Arial"/>
                <w:lang w:val="fr-CA"/>
              </w:rPr>
            </w:pPr>
            <w:r w:rsidRPr="00B40D5F">
              <w:rPr>
                <w:rFonts w:ascii="Arial" w:hAnsi="Arial"/>
                <w:lang w:val="fr-CA"/>
              </w:rPr>
              <w:t xml:space="preserve">En présence de gros caillots, </w:t>
            </w:r>
            <w:r w:rsidR="0049678B">
              <w:rPr>
                <w:rFonts w:ascii="Arial" w:hAnsi="Arial"/>
                <w:lang w:val="fr-CA"/>
              </w:rPr>
              <w:t>ne pas transfuser le sang</w:t>
            </w:r>
            <w:r w:rsidR="00224350" w:rsidRPr="00B40D5F">
              <w:rPr>
                <w:rFonts w:ascii="Arial" w:hAnsi="Arial"/>
                <w:lang w:val="fr-CA"/>
              </w:rPr>
              <w:t>.</w:t>
            </w:r>
            <w:r w:rsidR="00E35E73">
              <w:rPr>
                <w:rFonts w:ascii="Arial" w:hAnsi="Arial"/>
                <w:lang w:val="fr-CA"/>
              </w:rPr>
              <w:br/>
            </w:r>
          </w:p>
        </w:tc>
      </w:tr>
      <w:tr w:rsidR="00B92E8B" w:rsidRPr="00B40D5F" w:rsidTr="0049678B">
        <w:trPr>
          <w:gridAfter w:val="2"/>
          <w:wAfter w:w="597"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pStyle w:val="Heading3"/>
              <w:numPr>
                <w:ilvl w:val="0"/>
                <w:numId w:val="0"/>
              </w:numPr>
              <w:rPr>
                <w:rFonts w:ascii="Arial" w:hAnsi="Arial"/>
                <w:lang w:val="fr-CA"/>
              </w:rPr>
            </w:pPr>
            <w:r w:rsidRPr="00B40D5F">
              <w:rPr>
                <w:rFonts w:ascii="Arial" w:hAnsi="Arial"/>
                <w:lang w:val="fr-CA"/>
              </w:rPr>
              <w:t>6.3.2</w:t>
            </w:r>
          </w:p>
        </w:tc>
        <w:tc>
          <w:tcPr>
            <w:tcW w:w="6482" w:type="dxa"/>
            <w:gridSpan w:val="4"/>
          </w:tcPr>
          <w:p w:rsidR="00B92E8B" w:rsidRPr="00B40D5F" w:rsidRDefault="00B92E8B">
            <w:pPr>
              <w:rPr>
                <w:rFonts w:ascii="Arial" w:hAnsi="Arial"/>
                <w:lang w:val="fr-CA"/>
              </w:rPr>
            </w:pPr>
            <w:r w:rsidRPr="00B40D5F">
              <w:rPr>
                <w:rFonts w:ascii="Arial" w:hAnsi="Arial"/>
                <w:lang w:val="fr-CA"/>
              </w:rPr>
              <w:t>Document</w:t>
            </w:r>
            <w:r w:rsidR="0068720C" w:rsidRPr="00B40D5F">
              <w:rPr>
                <w:rFonts w:ascii="Arial" w:hAnsi="Arial"/>
                <w:lang w:val="fr-CA"/>
              </w:rPr>
              <w:t>er les résultats de l’inspection visuelle</w:t>
            </w:r>
            <w:r w:rsidRPr="00B40D5F">
              <w:rPr>
                <w:rFonts w:ascii="Arial" w:hAnsi="Arial"/>
                <w:lang w:val="fr-CA"/>
              </w:rPr>
              <w:t>.</w:t>
            </w:r>
          </w:p>
        </w:tc>
      </w:tr>
      <w:tr w:rsidR="00B92E8B" w:rsidRPr="00B40D5F" w:rsidTr="0049678B">
        <w:trPr>
          <w:gridAfter w:val="2"/>
          <w:wAfter w:w="597" w:type="dxa"/>
          <w:cantSplit/>
        </w:trPr>
        <w:tc>
          <w:tcPr>
            <w:tcW w:w="834" w:type="dxa"/>
          </w:tcPr>
          <w:p w:rsidR="00B92E8B" w:rsidRPr="00B40D5F" w:rsidRDefault="00B92E8B">
            <w:pPr>
              <w:rPr>
                <w:rFonts w:ascii="Arial" w:hAnsi="Arial"/>
                <w:lang w:val="fr-CA"/>
              </w:rPr>
            </w:pPr>
          </w:p>
        </w:tc>
        <w:tc>
          <w:tcPr>
            <w:tcW w:w="834" w:type="dxa"/>
          </w:tcPr>
          <w:p w:rsidR="00B92E8B" w:rsidRPr="00B40D5F" w:rsidRDefault="00B92E8B">
            <w:pPr>
              <w:rPr>
                <w:rFonts w:ascii="Arial" w:hAnsi="Arial"/>
                <w:lang w:val="fr-CA"/>
              </w:rPr>
            </w:pPr>
          </w:p>
        </w:tc>
        <w:tc>
          <w:tcPr>
            <w:tcW w:w="958" w:type="dxa"/>
            <w:gridSpan w:val="5"/>
          </w:tcPr>
          <w:p w:rsidR="00B92E8B" w:rsidRPr="00B40D5F" w:rsidRDefault="00B92E8B">
            <w:pPr>
              <w:pStyle w:val="Heading3"/>
              <w:numPr>
                <w:ilvl w:val="0"/>
                <w:numId w:val="0"/>
              </w:numPr>
              <w:rPr>
                <w:rFonts w:ascii="Arial" w:hAnsi="Arial"/>
                <w:lang w:val="fr-CA"/>
              </w:rPr>
            </w:pPr>
            <w:r w:rsidRPr="00B40D5F">
              <w:rPr>
                <w:rFonts w:ascii="Arial" w:hAnsi="Arial"/>
                <w:lang w:val="fr-CA"/>
              </w:rPr>
              <w:t>6.3.3</w:t>
            </w:r>
          </w:p>
        </w:tc>
        <w:tc>
          <w:tcPr>
            <w:tcW w:w="6482" w:type="dxa"/>
            <w:gridSpan w:val="4"/>
          </w:tcPr>
          <w:p w:rsidR="00B92E8B" w:rsidRDefault="0068720C">
            <w:pPr>
              <w:rPr>
                <w:rFonts w:ascii="Arial" w:hAnsi="Arial"/>
                <w:lang w:val="fr-CA"/>
              </w:rPr>
            </w:pPr>
            <w:r w:rsidRPr="00B40D5F">
              <w:rPr>
                <w:rFonts w:ascii="Arial" w:hAnsi="Arial"/>
                <w:lang w:val="fr-CA"/>
              </w:rPr>
              <w:t xml:space="preserve">Les globules rouges qui respectent les critères de l’inspection visuelle peuvent être mis en </w:t>
            </w:r>
            <w:r w:rsidR="00E35E73">
              <w:rPr>
                <w:rFonts w:ascii="Arial" w:hAnsi="Arial"/>
                <w:lang w:val="fr-CA"/>
              </w:rPr>
              <w:t>stock</w:t>
            </w:r>
            <w:r w:rsidRPr="00B40D5F">
              <w:rPr>
                <w:rFonts w:ascii="Arial" w:hAnsi="Arial"/>
                <w:lang w:val="fr-CA"/>
              </w:rPr>
              <w:t>, envoyés à un autre établissement ou mis en circulation à des fins de transfusion</w:t>
            </w:r>
            <w:r w:rsidR="00B92E8B" w:rsidRPr="00B40D5F">
              <w:rPr>
                <w:rFonts w:ascii="Arial" w:hAnsi="Arial"/>
                <w:lang w:val="fr-CA"/>
              </w:rPr>
              <w:t>.</w:t>
            </w:r>
          </w:p>
          <w:p w:rsidR="00B92E8B" w:rsidRPr="00B40D5F" w:rsidRDefault="00B92E8B">
            <w:pPr>
              <w:rPr>
                <w:rFonts w:ascii="Arial" w:hAnsi="Arial"/>
                <w:lang w:val="fr-CA"/>
              </w:rPr>
            </w:pPr>
          </w:p>
        </w:tc>
      </w:tr>
      <w:tr w:rsidR="00E651CB" w:rsidRPr="00B40D5F" w:rsidTr="0049678B">
        <w:trPr>
          <w:gridAfter w:val="2"/>
          <w:wAfter w:w="597"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Pr>
                <w:rFonts w:ascii="Arial" w:hAnsi="Arial"/>
                <w:lang w:val="fr-CA"/>
              </w:rPr>
              <w:t>6.3.4</w:t>
            </w:r>
          </w:p>
        </w:tc>
        <w:tc>
          <w:tcPr>
            <w:tcW w:w="6482" w:type="dxa"/>
            <w:gridSpan w:val="4"/>
          </w:tcPr>
          <w:p w:rsidR="00E651CB" w:rsidRDefault="00E651CB" w:rsidP="00E651CB">
            <w:pPr>
              <w:rPr>
                <w:rFonts w:ascii="Arial" w:hAnsi="Arial"/>
                <w:lang w:val="fr-CA"/>
              </w:rPr>
            </w:pPr>
            <w:r>
              <w:rPr>
                <w:rFonts w:ascii="Arial" w:hAnsi="Arial"/>
                <w:lang w:val="fr-CA"/>
              </w:rPr>
              <w:t>Si les globules rouges ne respectent pas les critères d’une inspection visuelle acceptable, il faut les mettre en quarantaine. Voir 7.1- Documentation.</w:t>
            </w:r>
          </w:p>
          <w:p w:rsidR="00E651CB" w:rsidRPr="00B40D5F" w:rsidRDefault="00E651CB" w:rsidP="00E651CB">
            <w:pPr>
              <w:spacing w:line="228" w:lineRule="auto"/>
              <w:ind w:left="360"/>
              <w:rPr>
                <w:rFonts w:ascii="Arial" w:hAnsi="Arial"/>
                <w:lang w:val="fr-CA"/>
              </w:rPr>
            </w:pPr>
          </w:p>
        </w:tc>
      </w:tr>
      <w:tr w:rsidR="00E651CB" w:rsidRPr="00B40D5F" w:rsidTr="0049678B">
        <w:trPr>
          <w:gridAfter w:val="2"/>
          <w:wAfter w:w="597"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6.4</w:t>
            </w:r>
          </w:p>
        </w:tc>
        <w:tc>
          <w:tcPr>
            <w:tcW w:w="7440" w:type="dxa"/>
            <w:gridSpan w:val="9"/>
          </w:tcPr>
          <w:p w:rsidR="00E651CB" w:rsidRPr="005B0469" w:rsidRDefault="00E651CB" w:rsidP="00E651CB">
            <w:pPr>
              <w:rPr>
                <w:rFonts w:ascii="Arial" w:hAnsi="Arial"/>
                <w:lang w:val="fr-CA"/>
              </w:rPr>
            </w:pPr>
            <w:r w:rsidRPr="005B0469">
              <w:rPr>
                <w:rFonts w:ascii="Arial" w:hAnsi="Arial"/>
                <w:lang w:val="fr-CA"/>
              </w:rPr>
              <w:t xml:space="preserve">Plaquettes et produits plasmatiques : </w:t>
            </w:r>
          </w:p>
          <w:p w:rsidR="00E651CB" w:rsidRDefault="00E651CB" w:rsidP="00E651CB">
            <w:pPr>
              <w:rPr>
                <w:rFonts w:ascii="Arial" w:hAnsi="Arial"/>
                <w:lang w:val="fr-CA"/>
              </w:rPr>
            </w:pPr>
            <w:r w:rsidRPr="00B40D5F">
              <w:rPr>
                <w:rFonts w:ascii="Arial" w:hAnsi="Arial"/>
                <w:lang w:val="fr-CA"/>
              </w:rPr>
              <w:t xml:space="preserve">Inspecter les unités à la recherche des anomalies suivantes : </w:t>
            </w:r>
          </w:p>
          <w:p w:rsidR="00E651CB" w:rsidRPr="00B40D5F" w:rsidRDefault="00E651CB" w:rsidP="00E651CB">
            <w:pPr>
              <w:rPr>
                <w:rFonts w:ascii="Arial" w:hAnsi="Arial"/>
                <w:lang w:val="fr-CA"/>
              </w:rPr>
            </w:pP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Pr>
                <w:rFonts w:ascii="Arial" w:hAnsi="Arial"/>
                <w:lang w:val="fr-CA"/>
              </w:rPr>
              <w:t>6.4.1</w:t>
            </w:r>
          </w:p>
        </w:tc>
        <w:tc>
          <w:tcPr>
            <w:tcW w:w="6482" w:type="dxa"/>
            <w:gridSpan w:val="4"/>
          </w:tcPr>
          <w:p w:rsidR="00E651CB" w:rsidRPr="00B40D5F" w:rsidRDefault="00E651CB" w:rsidP="00E651CB">
            <w:pPr>
              <w:rPr>
                <w:rFonts w:ascii="Arial" w:hAnsi="Arial"/>
                <w:lang w:val="fr-CA"/>
              </w:rPr>
            </w:pPr>
            <w:r w:rsidRPr="00B40D5F">
              <w:rPr>
                <w:rFonts w:ascii="Arial" w:hAnsi="Arial"/>
                <w:lang w:val="fr-CA"/>
              </w:rPr>
              <w:t>Le ou les orifices sont ouverts ou les couvercles des orifices ne sont pas intacts.</w:t>
            </w:r>
            <w:r>
              <w:rPr>
                <w:rFonts w:ascii="Arial" w:hAnsi="Arial"/>
                <w:lang w:val="fr-CA"/>
              </w:rPr>
              <w:t xml:space="preserve"> Il doit y avoir </w:t>
            </w:r>
            <w:r w:rsidRPr="00B40D5F">
              <w:rPr>
                <w:rFonts w:ascii="Arial" w:hAnsi="Arial"/>
                <w:lang w:val="fr-CA"/>
              </w:rPr>
              <w:t>au moins un couvercle d’orifice intact.</w:t>
            </w:r>
            <w:r>
              <w:rPr>
                <w:rFonts w:ascii="Arial" w:hAnsi="Arial"/>
                <w:lang w:val="fr-CA"/>
              </w:rPr>
              <w:br/>
            </w: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sidRPr="00B40D5F">
              <w:rPr>
                <w:rFonts w:ascii="Arial" w:hAnsi="Arial"/>
                <w:lang w:val="fr-CA"/>
              </w:rPr>
              <w:t>6.4.</w:t>
            </w:r>
            <w:r>
              <w:rPr>
                <w:rFonts w:ascii="Arial" w:hAnsi="Arial"/>
                <w:lang w:val="fr-CA"/>
              </w:rPr>
              <w:t>2</w:t>
            </w:r>
          </w:p>
        </w:tc>
        <w:tc>
          <w:tcPr>
            <w:tcW w:w="6482" w:type="dxa"/>
            <w:gridSpan w:val="4"/>
          </w:tcPr>
          <w:p w:rsidR="00E651CB" w:rsidRPr="00B40D5F" w:rsidRDefault="00E651CB" w:rsidP="00E651CB">
            <w:pPr>
              <w:rPr>
                <w:rFonts w:ascii="Arial" w:hAnsi="Arial"/>
                <w:lang w:val="fr-CA"/>
              </w:rPr>
            </w:pPr>
            <w:r w:rsidRPr="00B40D5F">
              <w:rPr>
                <w:rFonts w:ascii="Arial" w:hAnsi="Arial"/>
                <w:lang w:val="fr-CA"/>
              </w:rPr>
              <w:t>Observer le produit à la recherche d’hémolyse importante ou de contamination des globules rouges.</w:t>
            </w:r>
          </w:p>
          <w:p w:rsidR="00E651CB" w:rsidRPr="00B40D5F" w:rsidRDefault="00E651CB" w:rsidP="00E651CB">
            <w:pPr>
              <w:rPr>
                <w:rFonts w:ascii="Arial" w:hAnsi="Arial"/>
                <w:lang w:val="fr-CA"/>
              </w:rPr>
            </w:pPr>
          </w:p>
        </w:tc>
      </w:tr>
      <w:tr w:rsidR="00E651CB" w:rsidRPr="00B40D5F" w:rsidTr="006429B7">
        <w:trPr>
          <w:gridAfter w:val="2"/>
          <w:wAfter w:w="597" w:type="dxa"/>
          <w:trHeight w:val="1125"/>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rPr>
                <w:rFonts w:ascii="Arial" w:hAnsi="Arial"/>
                <w:lang w:val="fr-CA"/>
              </w:rPr>
            </w:pPr>
          </w:p>
        </w:tc>
        <w:tc>
          <w:tcPr>
            <w:tcW w:w="743" w:type="dxa"/>
          </w:tcPr>
          <w:p w:rsidR="00E651CB" w:rsidRPr="00B40D5F" w:rsidRDefault="00E651CB" w:rsidP="00E651CB">
            <w:pPr>
              <w:pStyle w:val="Heading4"/>
              <w:numPr>
                <w:ilvl w:val="0"/>
                <w:numId w:val="29"/>
              </w:numPr>
              <w:rPr>
                <w:rFonts w:ascii="Arial" w:hAnsi="Arial"/>
                <w:lang w:val="fr-CA"/>
              </w:rPr>
            </w:pPr>
          </w:p>
        </w:tc>
        <w:tc>
          <w:tcPr>
            <w:tcW w:w="5739" w:type="dxa"/>
            <w:gridSpan w:val="3"/>
          </w:tcPr>
          <w:p w:rsidR="00E651CB" w:rsidRPr="00B40D5F" w:rsidRDefault="00E651CB" w:rsidP="00E651CB">
            <w:pPr>
              <w:pStyle w:val="Header"/>
              <w:tabs>
                <w:tab w:val="clear" w:pos="4320"/>
                <w:tab w:val="clear" w:pos="8640"/>
              </w:tabs>
              <w:rPr>
                <w:rFonts w:ascii="Arial" w:hAnsi="Arial"/>
                <w:snapToGrid w:val="0"/>
                <w:lang w:val="fr-CA"/>
              </w:rPr>
            </w:pPr>
            <w:r w:rsidRPr="00B40D5F">
              <w:rPr>
                <w:rFonts w:ascii="Arial" w:hAnsi="Arial"/>
                <w:snapToGrid w:val="0"/>
                <w:lang w:val="fr-CA"/>
              </w:rPr>
              <w:t xml:space="preserve">Si le statut Rh de l’unité n’est pas déterminé, </w:t>
            </w:r>
            <w:r>
              <w:rPr>
                <w:rFonts w:ascii="Arial" w:hAnsi="Arial"/>
                <w:snapToGrid w:val="0"/>
                <w:lang w:val="fr-CA"/>
              </w:rPr>
              <w:t>si l’unité semble être contaminée par des</w:t>
            </w:r>
            <w:r w:rsidRPr="00B40D5F">
              <w:rPr>
                <w:rFonts w:ascii="Arial" w:hAnsi="Arial"/>
                <w:snapToGrid w:val="0"/>
                <w:lang w:val="fr-CA"/>
              </w:rPr>
              <w:t xml:space="preserve"> globules rouges et si l’unité est destinée à un enfant ou à une femme en âge d’avoir des enfants Rh négatif, consulter le directeur médical ou son remplaçant au sujet de la transfusion d’immunoglobuline Rh. Il faut donner des produits plasmatiques Rh négatif à ce genre de patient, si possible. Voir CCP.001 - Choix des composants sanguins à transfuser et CAQ.010 - Protocole de consultation du directeur médical.</w:t>
            </w:r>
          </w:p>
          <w:p w:rsidR="00E651CB" w:rsidRPr="00B40D5F" w:rsidRDefault="00E651CB" w:rsidP="00E651CB">
            <w:pPr>
              <w:pStyle w:val="Header"/>
              <w:tabs>
                <w:tab w:val="clear" w:pos="4320"/>
                <w:tab w:val="clear" w:pos="8640"/>
              </w:tabs>
              <w:rPr>
                <w:rFonts w:ascii="Arial" w:hAnsi="Arial"/>
                <w:snapToGrid w:val="0"/>
                <w:lang w:val="fr-CA"/>
              </w:rPr>
            </w:pPr>
          </w:p>
        </w:tc>
      </w:tr>
      <w:tr w:rsidR="00E651CB" w:rsidRPr="00B40D5F" w:rsidTr="006429B7">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rPr>
                <w:rFonts w:ascii="Arial" w:hAnsi="Arial"/>
                <w:lang w:val="fr-CA"/>
              </w:rPr>
            </w:pPr>
          </w:p>
        </w:tc>
        <w:tc>
          <w:tcPr>
            <w:tcW w:w="743" w:type="dxa"/>
          </w:tcPr>
          <w:p w:rsidR="00E651CB" w:rsidRPr="00B40D5F" w:rsidRDefault="00E651CB" w:rsidP="00E651CB">
            <w:pPr>
              <w:pStyle w:val="Heading4"/>
              <w:numPr>
                <w:ilvl w:val="0"/>
                <w:numId w:val="29"/>
              </w:numPr>
              <w:rPr>
                <w:rFonts w:ascii="Arial" w:hAnsi="Arial"/>
                <w:lang w:val="fr-CA"/>
              </w:rPr>
            </w:pPr>
          </w:p>
        </w:tc>
        <w:tc>
          <w:tcPr>
            <w:tcW w:w="5739" w:type="dxa"/>
            <w:gridSpan w:val="3"/>
          </w:tcPr>
          <w:p w:rsidR="00E651CB" w:rsidRPr="00B40D5F" w:rsidRDefault="00E651CB" w:rsidP="00E651CB">
            <w:pPr>
              <w:rPr>
                <w:rFonts w:ascii="Arial" w:hAnsi="Arial"/>
                <w:lang w:val="fr-CA"/>
              </w:rPr>
            </w:pPr>
            <w:r w:rsidRPr="00B40D5F">
              <w:rPr>
                <w:rFonts w:ascii="Arial" w:hAnsi="Arial"/>
                <w:lang w:val="fr-CA"/>
              </w:rPr>
              <w:t>Inspecter les plaquettes à la recherche d’une quantité excessive d’agrégats</w:t>
            </w:r>
            <w:r>
              <w:rPr>
                <w:rFonts w:ascii="Arial" w:hAnsi="Arial"/>
                <w:lang w:val="fr-CA"/>
              </w:rPr>
              <w:t>.</w:t>
            </w:r>
            <w:r w:rsidRPr="00B40D5F">
              <w:rPr>
                <w:rFonts w:ascii="Arial" w:hAnsi="Arial"/>
                <w:lang w:val="fr-CA"/>
              </w:rPr>
              <w:t xml:space="preserve"> S’il y en a, obtenir l’autorisation du directeur médical ou de son représentant avant de s’en servir. </w:t>
            </w:r>
          </w:p>
          <w:p w:rsidR="00E651CB" w:rsidRPr="00B40D5F" w:rsidRDefault="00E651CB" w:rsidP="00E651CB">
            <w:pPr>
              <w:rPr>
                <w:rFonts w:ascii="Arial" w:hAnsi="Arial"/>
                <w:lang w:val="fr-CA"/>
              </w:rPr>
            </w:pP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sidRPr="00B40D5F">
              <w:rPr>
                <w:rFonts w:ascii="Arial" w:hAnsi="Arial"/>
                <w:lang w:val="fr-CA"/>
              </w:rPr>
              <w:t>6.4.</w:t>
            </w:r>
            <w:r>
              <w:rPr>
                <w:rFonts w:ascii="Arial" w:hAnsi="Arial"/>
                <w:lang w:val="fr-CA"/>
              </w:rPr>
              <w:t>3</w:t>
            </w:r>
          </w:p>
        </w:tc>
        <w:tc>
          <w:tcPr>
            <w:tcW w:w="6482" w:type="dxa"/>
            <w:gridSpan w:val="4"/>
          </w:tcPr>
          <w:p w:rsidR="00E651CB" w:rsidRPr="00B40D5F" w:rsidRDefault="00E651CB" w:rsidP="00E651CB">
            <w:pPr>
              <w:rPr>
                <w:rFonts w:ascii="Arial" w:hAnsi="Arial"/>
                <w:lang w:val="fr-CA"/>
              </w:rPr>
            </w:pPr>
            <w:r w:rsidRPr="00B40D5F">
              <w:rPr>
                <w:rFonts w:ascii="Arial" w:hAnsi="Arial"/>
                <w:lang w:val="fr-CA"/>
              </w:rPr>
              <w:t xml:space="preserve">Inspecter à la recherche de </w:t>
            </w:r>
            <w:r>
              <w:rPr>
                <w:rFonts w:ascii="Arial" w:hAnsi="Arial"/>
                <w:lang w:val="fr-CA"/>
              </w:rPr>
              <w:t>décoloration </w:t>
            </w:r>
            <w:r w:rsidRPr="00B40D5F">
              <w:rPr>
                <w:rFonts w:ascii="Arial" w:hAnsi="Arial"/>
                <w:lang w:val="fr-CA"/>
              </w:rPr>
              <w:t>:</w:t>
            </w:r>
          </w:p>
        </w:tc>
      </w:tr>
      <w:tr w:rsidR="00E651CB" w:rsidRPr="00B40D5F" w:rsidTr="006429B7">
        <w:trPr>
          <w:gridAfter w:val="2"/>
          <w:wAfter w:w="597" w:type="dxa"/>
          <w:trHeight w:val="1153"/>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rPr>
                <w:rFonts w:ascii="Arial" w:hAnsi="Arial"/>
                <w:lang w:val="fr-CA"/>
              </w:rPr>
            </w:pPr>
          </w:p>
        </w:tc>
        <w:tc>
          <w:tcPr>
            <w:tcW w:w="743" w:type="dxa"/>
          </w:tcPr>
          <w:p w:rsidR="00E651CB" w:rsidRPr="00B40D5F" w:rsidRDefault="00E651CB" w:rsidP="00E651CB">
            <w:pPr>
              <w:pStyle w:val="Heading4"/>
              <w:numPr>
                <w:ilvl w:val="0"/>
                <w:numId w:val="29"/>
              </w:numPr>
              <w:rPr>
                <w:rFonts w:ascii="Arial" w:hAnsi="Arial"/>
                <w:lang w:val="fr-CA"/>
              </w:rPr>
            </w:pPr>
          </w:p>
        </w:tc>
        <w:tc>
          <w:tcPr>
            <w:tcW w:w="5739" w:type="dxa"/>
            <w:gridSpan w:val="3"/>
          </w:tcPr>
          <w:p w:rsidR="00E651CB" w:rsidRPr="00B40D5F" w:rsidRDefault="00E651CB" w:rsidP="00E651CB">
            <w:pPr>
              <w:spacing w:line="228" w:lineRule="auto"/>
              <w:rPr>
                <w:rFonts w:ascii="Arial" w:hAnsi="Arial"/>
                <w:lang w:val="fr-CA"/>
              </w:rPr>
            </w:pPr>
            <w:r w:rsidRPr="00B40D5F">
              <w:rPr>
                <w:rFonts w:ascii="Arial" w:hAnsi="Arial"/>
                <w:lang w:val="fr-CA"/>
              </w:rPr>
              <w:t xml:space="preserve">Le plasma contaminé par des bactéries peut </w:t>
            </w:r>
            <w:r>
              <w:rPr>
                <w:rFonts w:ascii="Arial" w:hAnsi="Arial"/>
                <w:lang w:val="fr-CA"/>
              </w:rPr>
              <w:t>sembler</w:t>
            </w:r>
            <w:r w:rsidRPr="00B40D5F">
              <w:rPr>
                <w:rFonts w:ascii="Arial" w:hAnsi="Arial"/>
                <w:lang w:val="fr-CA"/>
              </w:rPr>
              <w:t xml:space="preserve"> trouble et d’une couleur grisâtre ou sembler violet ou brun.</w:t>
            </w:r>
          </w:p>
        </w:tc>
      </w:tr>
      <w:tr w:rsidR="00E651CB" w:rsidRPr="00B40D5F" w:rsidTr="006429B7">
        <w:trPr>
          <w:gridAfter w:val="2"/>
          <w:wAfter w:w="597" w:type="dxa"/>
          <w:trHeight w:val="958"/>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rPr>
                <w:rFonts w:ascii="Arial" w:hAnsi="Arial"/>
                <w:lang w:val="fr-CA"/>
              </w:rPr>
            </w:pPr>
          </w:p>
        </w:tc>
        <w:tc>
          <w:tcPr>
            <w:tcW w:w="743" w:type="dxa"/>
          </w:tcPr>
          <w:p w:rsidR="00E651CB" w:rsidRPr="00B40D5F" w:rsidRDefault="00E651CB" w:rsidP="00E651CB">
            <w:pPr>
              <w:pStyle w:val="Heading4"/>
              <w:numPr>
                <w:ilvl w:val="0"/>
                <w:numId w:val="29"/>
              </w:numPr>
              <w:rPr>
                <w:rFonts w:ascii="Arial" w:hAnsi="Arial"/>
                <w:lang w:val="fr-CA"/>
              </w:rPr>
            </w:pPr>
          </w:p>
        </w:tc>
        <w:tc>
          <w:tcPr>
            <w:tcW w:w="5739" w:type="dxa"/>
            <w:gridSpan w:val="3"/>
          </w:tcPr>
          <w:p w:rsidR="00E651CB" w:rsidRPr="00B40D5F" w:rsidRDefault="00E651CB" w:rsidP="00E651CB">
            <w:pPr>
              <w:rPr>
                <w:rFonts w:ascii="Arial" w:hAnsi="Arial"/>
                <w:lang w:val="fr-CA"/>
              </w:rPr>
            </w:pPr>
            <w:r w:rsidRPr="00B40D5F">
              <w:rPr>
                <w:rFonts w:ascii="Arial" w:hAnsi="Arial"/>
                <w:lang w:val="fr-CA"/>
              </w:rPr>
              <w:t>Un plasma très jaune peut être un indice d’un taux anormal de bilirubine.</w:t>
            </w:r>
          </w:p>
          <w:p w:rsidR="00E651CB" w:rsidRPr="00B40D5F" w:rsidRDefault="00E651CB" w:rsidP="00E651CB">
            <w:pPr>
              <w:rPr>
                <w:rFonts w:ascii="Arial" w:hAnsi="Arial"/>
                <w:lang w:val="fr-CA"/>
              </w:rPr>
            </w:pP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Pr>
                <w:rFonts w:ascii="Arial" w:hAnsi="Arial"/>
                <w:lang w:val="fr-CA"/>
              </w:rPr>
              <w:t>6.4.4</w:t>
            </w:r>
          </w:p>
        </w:tc>
        <w:tc>
          <w:tcPr>
            <w:tcW w:w="6482" w:type="dxa"/>
            <w:gridSpan w:val="4"/>
          </w:tcPr>
          <w:p w:rsidR="00E651CB" w:rsidRPr="00B40D5F" w:rsidRDefault="00E651CB" w:rsidP="00E651CB">
            <w:pPr>
              <w:rPr>
                <w:rFonts w:ascii="Arial" w:hAnsi="Arial"/>
                <w:lang w:val="fr-CA"/>
              </w:rPr>
            </w:pPr>
            <w:r w:rsidRPr="00B40D5F">
              <w:rPr>
                <w:rFonts w:ascii="Arial" w:hAnsi="Arial"/>
                <w:lang w:val="fr-CA"/>
              </w:rPr>
              <w:t>Si le plasma est congelé, inspecter l’unité à la recherche de signes de bris.</w:t>
            </w:r>
          </w:p>
          <w:p w:rsidR="00E651CB" w:rsidRPr="00B40D5F" w:rsidRDefault="00E651CB" w:rsidP="00E651CB">
            <w:pPr>
              <w:rPr>
                <w:rFonts w:ascii="Arial" w:hAnsi="Arial"/>
                <w:lang w:val="fr-CA"/>
              </w:rPr>
            </w:pP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rPr>
                <w:rFonts w:ascii="Arial" w:hAnsi="Arial"/>
                <w:lang w:val="fr-CA"/>
              </w:rPr>
            </w:pPr>
          </w:p>
        </w:tc>
        <w:tc>
          <w:tcPr>
            <w:tcW w:w="6482" w:type="dxa"/>
            <w:gridSpan w:val="4"/>
          </w:tcPr>
          <w:p w:rsidR="00E651CB" w:rsidRPr="00B40D5F" w:rsidRDefault="00E651CB" w:rsidP="00E651CB">
            <w:pPr>
              <w:numPr>
                <w:ilvl w:val="0"/>
                <w:numId w:val="18"/>
              </w:numPr>
              <w:rPr>
                <w:rFonts w:ascii="Arial" w:hAnsi="Arial"/>
                <w:lang w:val="fr-CA"/>
              </w:rPr>
            </w:pPr>
            <w:r w:rsidRPr="00B40D5F">
              <w:rPr>
                <w:rFonts w:ascii="Arial" w:hAnsi="Arial"/>
                <w:lang w:val="fr-CA"/>
              </w:rPr>
              <w:t xml:space="preserve">Si l’unité est brisée, </w:t>
            </w:r>
            <w:r>
              <w:rPr>
                <w:rFonts w:ascii="Arial" w:hAnsi="Arial"/>
                <w:lang w:val="fr-CA"/>
              </w:rPr>
              <w:t>la rejeter</w:t>
            </w:r>
            <w:r w:rsidRPr="00B40D5F">
              <w:rPr>
                <w:rFonts w:ascii="Arial" w:hAnsi="Arial"/>
                <w:lang w:val="fr-CA"/>
              </w:rPr>
              <w:t>. Voir G</w:t>
            </w:r>
            <w:r>
              <w:rPr>
                <w:rFonts w:ascii="Arial" w:hAnsi="Arial"/>
                <w:lang w:val="fr-CA"/>
              </w:rPr>
              <w:t>S</w:t>
            </w:r>
            <w:r w:rsidRPr="00B40D5F">
              <w:rPr>
                <w:rFonts w:ascii="Arial" w:hAnsi="Arial"/>
                <w:lang w:val="fr-CA"/>
              </w:rPr>
              <w:t xml:space="preserve">.005 </w:t>
            </w:r>
            <w:r>
              <w:rPr>
                <w:rFonts w:ascii="Arial" w:hAnsi="Arial"/>
                <w:lang w:val="fr-CA"/>
              </w:rPr>
              <w:t>–</w:t>
            </w:r>
            <w:r w:rsidRPr="00B40D5F">
              <w:rPr>
                <w:rFonts w:ascii="Arial" w:hAnsi="Arial"/>
                <w:lang w:val="fr-CA"/>
              </w:rPr>
              <w:t xml:space="preserve"> </w:t>
            </w:r>
            <w:r>
              <w:rPr>
                <w:rFonts w:ascii="Arial" w:hAnsi="Arial"/>
                <w:lang w:val="fr-CA"/>
              </w:rPr>
              <w:t xml:space="preserve">Élimination </w:t>
            </w:r>
            <w:r w:rsidRPr="00B40D5F">
              <w:rPr>
                <w:rFonts w:ascii="Arial" w:hAnsi="Arial"/>
                <w:lang w:val="fr-CA"/>
              </w:rPr>
              <w:t xml:space="preserve">de composants sanguins et de produits </w:t>
            </w:r>
            <w:r>
              <w:rPr>
                <w:rFonts w:ascii="Arial" w:hAnsi="Arial"/>
                <w:lang w:val="fr-CA"/>
              </w:rPr>
              <w:t xml:space="preserve">plasmatiques </w:t>
            </w:r>
            <w:r w:rsidRPr="00B40D5F">
              <w:rPr>
                <w:rFonts w:ascii="Arial" w:hAnsi="Arial"/>
                <w:lang w:val="fr-CA"/>
              </w:rPr>
              <w:t>qui ne sont pas en état d'être transfusés - procédure manuelle.</w:t>
            </w:r>
          </w:p>
          <w:p w:rsidR="00E651CB" w:rsidRPr="00B40D5F" w:rsidRDefault="00E651CB" w:rsidP="00E651CB">
            <w:pPr>
              <w:rPr>
                <w:rFonts w:ascii="Arial" w:hAnsi="Arial"/>
                <w:lang w:val="fr-CA"/>
              </w:rPr>
            </w:pP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sidRPr="00B40D5F">
              <w:rPr>
                <w:rFonts w:ascii="Arial" w:hAnsi="Arial"/>
                <w:lang w:val="fr-CA"/>
              </w:rPr>
              <w:t>6.4.</w:t>
            </w:r>
            <w:r>
              <w:rPr>
                <w:rFonts w:ascii="Arial" w:hAnsi="Arial"/>
                <w:lang w:val="fr-CA"/>
              </w:rPr>
              <w:t>5</w:t>
            </w:r>
          </w:p>
        </w:tc>
        <w:tc>
          <w:tcPr>
            <w:tcW w:w="6482" w:type="dxa"/>
            <w:gridSpan w:val="4"/>
          </w:tcPr>
          <w:p w:rsidR="00E651CB" w:rsidRPr="00B40D5F" w:rsidRDefault="00E651CB" w:rsidP="00E651CB">
            <w:pPr>
              <w:rPr>
                <w:rFonts w:ascii="Arial" w:hAnsi="Arial"/>
                <w:lang w:val="fr-CA"/>
              </w:rPr>
            </w:pPr>
            <w:r w:rsidRPr="00B40D5F">
              <w:rPr>
                <w:rFonts w:ascii="Arial" w:hAnsi="Arial"/>
                <w:lang w:val="fr-CA"/>
              </w:rPr>
              <w:t>Documenter les résultats de l’inspection visuelle</w:t>
            </w: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sidRPr="00B40D5F">
              <w:rPr>
                <w:rFonts w:ascii="Arial" w:hAnsi="Arial"/>
                <w:lang w:val="fr-CA"/>
              </w:rPr>
              <w:t>6.4.</w:t>
            </w:r>
            <w:r>
              <w:rPr>
                <w:rFonts w:ascii="Arial" w:hAnsi="Arial"/>
                <w:lang w:val="fr-CA"/>
              </w:rPr>
              <w:t>6</w:t>
            </w:r>
          </w:p>
        </w:tc>
        <w:tc>
          <w:tcPr>
            <w:tcW w:w="6482" w:type="dxa"/>
            <w:gridSpan w:val="4"/>
          </w:tcPr>
          <w:p w:rsidR="00E651CB" w:rsidRPr="00B40D5F" w:rsidRDefault="00E651CB" w:rsidP="00E651CB">
            <w:pPr>
              <w:rPr>
                <w:rFonts w:ascii="Arial" w:hAnsi="Arial"/>
                <w:lang w:val="fr-CA"/>
              </w:rPr>
            </w:pPr>
            <w:r w:rsidRPr="00B40D5F">
              <w:rPr>
                <w:rFonts w:ascii="Arial" w:hAnsi="Arial"/>
                <w:lang w:val="fr-CA"/>
              </w:rPr>
              <w:t xml:space="preserve">Les produits plasmatiques </w:t>
            </w:r>
            <w:r>
              <w:rPr>
                <w:rFonts w:ascii="Arial" w:hAnsi="Arial"/>
                <w:lang w:val="fr-CA"/>
              </w:rPr>
              <w:t xml:space="preserve">et plaquettaires </w:t>
            </w:r>
            <w:r w:rsidRPr="00B40D5F">
              <w:rPr>
                <w:rFonts w:ascii="Arial" w:hAnsi="Arial"/>
                <w:lang w:val="fr-CA"/>
              </w:rPr>
              <w:t xml:space="preserve">qui respectent les critères de l’inspection visuelle peuvent être mis en </w:t>
            </w:r>
            <w:r>
              <w:rPr>
                <w:rFonts w:ascii="Arial" w:hAnsi="Arial"/>
                <w:lang w:val="fr-CA"/>
              </w:rPr>
              <w:t>stock</w:t>
            </w:r>
            <w:r w:rsidRPr="00B40D5F">
              <w:rPr>
                <w:rFonts w:ascii="Arial" w:hAnsi="Arial"/>
                <w:lang w:val="fr-CA"/>
              </w:rPr>
              <w:t>, envoyés à un autre établissement ou mis en circulation à des fins de transfusion.</w:t>
            </w:r>
          </w:p>
          <w:p w:rsidR="00E651CB" w:rsidRPr="00B40D5F" w:rsidRDefault="00E651CB" w:rsidP="00E651CB">
            <w:pPr>
              <w:rPr>
                <w:rFonts w:ascii="Arial" w:hAnsi="Arial"/>
                <w:lang w:val="fr-CA"/>
              </w:rPr>
            </w:pP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Pr>
                <w:rFonts w:ascii="Arial" w:hAnsi="Arial"/>
                <w:lang w:val="fr-CA"/>
              </w:rPr>
              <w:t>6.4.7</w:t>
            </w:r>
          </w:p>
        </w:tc>
        <w:tc>
          <w:tcPr>
            <w:tcW w:w="6482" w:type="dxa"/>
            <w:gridSpan w:val="4"/>
          </w:tcPr>
          <w:p w:rsidR="00E651CB" w:rsidRDefault="00E651CB" w:rsidP="00E651CB">
            <w:pPr>
              <w:rPr>
                <w:rFonts w:ascii="Arial" w:hAnsi="Arial"/>
                <w:lang w:val="fr-CA"/>
              </w:rPr>
            </w:pPr>
            <w:r>
              <w:rPr>
                <w:rFonts w:ascii="Arial" w:hAnsi="Arial"/>
                <w:lang w:val="fr-CA"/>
              </w:rPr>
              <w:t xml:space="preserve">Si le plasma ou les plaquettes ne respectent pas les critères d’une inspection visuelle acceptable, il faut les mettre en quarantaine. Voir 7.1- Documentation. </w:t>
            </w:r>
          </w:p>
          <w:p w:rsidR="00E651CB" w:rsidRDefault="00E651CB" w:rsidP="00E651CB">
            <w:pPr>
              <w:rPr>
                <w:rFonts w:ascii="Arial" w:hAnsi="Arial"/>
                <w:lang w:val="fr-CA"/>
              </w:rPr>
            </w:pPr>
          </w:p>
          <w:p w:rsidR="00E651CB" w:rsidRPr="00B40D5F" w:rsidRDefault="00E651CB" w:rsidP="00E651CB">
            <w:pPr>
              <w:spacing w:line="228" w:lineRule="auto"/>
              <w:ind w:left="360"/>
              <w:rPr>
                <w:rFonts w:ascii="Arial" w:hAnsi="Arial"/>
                <w:lang w:val="fr-CA"/>
              </w:rPr>
            </w:pPr>
          </w:p>
        </w:tc>
      </w:tr>
      <w:tr w:rsidR="00E651CB" w:rsidRPr="00B40D5F" w:rsidTr="0049678B">
        <w:trPr>
          <w:gridAfter w:val="2"/>
          <w:wAfter w:w="597"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r w:rsidRPr="00B40D5F">
              <w:rPr>
                <w:rFonts w:ascii="Arial" w:hAnsi="Arial"/>
                <w:lang w:val="fr-CA"/>
              </w:rPr>
              <w:t>6.5</w:t>
            </w:r>
          </w:p>
        </w:tc>
        <w:tc>
          <w:tcPr>
            <w:tcW w:w="7440" w:type="dxa"/>
            <w:gridSpan w:val="9"/>
          </w:tcPr>
          <w:p w:rsidR="00E651CB" w:rsidRDefault="00E651CB" w:rsidP="00E651CB">
            <w:pPr>
              <w:rPr>
                <w:rFonts w:ascii="Arial" w:hAnsi="Arial"/>
                <w:lang w:val="fr-CA"/>
              </w:rPr>
            </w:pPr>
            <w:r w:rsidRPr="00B40D5F">
              <w:rPr>
                <w:rFonts w:ascii="Arial" w:hAnsi="Arial"/>
                <w:lang w:val="fr-CA"/>
              </w:rPr>
              <w:t xml:space="preserve"> </w:t>
            </w:r>
            <w:r>
              <w:rPr>
                <w:rFonts w:ascii="Arial" w:hAnsi="Arial"/>
                <w:lang w:val="fr-CA"/>
              </w:rPr>
              <w:t xml:space="preserve">Protéines plasmatiques : </w:t>
            </w:r>
          </w:p>
          <w:p w:rsidR="00E651CB" w:rsidRPr="00B40D5F" w:rsidRDefault="00E651CB" w:rsidP="00E651CB">
            <w:pPr>
              <w:rPr>
                <w:rFonts w:ascii="Arial" w:hAnsi="Arial"/>
                <w:lang w:val="fr-CA"/>
              </w:rPr>
            </w:pPr>
            <w:r w:rsidRPr="00B40D5F">
              <w:rPr>
                <w:rFonts w:ascii="Arial" w:hAnsi="Arial"/>
                <w:lang w:val="fr-CA"/>
              </w:rPr>
              <w:t xml:space="preserve">Inspecter les produits une fois reconstitués et/ou </w:t>
            </w:r>
            <w:r>
              <w:rPr>
                <w:rFonts w:ascii="Arial" w:hAnsi="Arial"/>
                <w:lang w:val="fr-CA"/>
              </w:rPr>
              <w:t>au moment de l’émission</w:t>
            </w:r>
            <w:r w:rsidRPr="00B40D5F">
              <w:rPr>
                <w:rFonts w:ascii="Arial" w:hAnsi="Arial"/>
                <w:lang w:val="fr-CA"/>
              </w:rPr>
              <w:t xml:space="preserve"> à la recherche des anomalies suivantes :  </w:t>
            </w:r>
          </w:p>
          <w:p w:rsidR="00E651CB" w:rsidRPr="00B40D5F" w:rsidRDefault="00E651CB" w:rsidP="00E651CB">
            <w:pPr>
              <w:rPr>
                <w:rFonts w:ascii="Arial" w:hAnsi="Arial"/>
                <w:lang w:val="fr-CA"/>
              </w:rPr>
            </w:pP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sidRPr="00B40D5F">
              <w:rPr>
                <w:rFonts w:ascii="Arial" w:hAnsi="Arial"/>
                <w:lang w:val="fr-CA"/>
              </w:rPr>
              <w:t>6.5.1</w:t>
            </w:r>
          </w:p>
        </w:tc>
        <w:tc>
          <w:tcPr>
            <w:tcW w:w="6482" w:type="dxa"/>
            <w:gridSpan w:val="4"/>
          </w:tcPr>
          <w:p w:rsidR="00E651CB" w:rsidRPr="00B40D5F" w:rsidRDefault="00E651CB" w:rsidP="00E651CB">
            <w:pPr>
              <w:pStyle w:val="Heading1"/>
            </w:pPr>
            <w:r w:rsidRPr="00B40D5F">
              <w:t>Observer à la recherche de turbidité</w:t>
            </w:r>
          </w:p>
          <w:p w:rsidR="00E651CB" w:rsidRPr="00B40D5F" w:rsidRDefault="00E651CB" w:rsidP="00E651CB">
            <w:pPr>
              <w:numPr>
                <w:ilvl w:val="0"/>
                <w:numId w:val="25"/>
              </w:numPr>
              <w:ind w:left="1080"/>
              <w:rPr>
                <w:rFonts w:ascii="Arial" w:hAnsi="Arial"/>
                <w:lang w:val="fr-CA"/>
              </w:rPr>
            </w:pPr>
            <w:r w:rsidRPr="00B40D5F">
              <w:rPr>
                <w:rFonts w:ascii="Arial" w:hAnsi="Arial"/>
                <w:lang w:val="fr-CA"/>
              </w:rPr>
              <w:t>si le produit est trouble, le comparer à un flacon ou à une fiole non ouverte</w:t>
            </w:r>
          </w:p>
          <w:p w:rsidR="00E651CB" w:rsidRDefault="00E651CB" w:rsidP="00E651CB">
            <w:pPr>
              <w:numPr>
                <w:ilvl w:val="0"/>
                <w:numId w:val="25"/>
              </w:numPr>
              <w:ind w:left="1080"/>
              <w:rPr>
                <w:rFonts w:ascii="Arial" w:hAnsi="Arial"/>
                <w:lang w:val="fr-CA"/>
              </w:rPr>
            </w:pPr>
            <w:r w:rsidRPr="00B40D5F">
              <w:rPr>
                <w:rFonts w:ascii="Arial" w:hAnsi="Arial"/>
                <w:lang w:val="fr-CA"/>
              </w:rPr>
              <w:t xml:space="preserve">si le produit est plus trouble qu’un produit non ouvert, </w:t>
            </w:r>
            <w:r>
              <w:rPr>
                <w:rFonts w:ascii="Arial" w:hAnsi="Arial"/>
                <w:lang w:val="fr-CA"/>
              </w:rPr>
              <w:t xml:space="preserve">voir 7.0 – Documentation. </w:t>
            </w:r>
          </w:p>
          <w:p w:rsidR="00E651CB" w:rsidRPr="00B40D5F" w:rsidRDefault="00E651CB" w:rsidP="00E651CB">
            <w:pPr>
              <w:numPr>
                <w:ilvl w:val="0"/>
                <w:numId w:val="25"/>
              </w:numPr>
              <w:ind w:left="1080"/>
              <w:rPr>
                <w:rFonts w:ascii="Arial" w:hAnsi="Arial"/>
                <w:lang w:val="fr-CA"/>
              </w:rPr>
            </w:pPr>
          </w:p>
        </w:tc>
      </w:tr>
      <w:tr w:rsidR="00E651CB" w:rsidRPr="00B40D5F" w:rsidTr="0049678B">
        <w:trPr>
          <w:gridAfter w:val="2"/>
          <w:wAfter w:w="597" w:type="dxa"/>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958" w:type="dxa"/>
            <w:gridSpan w:val="5"/>
          </w:tcPr>
          <w:p w:rsidR="00E651CB" w:rsidRPr="00B40D5F" w:rsidRDefault="00E651CB" w:rsidP="00E651CB">
            <w:pPr>
              <w:pStyle w:val="Heading3"/>
              <w:numPr>
                <w:ilvl w:val="0"/>
                <w:numId w:val="0"/>
              </w:numPr>
              <w:rPr>
                <w:rFonts w:ascii="Arial" w:hAnsi="Arial"/>
                <w:lang w:val="fr-CA"/>
              </w:rPr>
            </w:pPr>
            <w:r w:rsidRPr="00B40D5F">
              <w:rPr>
                <w:rFonts w:ascii="Arial" w:hAnsi="Arial"/>
                <w:lang w:val="fr-CA"/>
              </w:rPr>
              <w:t>6.5.2</w:t>
            </w:r>
          </w:p>
        </w:tc>
        <w:tc>
          <w:tcPr>
            <w:tcW w:w="6482" w:type="dxa"/>
            <w:gridSpan w:val="4"/>
          </w:tcPr>
          <w:p w:rsidR="00E651CB" w:rsidRPr="00B40D5F" w:rsidRDefault="00E651CB" w:rsidP="00E651CB">
            <w:pPr>
              <w:rPr>
                <w:rFonts w:ascii="Arial" w:hAnsi="Arial"/>
                <w:sz w:val="20"/>
                <w:lang w:val="fr-CA"/>
              </w:rPr>
            </w:pPr>
            <w:r w:rsidRPr="00B40D5F">
              <w:rPr>
                <w:rFonts w:ascii="Arial" w:hAnsi="Arial"/>
                <w:lang w:val="fr-CA"/>
              </w:rPr>
              <w:t xml:space="preserve">Confirmer que les bouchons des </w:t>
            </w:r>
            <w:r>
              <w:rPr>
                <w:rFonts w:ascii="Arial" w:hAnsi="Arial"/>
                <w:lang w:val="fr-CA"/>
              </w:rPr>
              <w:t>couvercles stériles sont intacts. Si ce n’est pas le cas, voir 7.0 – Documentation</w:t>
            </w:r>
          </w:p>
          <w:p w:rsidR="00E651CB" w:rsidRPr="00B40D5F" w:rsidRDefault="00E651CB" w:rsidP="00E651CB">
            <w:pPr>
              <w:ind w:left="1080"/>
              <w:rPr>
                <w:rFonts w:ascii="Arial" w:hAnsi="Arial"/>
                <w:lang w:val="fr-CA"/>
              </w:rPr>
            </w:pPr>
          </w:p>
        </w:tc>
      </w:tr>
      <w:tr w:rsidR="00E651CB" w:rsidRPr="00B40D5F" w:rsidTr="0049678B">
        <w:trPr>
          <w:gridAfter w:val="3"/>
          <w:wAfter w:w="839" w:type="dxa"/>
          <w:cantSplit/>
        </w:trPr>
        <w:tc>
          <w:tcPr>
            <w:tcW w:w="834" w:type="dxa"/>
          </w:tcPr>
          <w:p w:rsidR="00E651CB" w:rsidRPr="00B40D5F" w:rsidRDefault="00E651CB" w:rsidP="00E651CB">
            <w:pPr>
              <w:pStyle w:val="Heading1"/>
            </w:pPr>
            <w:r w:rsidRPr="00B40D5F">
              <w:t>7.0</w:t>
            </w:r>
          </w:p>
        </w:tc>
        <w:tc>
          <w:tcPr>
            <w:tcW w:w="8032" w:type="dxa"/>
            <w:gridSpan w:val="9"/>
          </w:tcPr>
          <w:p w:rsidR="00E651CB" w:rsidRPr="00B40D5F" w:rsidRDefault="00E651CB" w:rsidP="00E651CB">
            <w:pPr>
              <w:pStyle w:val="Heading7"/>
              <w:rPr>
                <w:rFonts w:ascii="Arial" w:hAnsi="Arial"/>
                <w:lang w:val="fr-CA"/>
              </w:rPr>
            </w:pPr>
            <w:r w:rsidRPr="00B40D5F">
              <w:rPr>
                <w:rFonts w:ascii="Arial" w:hAnsi="Arial"/>
                <w:lang w:val="fr-CA"/>
              </w:rPr>
              <w:t>Documentation</w:t>
            </w:r>
          </w:p>
          <w:p w:rsidR="00E651CB" w:rsidRPr="00B40D5F" w:rsidRDefault="00E651CB" w:rsidP="00E651CB">
            <w:pPr>
              <w:rPr>
                <w:lang w:val="fr-CA"/>
              </w:rPr>
            </w:pPr>
          </w:p>
        </w:tc>
      </w:tr>
      <w:tr w:rsidR="00E651CB" w:rsidRPr="00B40D5F" w:rsidTr="0049678B">
        <w:trPr>
          <w:gridAfter w:val="3"/>
          <w:wAfter w:w="839"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7.1</w:t>
            </w:r>
          </w:p>
        </w:tc>
        <w:tc>
          <w:tcPr>
            <w:tcW w:w="7198" w:type="dxa"/>
            <w:gridSpan w:val="8"/>
          </w:tcPr>
          <w:p w:rsidR="00E651CB" w:rsidRPr="00B40D5F" w:rsidRDefault="00E651CB" w:rsidP="00E651CB">
            <w:pPr>
              <w:rPr>
                <w:rFonts w:ascii="Arial" w:hAnsi="Arial"/>
                <w:lang w:val="fr-CA"/>
              </w:rPr>
            </w:pPr>
            <w:r>
              <w:rPr>
                <w:rFonts w:ascii="Arial" w:hAnsi="Arial"/>
                <w:lang w:val="fr-CA"/>
              </w:rPr>
              <w:t>Il faut évaluer l</w:t>
            </w:r>
            <w:r w:rsidRPr="00B40D5F">
              <w:rPr>
                <w:rFonts w:ascii="Arial" w:hAnsi="Arial"/>
                <w:lang w:val="fr-CA"/>
              </w:rPr>
              <w:t xml:space="preserve">a qualité des unités mises en quarantaine. </w:t>
            </w:r>
            <w:r>
              <w:rPr>
                <w:rFonts w:ascii="Arial" w:hAnsi="Arial"/>
                <w:lang w:val="fr-CA"/>
              </w:rPr>
              <w:t>Éliminer l</w:t>
            </w:r>
            <w:r w:rsidRPr="00B40D5F">
              <w:rPr>
                <w:rFonts w:ascii="Arial" w:hAnsi="Arial"/>
                <w:lang w:val="fr-CA"/>
              </w:rPr>
              <w:t>es unités qui ne conviennent pas</w:t>
            </w:r>
            <w:r>
              <w:rPr>
                <w:rFonts w:ascii="Arial" w:hAnsi="Arial"/>
                <w:lang w:val="fr-CA"/>
              </w:rPr>
              <w:t xml:space="preserve"> ou les retourner au fournisseur, le cas échéant.</w:t>
            </w:r>
            <w:r w:rsidRPr="00B40D5F">
              <w:rPr>
                <w:rFonts w:ascii="Arial" w:hAnsi="Arial"/>
                <w:lang w:val="fr-CA"/>
              </w:rPr>
              <w:t xml:space="preserve"> Voir G</w:t>
            </w:r>
            <w:r>
              <w:rPr>
                <w:rFonts w:ascii="Arial" w:hAnsi="Arial"/>
                <w:lang w:val="fr-CA"/>
              </w:rPr>
              <w:t>S</w:t>
            </w:r>
            <w:r w:rsidRPr="00B40D5F">
              <w:rPr>
                <w:rFonts w:ascii="Arial" w:hAnsi="Arial"/>
                <w:lang w:val="fr-CA"/>
              </w:rPr>
              <w:t xml:space="preserve">.005 - </w:t>
            </w:r>
            <w:r>
              <w:rPr>
                <w:rFonts w:ascii="Arial" w:hAnsi="Arial"/>
                <w:lang w:val="fr-CA"/>
              </w:rPr>
              <w:t>Élimination</w:t>
            </w:r>
            <w:r w:rsidRPr="00B40D5F">
              <w:rPr>
                <w:rFonts w:ascii="Arial" w:hAnsi="Arial"/>
                <w:lang w:val="fr-CA"/>
              </w:rPr>
              <w:t xml:space="preserve"> de composants sanguins et de produits connexes qui ne sont pas en état d'être transfusés - procédure manuelle.</w:t>
            </w:r>
          </w:p>
          <w:p w:rsidR="00E651CB" w:rsidRPr="00B40D5F" w:rsidRDefault="00E651CB" w:rsidP="00E651CB">
            <w:pPr>
              <w:rPr>
                <w:rFonts w:ascii="Arial" w:hAnsi="Arial"/>
                <w:lang w:val="fr-CA"/>
              </w:rPr>
            </w:pPr>
          </w:p>
        </w:tc>
      </w:tr>
      <w:tr w:rsidR="00E651CB" w:rsidRPr="00B40D5F" w:rsidTr="0049678B">
        <w:trPr>
          <w:gridAfter w:val="3"/>
          <w:wAfter w:w="839"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7.2</w:t>
            </w:r>
          </w:p>
        </w:tc>
        <w:tc>
          <w:tcPr>
            <w:tcW w:w="7198" w:type="dxa"/>
            <w:gridSpan w:val="8"/>
          </w:tcPr>
          <w:p w:rsidR="00E95D91" w:rsidRDefault="00E651CB" w:rsidP="00E651CB">
            <w:pPr>
              <w:rPr>
                <w:rFonts w:ascii="Arial" w:hAnsi="Arial"/>
                <w:lang w:val="fr-CA"/>
              </w:rPr>
            </w:pPr>
            <w:r>
              <w:rPr>
                <w:rFonts w:ascii="Arial" w:hAnsi="Arial"/>
                <w:lang w:val="fr-CA"/>
              </w:rPr>
              <w:t xml:space="preserve">Remplir le formulaire de retour du produit du fournisseur. Pour en obtenir un, aller sur le site </w:t>
            </w:r>
            <w:hyperlink r:id="rId8" w:history="1">
              <w:r w:rsidRPr="007D38C0">
                <w:rPr>
                  <w:rStyle w:val="Hyperlink"/>
                  <w:rFonts w:ascii="Arial" w:hAnsi="Arial"/>
                  <w:lang w:val="fr-CA"/>
                </w:rPr>
                <w:t>www.blood.ca</w:t>
              </w:r>
            </w:hyperlink>
            <w:r w:rsidR="00E95D91">
              <w:rPr>
                <w:rFonts w:ascii="Arial" w:hAnsi="Arial"/>
                <w:lang w:val="fr-CA"/>
              </w:rPr>
              <w:t xml:space="preserve">, sous l’onglet Hôpitaux et médecins et cliquer sur Les formulaires. Documenter le devenir des produits dans le registre informatisé ou en suivant la procédure établie dans votre établissement. </w:t>
            </w:r>
          </w:p>
          <w:p w:rsidR="00E651CB" w:rsidRPr="00B40D5F" w:rsidRDefault="00E651CB" w:rsidP="00E651CB">
            <w:pPr>
              <w:rPr>
                <w:rFonts w:ascii="Arial" w:hAnsi="Arial"/>
                <w:lang w:val="fr-CA"/>
              </w:rPr>
            </w:pPr>
            <w:r w:rsidRPr="00B40D5F">
              <w:rPr>
                <w:rFonts w:ascii="Arial" w:hAnsi="Arial"/>
                <w:lang w:val="fr-CA"/>
              </w:rPr>
              <w:t xml:space="preserve"> </w:t>
            </w:r>
          </w:p>
        </w:tc>
      </w:tr>
      <w:tr w:rsidR="00E651CB" w:rsidRPr="00B40D5F" w:rsidTr="0049678B">
        <w:trPr>
          <w:gridAfter w:val="3"/>
          <w:wAfter w:w="839" w:type="dxa"/>
          <w:cantSplit/>
        </w:trPr>
        <w:tc>
          <w:tcPr>
            <w:tcW w:w="834" w:type="dxa"/>
          </w:tcPr>
          <w:p w:rsidR="00E651CB" w:rsidRPr="00B40D5F" w:rsidRDefault="00E651CB" w:rsidP="00E651CB">
            <w:pPr>
              <w:pStyle w:val="Heading1"/>
            </w:pPr>
            <w:r w:rsidRPr="00B40D5F">
              <w:t>8.0</w:t>
            </w:r>
          </w:p>
        </w:tc>
        <w:tc>
          <w:tcPr>
            <w:tcW w:w="8032" w:type="dxa"/>
            <w:gridSpan w:val="9"/>
          </w:tcPr>
          <w:p w:rsidR="00E651CB" w:rsidRPr="00B40D5F" w:rsidRDefault="00E651CB" w:rsidP="00E651CB">
            <w:pPr>
              <w:pStyle w:val="Heading7"/>
              <w:rPr>
                <w:rFonts w:ascii="Arial" w:hAnsi="Arial"/>
                <w:highlight w:val="yellow"/>
                <w:lang w:val="fr-CA"/>
              </w:rPr>
            </w:pPr>
            <w:r w:rsidRPr="00B40D5F">
              <w:rPr>
                <w:rFonts w:ascii="Arial" w:hAnsi="Arial"/>
                <w:lang w:val="fr-CA"/>
              </w:rPr>
              <w:t>Remarques</w:t>
            </w:r>
          </w:p>
          <w:p w:rsidR="00E651CB" w:rsidRPr="00B40D5F" w:rsidRDefault="00E651CB" w:rsidP="00E651CB">
            <w:pPr>
              <w:rPr>
                <w:lang w:val="fr-CA"/>
              </w:rPr>
            </w:pPr>
          </w:p>
        </w:tc>
      </w:tr>
      <w:tr w:rsidR="00E651CB" w:rsidRPr="00B40D5F" w:rsidTr="0049678B">
        <w:trPr>
          <w:gridAfter w:val="3"/>
          <w:wAfter w:w="839"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8.1</w:t>
            </w:r>
          </w:p>
        </w:tc>
        <w:tc>
          <w:tcPr>
            <w:tcW w:w="7198" w:type="dxa"/>
            <w:gridSpan w:val="8"/>
          </w:tcPr>
          <w:p w:rsidR="00E651CB" w:rsidRPr="00B40D5F" w:rsidRDefault="00E651CB" w:rsidP="00E651CB">
            <w:pPr>
              <w:rPr>
                <w:rFonts w:ascii="Arial" w:hAnsi="Arial"/>
                <w:lang w:val="fr-CA"/>
              </w:rPr>
            </w:pPr>
            <w:r w:rsidRPr="00B40D5F">
              <w:rPr>
                <w:rFonts w:ascii="Arial" w:hAnsi="Arial"/>
                <w:lang w:val="fr-CA"/>
              </w:rPr>
              <w:t xml:space="preserve">La durée des produits sanguins frais et congelés est précisée dans la Circulaire d’information </w:t>
            </w:r>
            <w:r>
              <w:rPr>
                <w:rFonts w:ascii="Arial" w:hAnsi="Arial"/>
                <w:lang w:val="fr-CA"/>
              </w:rPr>
              <w:t>Utilisation de s</w:t>
            </w:r>
            <w:r w:rsidRPr="00B40D5F">
              <w:rPr>
                <w:rFonts w:ascii="Arial" w:hAnsi="Arial"/>
                <w:lang w:val="fr-CA"/>
              </w:rPr>
              <w:t xml:space="preserve">ang humain et </w:t>
            </w:r>
            <w:r>
              <w:rPr>
                <w:rFonts w:ascii="Arial" w:hAnsi="Arial"/>
                <w:lang w:val="fr-CA"/>
              </w:rPr>
              <w:t xml:space="preserve">de </w:t>
            </w:r>
            <w:r w:rsidRPr="00B40D5F">
              <w:rPr>
                <w:rFonts w:ascii="Arial" w:hAnsi="Arial"/>
                <w:lang w:val="fr-CA"/>
              </w:rPr>
              <w:t>composants sanguins.</w:t>
            </w:r>
          </w:p>
          <w:p w:rsidR="00E651CB" w:rsidRPr="00B40D5F" w:rsidRDefault="00E651CB" w:rsidP="00E651CB">
            <w:pPr>
              <w:rPr>
                <w:rFonts w:ascii="Arial" w:hAnsi="Arial"/>
                <w:lang w:val="fr-CA"/>
              </w:rPr>
            </w:pPr>
          </w:p>
        </w:tc>
      </w:tr>
      <w:tr w:rsidR="00E651CB" w:rsidRPr="00B40D5F" w:rsidTr="0049678B">
        <w:trPr>
          <w:gridAfter w:val="3"/>
          <w:wAfter w:w="839"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8.2</w:t>
            </w:r>
          </w:p>
        </w:tc>
        <w:tc>
          <w:tcPr>
            <w:tcW w:w="7198" w:type="dxa"/>
            <w:gridSpan w:val="8"/>
          </w:tcPr>
          <w:p w:rsidR="00E651CB" w:rsidRPr="00B40D5F" w:rsidRDefault="00E651CB" w:rsidP="00E651CB">
            <w:pPr>
              <w:pStyle w:val="Heading3"/>
              <w:numPr>
                <w:ilvl w:val="0"/>
                <w:numId w:val="0"/>
              </w:numPr>
              <w:rPr>
                <w:rFonts w:ascii="Arial" w:hAnsi="Arial"/>
                <w:lang w:val="fr-CA"/>
              </w:rPr>
            </w:pPr>
            <w:r w:rsidRPr="00B40D5F">
              <w:rPr>
                <w:rFonts w:ascii="Arial" w:hAnsi="Arial"/>
                <w:lang w:val="fr-CA"/>
              </w:rPr>
              <w:t xml:space="preserve">Si le produit </w:t>
            </w:r>
            <w:r>
              <w:rPr>
                <w:rFonts w:ascii="Arial" w:hAnsi="Arial"/>
                <w:lang w:val="fr-CA"/>
              </w:rPr>
              <w:t>devait</w:t>
            </w:r>
            <w:r w:rsidRPr="00B40D5F">
              <w:rPr>
                <w:rFonts w:ascii="Arial" w:hAnsi="Arial"/>
                <w:lang w:val="fr-CA"/>
              </w:rPr>
              <w:t xml:space="preserve"> comporter une étiquette où figure </w:t>
            </w:r>
            <w:r>
              <w:rPr>
                <w:rFonts w:ascii="Arial" w:hAnsi="Arial"/>
                <w:lang w:val="fr-CA"/>
              </w:rPr>
              <w:t>une</w:t>
            </w:r>
            <w:r w:rsidRPr="00B40D5F">
              <w:rPr>
                <w:rFonts w:ascii="Arial" w:hAnsi="Arial"/>
                <w:lang w:val="fr-CA"/>
              </w:rPr>
              <w:t xml:space="preserve"> date de péremption</w:t>
            </w:r>
            <w:r>
              <w:rPr>
                <w:rFonts w:ascii="Arial" w:hAnsi="Arial"/>
                <w:lang w:val="fr-CA"/>
              </w:rPr>
              <w:t xml:space="preserve"> révisée</w:t>
            </w:r>
            <w:r w:rsidRPr="00B40D5F">
              <w:rPr>
                <w:rFonts w:ascii="Arial" w:hAnsi="Arial"/>
                <w:lang w:val="fr-CA"/>
              </w:rPr>
              <w:t>, remplir un rapport d’incident et le soumettre à un superviseur. Le directeur médical du laboratoire ou son représentant doit autoriser la mise en circulation du produit. Inscrire au dossier l’obtention de cette autorisation.</w:t>
            </w:r>
          </w:p>
        </w:tc>
      </w:tr>
      <w:tr w:rsidR="00E651CB" w:rsidRPr="00B40D5F" w:rsidTr="0049678B">
        <w:trPr>
          <w:gridAfter w:val="3"/>
          <w:wAfter w:w="839" w:type="dxa"/>
          <w:cantSplit/>
        </w:trPr>
        <w:tc>
          <w:tcPr>
            <w:tcW w:w="834" w:type="dxa"/>
          </w:tcPr>
          <w:p w:rsidR="00E651CB" w:rsidRPr="00B40D5F" w:rsidRDefault="00E651CB" w:rsidP="00E651CB">
            <w:pPr>
              <w:rPr>
                <w:rFonts w:ascii="Arial" w:hAnsi="Arial"/>
                <w:lang w:val="fr-CA"/>
              </w:rPr>
            </w:pPr>
          </w:p>
        </w:tc>
        <w:tc>
          <w:tcPr>
            <w:tcW w:w="834" w:type="dxa"/>
          </w:tcPr>
          <w:p w:rsidR="00E651CB" w:rsidRDefault="00E651CB" w:rsidP="00E651CB">
            <w:pPr>
              <w:pStyle w:val="Heading2"/>
              <w:numPr>
                <w:ilvl w:val="0"/>
                <w:numId w:val="0"/>
              </w:numPr>
              <w:rPr>
                <w:rFonts w:ascii="Arial" w:hAnsi="Arial"/>
                <w:lang w:val="fr-CA"/>
              </w:rPr>
            </w:pPr>
            <w:r w:rsidRPr="00B40D5F">
              <w:rPr>
                <w:rFonts w:ascii="Arial" w:hAnsi="Arial"/>
                <w:lang w:val="fr-CA"/>
              </w:rPr>
              <w:t>8.3</w:t>
            </w:r>
          </w:p>
          <w:p w:rsidR="000C6B32" w:rsidRDefault="000C6B32" w:rsidP="000C6B32">
            <w:pPr>
              <w:rPr>
                <w:lang w:val="fr-CA"/>
              </w:rPr>
            </w:pPr>
          </w:p>
          <w:p w:rsidR="000C6B32" w:rsidRDefault="000C6B32" w:rsidP="000C6B32">
            <w:pPr>
              <w:rPr>
                <w:lang w:val="fr-CA"/>
              </w:rPr>
            </w:pPr>
          </w:p>
          <w:p w:rsidR="000C6B32" w:rsidRPr="000C6B32" w:rsidRDefault="000C6B32" w:rsidP="000C6B32">
            <w:pPr>
              <w:pStyle w:val="Heading2"/>
              <w:numPr>
                <w:ilvl w:val="0"/>
                <w:numId w:val="0"/>
              </w:numPr>
              <w:rPr>
                <w:lang w:val="fr-CA"/>
              </w:rPr>
            </w:pPr>
            <w:r w:rsidRPr="000C6B32">
              <w:rPr>
                <w:rFonts w:ascii="Arial" w:hAnsi="Arial"/>
                <w:lang w:val="fr-CA"/>
              </w:rPr>
              <w:t>8.4</w:t>
            </w:r>
          </w:p>
        </w:tc>
        <w:tc>
          <w:tcPr>
            <w:tcW w:w="7198" w:type="dxa"/>
            <w:gridSpan w:val="8"/>
          </w:tcPr>
          <w:p w:rsidR="000C6B32" w:rsidRDefault="000C6B32" w:rsidP="00E651CB">
            <w:pPr>
              <w:rPr>
                <w:rFonts w:ascii="Arial" w:hAnsi="Arial"/>
                <w:lang w:val="fr-CA"/>
              </w:rPr>
            </w:pPr>
            <w:r>
              <w:rPr>
                <w:rFonts w:ascii="Arial" w:hAnsi="Arial"/>
                <w:lang w:val="fr-CA"/>
              </w:rPr>
              <w:t>Un don de sang artériel ne nuit pas au receveur, mais le fournisseur de sang doit en être avisé en cas de doute, pour faire un suivi approprié auprès du donneur</w:t>
            </w:r>
            <w:r>
              <w:rPr>
                <w:rFonts w:ascii="Arial" w:hAnsi="Arial"/>
                <w:vertAlign w:val="superscript"/>
                <w:lang w:val="fr-CA"/>
              </w:rPr>
              <w:t>9.2</w:t>
            </w:r>
            <w:r>
              <w:rPr>
                <w:rFonts w:ascii="Arial" w:hAnsi="Arial"/>
                <w:lang w:val="fr-CA"/>
              </w:rPr>
              <w:t xml:space="preserve">. </w:t>
            </w:r>
          </w:p>
          <w:p w:rsidR="000C6B32" w:rsidRDefault="000C6B32" w:rsidP="00E651CB">
            <w:pPr>
              <w:rPr>
                <w:rFonts w:ascii="Arial" w:hAnsi="Arial"/>
                <w:lang w:val="fr-CA"/>
              </w:rPr>
            </w:pPr>
          </w:p>
          <w:p w:rsidR="00E651CB" w:rsidRPr="00B40D5F" w:rsidRDefault="00E651CB" w:rsidP="00E651CB">
            <w:pPr>
              <w:rPr>
                <w:rFonts w:ascii="Arial" w:hAnsi="Arial"/>
                <w:lang w:val="fr-CA"/>
              </w:rPr>
            </w:pPr>
            <w:r w:rsidRPr="00B40D5F">
              <w:rPr>
                <w:rFonts w:ascii="Arial" w:hAnsi="Arial"/>
                <w:lang w:val="fr-CA"/>
              </w:rPr>
              <w:t xml:space="preserve">Mettre en quarantaine les produits sanguins </w:t>
            </w:r>
            <w:r w:rsidR="000C6B32">
              <w:rPr>
                <w:rFonts w:ascii="Arial" w:hAnsi="Arial"/>
                <w:lang w:val="fr-CA"/>
              </w:rPr>
              <w:t xml:space="preserve">qui ne satisfont pas à l’inspection visuelle </w:t>
            </w:r>
            <w:r w:rsidRPr="00B40D5F">
              <w:rPr>
                <w:rFonts w:ascii="Arial" w:hAnsi="Arial"/>
                <w:lang w:val="fr-CA"/>
              </w:rPr>
              <w:t xml:space="preserve">pour s’assurer qu’ils ne seront pas utilisés par erreur : </w:t>
            </w:r>
          </w:p>
          <w:p w:rsidR="00E651CB" w:rsidRPr="00B40D5F" w:rsidRDefault="00E651CB" w:rsidP="00E651CB">
            <w:pPr>
              <w:rPr>
                <w:rFonts w:ascii="Arial" w:hAnsi="Arial"/>
                <w:lang w:val="fr-CA"/>
              </w:rPr>
            </w:pPr>
          </w:p>
        </w:tc>
      </w:tr>
      <w:tr w:rsidR="00E651CB" w:rsidRPr="00B40D5F" w:rsidTr="0049678B">
        <w:trPr>
          <w:gridAfter w:val="3"/>
          <w:wAfter w:w="839"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778" w:type="dxa"/>
            <w:gridSpan w:val="3"/>
          </w:tcPr>
          <w:p w:rsidR="00E651CB" w:rsidRPr="00B40D5F" w:rsidRDefault="00E651CB" w:rsidP="000C6B32">
            <w:pPr>
              <w:pStyle w:val="Heading3"/>
              <w:numPr>
                <w:ilvl w:val="0"/>
                <w:numId w:val="0"/>
              </w:numPr>
              <w:rPr>
                <w:rFonts w:ascii="Arial" w:hAnsi="Arial"/>
                <w:lang w:val="fr-CA"/>
              </w:rPr>
            </w:pPr>
            <w:r w:rsidRPr="00B40D5F">
              <w:rPr>
                <w:rFonts w:ascii="Arial" w:hAnsi="Arial"/>
                <w:lang w:val="fr-CA"/>
              </w:rPr>
              <w:t>8.</w:t>
            </w:r>
            <w:r w:rsidR="000C6B32">
              <w:rPr>
                <w:rFonts w:ascii="Arial" w:hAnsi="Arial"/>
                <w:lang w:val="fr-CA"/>
              </w:rPr>
              <w:t>4</w:t>
            </w:r>
            <w:r w:rsidRPr="00B40D5F">
              <w:rPr>
                <w:rFonts w:ascii="Arial" w:hAnsi="Arial"/>
                <w:lang w:val="fr-CA"/>
              </w:rPr>
              <w:t>.1</w:t>
            </w:r>
          </w:p>
        </w:tc>
        <w:tc>
          <w:tcPr>
            <w:tcW w:w="6420" w:type="dxa"/>
            <w:gridSpan w:val="5"/>
          </w:tcPr>
          <w:p w:rsidR="00E651CB" w:rsidRPr="00B40D5F" w:rsidRDefault="00E651CB" w:rsidP="00E651CB">
            <w:pPr>
              <w:rPr>
                <w:rFonts w:ascii="Arial" w:hAnsi="Arial"/>
                <w:lang w:val="fr-CA"/>
              </w:rPr>
            </w:pPr>
            <w:r w:rsidRPr="00B40D5F">
              <w:rPr>
                <w:rFonts w:ascii="Arial" w:hAnsi="Arial"/>
                <w:lang w:val="fr-CA"/>
              </w:rPr>
              <w:t>Attacher à l’unité ou aux unités une note o</w:t>
            </w:r>
            <w:r>
              <w:rPr>
                <w:rFonts w:ascii="Arial" w:hAnsi="Arial"/>
                <w:lang w:val="fr-CA"/>
              </w:rPr>
              <w:t>ù</w:t>
            </w:r>
            <w:r w:rsidRPr="00B40D5F">
              <w:rPr>
                <w:rFonts w:ascii="Arial" w:hAnsi="Arial"/>
                <w:lang w:val="fr-CA"/>
              </w:rPr>
              <w:t xml:space="preserve"> figure</w:t>
            </w:r>
            <w:r>
              <w:rPr>
                <w:rFonts w:ascii="Arial" w:hAnsi="Arial"/>
                <w:lang w:val="fr-CA"/>
              </w:rPr>
              <w:t>nt</w:t>
            </w:r>
            <w:r w:rsidRPr="00B40D5F">
              <w:rPr>
                <w:rFonts w:ascii="Arial" w:hAnsi="Arial"/>
                <w:lang w:val="fr-CA"/>
              </w:rPr>
              <w:t xml:space="preserve"> clairement les mots : </w:t>
            </w:r>
            <w:r>
              <w:rPr>
                <w:rFonts w:ascii="Arial" w:hAnsi="Arial"/>
                <w:lang w:val="fr-CA"/>
              </w:rPr>
              <w:t>« </w:t>
            </w:r>
            <w:r w:rsidRPr="00B40D5F">
              <w:rPr>
                <w:rFonts w:ascii="Arial" w:hAnsi="Arial"/>
                <w:lang w:val="fr-CA"/>
              </w:rPr>
              <w:t xml:space="preserve">En quarantaine – NE PAS UTILISER ». Écrire la date et apposer ses initiales sur la note et l’inscrire dans l’ordinateur, le cas échéant.  </w:t>
            </w:r>
          </w:p>
          <w:p w:rsidR="00E651CB" w:rsidRPr="00B40D5F" w:rsidRDefault="00E651CB" w:rsidP="00E651CB">
            <w:pPr>
              <w:rPr>
                <w:rFonts w:ascii="Arial" w:hAnsi="Arial"/>
                <w:lang w:val="fr-CA"/>
              </w:rPr>
            </w:pPr>
          </w:p>
        </w:tc>
      </w:tr>
      <w:tr w:rsidR="00E651CB" w:rsidRPr="00B40D5F" w:rsidTr="0049678B">
        <w:trPr>
          <w:gridAfter w:val="3"/>
          <w:wAfter w:w="839"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E651CB">
            <w:pPr>
              <w:rPr>
                <w:rFonts w:ascii="Arial" w:hAnsi="Arial"/>
                <w:lang w:val="fr-CA"/>
              </w:rPr>
            </w:pPr>
          </w:p>
        </w:tc>
        <w:tc>
          <w:tcPr>
            <w:tcW w:w="778" w:type="dxa"/>
            <w:gridSpan w:val="3"/>
          </w:tcPr>
          <w:p w:rsidR="00E651CB" w:rsidRPr="00B40D5F" w:rsidRDefault="00E651CB" w:rsidP="000C6B32">
            <w:pPr>
              <w:pStyle w:val="Heading3"/>
              <w:numPr>
                <w:ilvl w:val="0"/>
                <w:numId w:val="0"/>
              </w:numPr>
              <w:rPr>
                <w:rFonts w:ascii="Arial" w:hAnsi="Arial"/>
                <w:lang w:val="fr-CA"/>
              </w:rPr>
            </w:pPr>
            <w:r w:rsidRPr="00B40D5F">
              <w:rPr>
                <w:rFonts w:ascii="Arial" w:hAnsi="Arial"/>
                <w:lang w:val="fr-CA"/>
              </w:rPr>
              <w:t>8.</w:t>
            </w:r>
            <w:r w:rsidR="000C6B32">
              <w:rPr>
                <w:rFonts w:ascii="Arial" w:hAnsi="Arial"/>
                <w:lang w:val="fr-CA"/>
              </w:rPr>
              <w:t>4</w:t>
            </w:r>
            <w:r w:rsidRPr="00B40D5F">
              <w:rPr>
                <w:rFonts w:ascii="Arial" w:hAnsi="Arial"/>
                <w:lang w:val="fr-CA"/>
              </w:rPr>
              <w:t>.2</w:t>
            </w:r>
          </w:p>
        </w:tc>
        <w:tc>
          <w:tcPr>
            <w:tcW w:w="6420" w:type="dxa"/>
            <w:gridSpan w:val="5"/>
          </w:tcPr>
          <w:p w:rsidR="00E651CB" w:rsidRPr="00B40D5F" w:rsidRDefault="00E651CB" w:rsidP="00E651CB">
            <w:pPr>
              <w:rPr>
                <w:rFonts w:ascii="Arial" w:hAnsi="Arial"/>
                <w:lang w:val="fr-CA"/>
              </w:rPr>
            </w:pPr>
            <w:r w:rsidRPr="00B40D5F">
              <w:rPr>
                <w:rFonts w:ascii="Arial" w:hAnsi="Arial"/>
                <w:lang w:val="fr-CA"/>
              </w:rPr>
              <w:t>Placer le ou les produits dans une partie du réfrigérateur (ou de préférence, dans un autre réfrigérateur d’entreposage de produits sanguins) qui est nettement séparée d</w:t>
            </w:r>
            <w:r>
              <w:rPr>
                <w:rFonts w:ascii="Arial" w:hAnsi="Arial"/>
                <w:lang w:val="fr-CA"/>
              </w:rPr>
              <w:t>u stock</w:t>
            </w:r>
            <w:r w:rsidRPr="00B40D5F">
              <w:rPr>
                <w:rFonts w:ascii="Arial" w:hAnsi="Arial"/>
                <w:lang w:val="fr-CA"/>
              </w:rPr>
              <w:t xml:space="preserve"> général et des unités a</w:t>
            </w:r>
            <w:r>
              <w:rPr>
                <w:rFonts w:ascii="Arial" w:hAnsi="Arial"/>
                <w:lang w:val="fr-CA"/>
              </w:rPr>
              <w:t>ttribuées</w:t>
            </w:r>
            <w:r w:rsidRPr="00B40D5F">
              <w:rPr>
                <w:rFonts w:ascii="Arial" w:hAnsi="Arial"/>
                <w:lang w:val="fr-CA"/>
              </w:rPr>
              <w:t xml:space="preserve"> à un patient. </w:t>
            </w:r>
          </w:p>
          <w:p w:rsidR="00E651CB" w:rsidRPr="00B40D5F" w:rsidRDefault="00E651CB" w:rsidP="00E651CB">
            <w:pPr>
              <w:rPr>
                <w:rFonts w:ascii="Arial" w:hAnsi="Arial"/>
                <w:lang w:val="fr-CA"/>
              </w:rPr>
            </w:pPr>
          </w:p>
        </w:tc>
      </w:tr>
      <w:tr w:rsidR="00E651CB" w:rsidRPr="00B40D5F" w:rsidTr="0049678B">
        <w:trPr>
          <w:gridAfter w:val="3"/>
          <w:wAfter w:w="839" w:type="dxa"/>
          <w:cantSplit/>
        </w:trPr>
        <w:tc>
          <w:tcPr>
            <w:tcW w:w="834" w:type="dxa"/>
          </w:tcPr>
          <w:p w:rsidR="00E651CB" w:rsidRPr="00B40D5F" w:rsidRDefault="00E651CB" w:rsidP="00E651CB">
            <w:pPr>
              <w:rPr>
                <w:rFonts w:ascii="Arial" w:hAnsi="Arial"/>
                <w:lang w:val="fr-CA"/>
              </w:rPr>
            </w:pPr>
          </w:p>
        </w:tc>
        <w:tc>
          <w:tcPr>
            <w:tcW w:w="834" w:type="dxa"/>
          </w:tcPr>
          <w:p w:rsidR="00E651CB" w:rsidRPr="00B40D5F" w:rsidRDefault="00E651CB" w:rsidP="000C6B32">
            <w:pPr>
              <w:pStyle w:val="Heading2"/>
              <w:numPr>
                <w:ilvl w:val="0"/>
                <w:numId w:val="0"/>
              </w:numPr>
              <w:rPr>
                <w:rFonts w:ascii="Arial" w:hAnsi="Arial"/>
                <w:lang w:val="fr-CA"/>
              </w:rPr>
            </w:pPr>
            <w:r w:rsidRPr="00B40D5F">
              <w:rPr>
                <w:rFonts w:ascii="Arial" w:hAnsi="Arial"/>
                <w:lang w:val="fr-CA"/>
              </w:rPr>
              <w:t>8.</w:t>
            </w:r>
            <w:r w:rsidR="000C6B32">
              <w:rPr>
                <w:rFonts w:ascii="Arial" w:hAnsi="Arial"/>
                <w:lang w:val="fr-CA"/>
              </w:rPr>
              <w:t>5</w:t>
            </w:r>
          </w:p>
        </w:tc>
        <w:tc>
          <w:tcPr>
            <w:tcW w:w="7198" w:type="dxa"/>
            <w:gridSpan w:val="8"/>
          </w:tcPr>
          <w:p w:rsidR="00E651CB" w:rsidRPr="00003EE5" w:rsidRDefault="00E651CB" w:rsidP="00E651CB">
            <w:pPr>
              <w:rPr>
                <w:rFonts w:ascii="Arial" w:hAnsi="Arial"/>
                <w:lang w:val="fr-CA"/>
              </w:rPr>
            </w:pPr>
            <w:r>
              <w:rPr>
                <w:rFonts w:ascii="Arial" w:hAnsi="Arial"/>
                <w:lang w:val="fr-CA"/>
              </w:rPr>
              <w:t>Une hémolyse dans le segment ne signifie pas nécessairement que le composant est hémolysé</w:t>
            </w:r>
            <w:r w:rsidRPr="00F46269">
              <w:rPr>
                <w:rFonts w:ascii="Arial" w:hAnsi="Arial"/>
                <w:vertAlign w:val="superscript"/>
                <w:lang w:val="fr-CA"/>
              </w:rPr>
              <w:t>9.3</w:t>
            </w:r>
            <w:r>
              <w:rPr>
                <w:rFonts w:ascii="Arial" w:hAnsi="Arial"/>
                <w:lang w:val="fr-CA"/>
              </w:rPr>
              <w:t>.</w:t>
            </w:r>
          </w:p>
          <w:p w:rsidR="00E651CB" w:rsidRPr="00B40D5F" w:rsidRDefault="00E651CB" w:rsidP="00E651CB">
            <w:pPr>
              <w:rPr>
                <w:rFonts w:ascii="Arial" w:hAnsi="Arial"/>
                <w:lang w:val="fr-CA"/>
              </w:rPr>
            </w:pPr>
            <w:r w:rsidRPr="00B40D5F">
              <w:rPr>
                <w:rFonts w:ascii="Arial" w:hAnsi="Arial"/>
                <w:lang w:val="fr-CA"/>
              </w:rPr>
              <w:t xml:space="preserve"> </w:t>
            </w:r>
          </w:p>
        </w:tc>
      </w:tr>
      <w:tr w:rsidR="00E651CB" w:rsidRPr="00B40D5F" w:rsidTr="0049678B">
        <w:trPr>
          <w:gridAfter w:val="1"/>
          <w:wAfter w:w="61" w:type="dxa"/>
        </w:trPr>
        <w:tc>
          <w:tcPr>
            <w:tcW w:w="834" w:type="dxa"/>
          </w:tcPr>
          <w:p w:rsidR="00E651CB" w:rsidRPr="00B40D5F" w:rsidRDefault="00E651CB" w:rsidP="00E651CB">
            <w:pPr>
              <w:pStyle w:val="Heading1"/>
            </w:pPr>
            <w:r w:rsidRPr="00B40D5F">
              <w:t>9.0</w:t>
            </w:r>
          </w:p>
        </w:tc>
        <w:tc>
          <w:tcPr>
            <w:tcW w:w="8810" w:type="dxa"/>
            <w:gridSpan w:val="11"/>
          </w:tcPr>
          <w:p w:rsidR="00E651CB" w:rsidRPr="00B40D5F" w:rsidRDefault="00E651CB" w:rsidP="00E651CB">
            <w:pPr>
              <w:pStyle w:val="Heading7"/>
              <w:rPr>
                <w:rFonts w:ascii="Arial" w:hAnsi="Arial"/>
                <w:lang w:val="fr-CA"/>
              </w:rPr>
            </w:pPr>
            <w:r w:rsidRPr="00B40D5F">
              <w:rPr>
                <w:rFonts w:ascii="Arial" w:hAnsi="Arial"/>
                <w:lang w:val="fr-CA"/>
              </w:rPr>
              <w:t>Références</w:t>
            </w:r>
          </w:p>
          <w:p w:rsidR="00E651CB" w:rsidRPr="00B40D5F" w:rsidRDefault="00E651CB" w:rsidP="00E651CB">
            <w:pPr>
              <w:rPr>
                <w:lang w:val="fr-CA"/>
              </w:rPr>
            </w:pPr>
          </w:p>
        </w:tc>
      </w:tr>
      <w:tr w:rsidR="00E651CB" w:rsidRPr="00B40D5F" w:rsidTr="0049678B">
        <w:tc>
          <w:tcPr>
            <w:tcW w:w="834" w:type="dxa"/>
          </w:tcPr>
          <w:p w:rsidR="00E651CB" w:rsidRPr="00B40D5F" w:rsidRDefault="00E651CB" w:rsidP="00E651CB">
            <w:pPr>
              <w:rPr>
                <w:rFonts w:ascii="Arial" w:hAnsi="Arial"/>
                <w:lang w:val="fr-CA"/>
              </w:rPr>
            </w:pPr>
          </w:p>
        </w:tc>
        <w:tc>
          <w:tcPr>
            <w:tcW w:w="892" w:type="dxa"/>
            <w:gridSpan w:val="2"/>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9.1</w:t>
            </w:r>
          </w:p>
        </w:tc>
        <w:tc>
          <w:tcPr>
            <w:tcW w:w="7979" w:type="dxa"/>
            <w:gridSpan w:val="10"/>
          </w:tcPr>
          <w:p w:rsidR="00E651CB" w:rsidRDefault="00E651CB" w:rsidP="006D1EFB">
            <w:pPr>
              <w:rPr>
                <w:rFonts w:ascii="Arial" w:hAnsi="Arial"/>
              </w:rPr>
            </w:pPr>
            <w:r w:rsidRPr="00003EE5">
              <w:rPr>
                <w:rFonts w:ascii="Arial" w:hAnsi="Arial"/>
                <w:i/>
              </w:rPr>
              <w:t>Standards for Hospital Transfusion Services</w:t>
            </w:r>
            <w:r>
              <w:rPr>
                <w:rFonts w:ascii="Arial" w:hAnsi="Arial"/>
              </w:rPr>
              <w:t xml:space="preserve">, version </w:t>
            </w:r>
            <w:r w:rsidR="006D1EFB">
              <w:rPr>
                <w:rFonts w:ascii="Arial" w:hAnsi="Arial"/>
              </w:rPr>
              <w:t>3</w:t>
            </w:r>
            <w:r>
              <w:rPr>
                <w:rFonts w:ascii="Arial" w:hAnsi="Arial"/>
              </w:rPr>
              <w:t xml:space="preserve"> – </w:t>
            </w:r>
            <w:r w:rsidR="006D1EFB">
              <w:rPr>
                <w:rFonts w:ascii="Arial" w:hAnsi="Arial"/>
              </w:rPr>
              <w:t>février</w:t>
            </w:r>
            <w:r>
              <w:rPr>
                <w:rFonts w:ascii="Arial" w:hAnsi="Arial"/>
              </w:rPr>
              <w:t xml:space="preserve"> 20</w:t>
            </w:r>
            <w:r w:rsidR="006D1EFB">
              <w:rPr>
                <w:rFonts w:ascii="Arial" w:hAnsi="Arial"/>
              </w:rPr>
              <w:t>11</w:t>
            </w:r>
            <w:r>
              <w:rPr>
                <w:rFonts w:ascii="Arial" w:hAnsi="Arial"/>
              </w:rPr>
              <w:t xml:space="preserve">, </w:t>
            </w:r>
            <w:r w:rsidRPr="00E35E73">
              <w:rPr>
                <w:rFonts w:ascii="Arial" w:hAnsi="Arial"/>
              </w:rPr>
              <w:t>Société canadienne de médecine transfusionnelle</w:t>
            </w:r>
            <w:r>
              <w:rPr>
                <w:rFonts w:ascii="Arial" w:hAnsi="Arial"/>
              </w:rPr>
              <w:t>, 5.1.1.5, 5.7.3.1, 5.6.1.3.</w:t>
            </w:r>
            <w:r w:rsidR="006D1EFB">
              <w:rPr>
                <w:rFonts w:ascii="Arial" w:hAnsi="Arial"/>
              </w:rPr>
              <w:br/>
            </w:r>
          </w:p>
        </w:tc>
      </w:tr>
      <w:tr w:rsidR="00E651CB" w:rsidRPr="00B40D5F" w:rsidTr="0049678B">
        <w:tc>
          <w:tcPr>
            <w:tcW w:w="834" w:type="dxa"/>
          </w:tcPr>
          <w:p w:rsidR="00E651CB" w:rsidRPr="00B40D5F" w:rsidRDefault="00E651CB" w:rsidP="00E651CB">
            <w:pPr>
              <w:rPr>
                <w:rFonts w:ascii="Arial" w:hAnsi="Arial"/>
                <w:lang w:val="fr-CA"/>
              </w:rPr>
            </w:pPr>
          </w:p>
        </w:tc>
        <w:tc>
          <w:tcPr>
            <w:tcW w:w="892" w:type="dxa"/>
            <w:gridSpan w:val="2"/>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9.2</w:t>
            </w:r>
          </w:p>
        </w:tc>
        <w:tc>
          <w:tcPr>
            <w:tcW w:w="7979" w:type="dxa"/>
            <w:gridSpan w:val="10"/>
          </w:tcPr>
          <w:p w:rsidR="00E651CB" w:rsidRPr="00B40D5F" w:rsidRDefault="00E651CB" w:rsidP="00E651CB">
            <w:pPr>
              <w:rPr>
                <w:rFonts w:ascii="Arial" w:hAnsi="Arial"/>
                <w:lang w:val="fr-CA"/>
              </w:rPr>
            </w:pPr>
            <w:r w:rsidRPr="00B40D5F">
              <w:rPr>
                <w:rFonts w:ascii="Arial" w:hAnsi="Arial"/>
                <w:lang w:val="fr-CA"/>
              </w:rPr>
              <w:t xml:space="preserve">Circulaire d’information </w:t>
            </w:r>
            <w:r>
              <w:rPr>
                <w:rFonts w:ascii="Arial" w:hAnsi="Arial"/>
                <w:lang w:val="fr-CA"/>
              </w:rPr>
              <w:t>« </w:t>
            </w:r>
            <w:r w:rsidRPr="00B40D5F">
              <w:rPr>
                <w:rFonts w:ascii="Arial" w:hAnsi="Arial"/>
                <w:lang w:val="fr-CA"/>
              </w:rPr>
              <w:t>Utilisation de sang humain et de composants sanguins</w:t>
            </w:r>
            <w:r>
              <w:rPr>
                <w:rFonts w:ascii="Arial" w:hAnsi="Arial"/>
                <w:lang w:val="fr-CA"/>
              </w:rPr>
              <w:t> »</w:t>
            </w:r>
            <w:r w:rsidRPr="00B40D5F">
              <w:rPr>
                <w:rFonts w:ascii="Arial" w:hAnsi="Arial"/>
                <w:lang w:val="fr-CA"/>
              </w:rPr>
              <w:t>. Société canadienne du sang,</w:t>
            </w:r>
            <w:r w:rsidR="006D1EFB">
              <w:rPr>
                <w:rFonts w:ascii="Arial" w:hAnsi="Arial"/>
                <w:lang w:val="fr-CA"/>
              </w:rPr>
              <w:t xml:space="preserve"> </w:t>
            </w:r>
            <w:hyperlink r:id="rId9" w:history="1">
              <w:r w:rsidR="006D1EFB" w:rsidRPr="007D38C0">
                <w:rPr>
                  <w:rStyle w:val="Hyperlink"/>
                  <w:rFonts w:ascii="Arial" w:hAnsi="Arial"/>
                  <w:lang w:val="fr-CA"/>
                </w:rPr>
                <w:t>www.blood.ca</w:t>
              </w:r>
            </w:hyperlink>
            <w:r w:rsidRPr="00B40D5F">
              <w:rPr>
                <w:rFonts w:ascii="Arial" w:hAnsi="Arial"/>
                <w:lang w:val="fr-CA"/>
              </w:rPr>
              <w:t>.</w:t>
            </w:r>
          </w:p>
          <w:p w:rsidR="00E651CB" w:rsidRPr="00B40D5F" w:rsidRDefault="00E651CB" w:rsidP="00E651CB">
            <w:pPr>
              <w:rPr>
                <w:rFonts w:ascii="Arial" w:hAnsi="Arial"/>
                <w:lang w:val="fr-CA"/>
              </w:rPr>
            </w:pPr>
          </w:p>
        </w:tc>
      </w:tr>
      <w:tr w:rsidR="00E651CB" w:rsidRPr="00B40D5F" w:rsidTr="0049678B">
        <w:trPr>
          <w:trHeight w:val="873"/>
        </w:trPr>
        <w:tc>
          <w:tcPr>
            <w:tcW w:w="834" w:type="dxa"/>
          </w:tcPr>
          <w:p w:rsidR="00E651CB" w:rsidRPr="00B40D5F" w:rsidRDefault="00E651CB" w:rsidP="00E651CB">
            <w:pPr>
              <w:rPr>
                <w:rFonts w:ascii="Arial" w:hAnsi="Arial"/>
                <w:lang w:val="fr-CA"/>
              </w:rPr>
            </w:pPr>
          </w:p>
        </w:tc>
        <w:tc>
          <w:tcPr>
            <w:tcW w:w="892" w:type="dxa"/>
            <w:gridSpan w:val="2"/>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9.3</w:t>
            </w:r>
          </w:p>
        </w:tc>
        <w:tc>
          <w:tcPr>
            <w:tcW w:w="7979" w:type="dxa"/>
            <w:gridSpan w:val="10"/>
          </w:tcPr>
          <w:p w:rsidR="00E651CB" w:rsidRPr="00B40D5F" w:rsidRDefault="00E651CB" w:rsidP="006D1EFB">
            <w:pPr>
              <w:rPr>
                <w:rFonts w:ascii="Arial" w:hAnsi="Arial"/>
                <w:lang w:val="fr-CA"/>
              </w:rPr>
            </w:pPr>
            <w:r>
              <w:rPr>
                <w:rFonts w:ascii="Arial" w:hAnsi="Arial"/>
              </w:rPr>
              <w:t xml:space="preserve">ROBACK JD, éd. </w:t>
            </w:r>
            <w:r w:rsidRPr="00003EE5">
              <w:rPr>
                <w:rFonts w:ascii="Arial" w:hAnsi="Arial"/>
                <w:i/>
              </w:rPr>
              <w:t>American Association of Blood Banks Technical Manual</w:t>
            </w:r>
            <w:r>
              <w:rPr>
                <w:rFonts w:ascii="Arial" w:hAnsi="Arial"/>
              </w:rPr>
              <w:t>, 1</w:t>
            </w:r>
            <w:r w:rsidR="006D1EFB">
              <w:rPr>
                <w:rFonts w:ascii="Arial" w:hAnsi="Arial"/>
              </w:rPr>
              <w:t>7</w:t>
            </w:r>
            <w:r>
              <w:rPr>
                <w:rFonts w:ascii="Arial" w:hAnsi="Arial"/>
                <w:vertAlign w:val="superscript"/>
              </w:rPr>
              <w:t>e</w:t>
            </w:r>
            <w:r>
              <w:rPr>
                <w:rFonts w:ascii="Arial" w:hAnsi="Arial"/>
              </w:rPr>
              <w:t xml:space="preserve"> éd. Bethesda, MD:  American Association of Blood Banks, 20</w:t>
            </w:r>
            <w:r w:rsidR="006D1EFB">
              <w:rPr>
                <w:rFonts w:ascii="Arial" w:hAnsi="Arial"/>
              </w:rPr>
              <w:t>11</w:t>
            </w:r>
            <w:r>
              <w:rPr>
                <w:rFonts w:ascii="Arial" w:hAnsi="Arial"/>
              </w:rPr>
              <w:t>: 203</w:t>
            </w:r>
          </w:p>
        </w:tc>
      </w:tr>
      <w:tr w:rsidR="00E651CB" w:rsidRPr="00B40D5F" w:rsidTr="0049678B">
        <w:tc>
          <w:tcPr>
            <w:tcW w:w="834" w:type="dxa"/>
          </w:tcPr>
          <w:p w:rsidR="00E651CB" w:rsidRPr="00B40D5F" w:rsidRDefault="00E651CB" w:rsidP="00E651CB">
            <w:pPr>
              <w:rPr>
                <w:rFonts w:ascii="Arial" w:hAnsi="Arial"/>
                <w:lang w:val="fr-CA"/>
              </w:rPr>
            </w:pPr>
          </w:p>
        </w:tc>
        <w:tc>
          <w:tcPr>
            <w:tcW w:w="892" w:type="dxa"/>
            <w:gridSpan w:val="2"/>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9.4</w:t>
            </w:r>
          </w:p>
        </w:tc>
        <w:tc>
          <w:tcPr>
            <w:tcW w:w="7979" w:type="dxa"/>
            <w:gridSpan w:val="10"/>
          </w:tcPr>
          <w:p w:rsidR="006D1EFB" w:rsidRPr="00B40D5F" w:rsidRDefault="006D1EFB" w:rsidP="006D1EFB">
            <w:pPr>
              <w:rPr>
                <w:rFonts w:ascii="Arial" w:hAnsi="Arial"/>
                <w:lang w:val="fr-CA"/>
              </w:rPr>
            </w:pPr>
            <w:r>
              <w:rPr>
                <w:rFonts w:ascii="Arial" w:hAnsi="Arial"/>
                <w:lang w:val="fr-CA"/>
              </w:rPr>
              <w:t>Incidental arterial phlebotomy of a whole blood donor. Parsons J et coll.</w:t>
            </w:r>
            <w:r w:rsidRPr="00E35E73">
              <w:rPr>
                <w:rFonts w:ascii="Arial" w:hAnsi="Arial"/>
                <w:i/>
                <w:lang w:val="fr-CA"/>
              </w:rPr>
              <w:t xml:space="preserve"> Transfusion</w:t>
            </w:r>
            <w:r w:rsidRPr="00B40D5F">
              <w:rPr>
                <w:rFonts w:ascii="Arial" w:hAnsi="Arial"/>
                <w:lang w:val="fr-CA"/>
              </w:rPr>
              <w:t xml:space="preserve"> 199</w:t>
            </w:r>
            <w:r>
              <w:rPr>
                <w:rFonts w:ascii="Arial" w:hAnsi="Arial"/>
                <w:lang w:val="fr-CA"/>
              </w:rPr>
              <w:t>4</w:t>
            </w:r>
            <w:r w:rsidRPr="00B40D5F">
              <w:rPr>
                <w:rFonts w:ascii="Arial" w:hAnsi="Arial"/>
                <w:lang w:val="fr-CA"/>
              </w:rPr>
              <w:t xml:space="preserve">; </w:t>
            </w:r>
            <w:r>
              <w:rPr>
                <w:rFonts w:ascii="Arial" w:hAnsi="Arial"/>
                <w:lang w:val="fr-CA"/>
              </w:rPr>
              <w:t>54</w:t>
            </w:r>
            <w:r w:rsidRPr="00B40D5F">
              <w:rPr>
                <w:rFonts w:ascii="Arial" w:hAnsi="Arial"/>
                <w:lang w:val="fr-CA"/>
              </w:rPr>
              <w:t xml:space="preserve">: </w:t>
            </w:r>
            <w:r>
              <w:rPr>
                <w:rFonts w:ascii="Arial" w:hAnsi="Arial"/>
                <w:lang w:val="fr-CA"/>
              </w:rPr>
              <w:t>1</w:t>
            </w:r>
            <w:r w:rsidRPr="00B40D5F">
              <w:rPr>
                <w:rFonts w:ascii="Arial" w:hAnsi="Arial"/>
                <w:lang w:val="fr-CA"/>
              </w:rPr>
              <w:t>22</w:t>
            </w:r>
            <w:r>
              <w:rPr>
                <w:rFonts w:ascii="Arial" w:hAnsi="Arial"/>
                <w:lang w:val="fr-CA"/>
              </w:rPr>
              <w:t>0</w:t>
            </w:r>
            <w:r w:rsidRPr="00B40D5F">
              <w:rPr>
                <w:rFonts w:ascii="Arial" w:hAnsi="Arial"/>
                <w:lang w:val="fr-CA"/>
              </w:rPr>
              <w:t>.</w:t>
            </w:r>
          </w:p>
          <w:p w:rsidR="00E651CB" w:rsidRPr="00B40D5F" w:rsidRDefault="00E651CB" w:rsidP="006D1EFB">
            <w:pPr>
              <w:rPr>
                <w:rFonts w:ascii="Arial" w:hAnsi="Arial"/>
                <w:lang w:val="fr-CA"/>
              </w:rPr>
            </w:pPr>
          </w:p>
        </w:tc>
      </w:tr>
      <w:tr w:rsidR="00E651CB" w:rsidRPr="00B40D5F" w:rsidTr="0049678B">
        <w:tc>
          <w:tcPr>
            <w:tcW w:w="834" w:type="dxa"/>
          </w:tcPr>
          <w:p w:rsidR="00E651CB" w:rsidRPr="00B40D5F" w:rsidRDefault="00E651CB" w:rsidP="00E651CB">
            <w:pPr>
              <w:rPr>
                <w:rFonts w:ascii="Arial" w:hAnsi="Arial"/>
                <w:lang w:val="fr-CA"/>
              </w:rPr>
            </w:pPr>
          </w:p>
        </w:tc>
        <w:tc>
          <w:tcPr>
            <w:tcW w:w="892" w:type="dxa"/>
            <w:gridSpan w:val="2"/>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9.</w:t>
            </w:r>
            <w:r>
              <w:rPr>
                <w:rFonts w:ascii="Arial" w:hAnsi="Arial"/>
                <w:lang w:val="fr-CA"/>
              </w:rPr>
              <w:t>5</w:t>
            </w:r>
          </w:p>
        </w:tc>
        <w:tc>
          <w:tcPr>
            <w:tcW w:w="7979" w:type="dxa"/>
            <w:gridSpan w:val="10"/>
          </w:tcPr>
          <w:p w:rsidR="00E651CB" w:rsidRPr="00B40D5F" w:rsidRDefault="00E651CB" w:rsidP="00E651CB">
            <w:pPr>
              <w:rPr>
                <w:rFonts w:ascii="Arial" w:hAnsi="Arial"/>
                <w:lang w:val="fr-CA"/>
              </w:rPr>
            </w:pPr>
            <w:r w:rsidRPr="00B40D5F">
              <w:rPr>
                <w:rFonts w:ascii="Arial" w:hAnsi="Arial"/>
                <w:lang w:val="fr-CA"/>
              </w:rPr>
              <w:t xml:space="preserve">KIM DM, BRECHER M et </w:t>
            </w:r>
            <w:r>
              <w:rPr>
                <w:rFonts w:ascii="Arial" w:hAnsi="Arial"/>
                <w:lang w:val="fr-CA"/>
              </w:rPr>
              <w:t>coll</w:t>
            </w:r>
            <w:r w:rsidRPr="00B40D5F">
              <w:rPr>
                <w:rFonts w:ascii="Arial" w:hAnsi="Arial"/>
                <w:lang w:val="fr-CA"/>
              </w:rPr>
              <w:t xml:space="preserve">. Visual identification of bacterially contaminated red cells. </w:t>
            </w:r>
            <w:r w:rsidRPr="00E35E73">
              <w:rPr>
                <w:rFonts w:ascii="Arial" w:hAnsi="Arial"/>
                <w:i/>
                <w:lang w:val="fr-CA"/>
              </w:rPr>
              <w:t>Transfusion</w:t>
            </w:r>
            <w:r w:rsidRPr="00B40D5F">
              <w:rPr>
                <w:rFonts w:ascii="Arial" w:hAnsi="Arial"/>
                <w:lang w:val="fr-CA"/>
              </w:rPr>
              <w:t xml:space="preserve"> 1992; 32: 222.</w:t>
            </w:r>
          </w:p>
          <w:p w:rsidR="00E651CB" w:rsidRPr="00B40D5F" w:rsidRDefault="00E651CB" w:rsidP="00E651CB">
            <w:pPr>
              <w:rPr>
                <w:rFonts w:ascii="Arial" w:hAnsi="Arial"/>
                <w:lang w:val="fr-CA"/>
              </w:rPr>
            </w:pPr>
          </w:p>
        </w:tc>
      </w:tr>
      <w:tr w:rsidR="00E651CB" w:rsidRPr="00B40D5F" w:rsidTr="0049678B">
        <w:tc>
          <w:tcPr>
            <w:tcW w:w="834" w:type="dxa"/>
          </w:tcPr>
          <w:p w:rsidR="00E651CB" w:rsidRPr="00B40D5F" w:rsidRDefault="00E651CB" w:rsidP="00E651CB">
            <w:pPr>
              <w:rPr>
                <w:rFonts w:ascii="Arial" w:hAnsi="Arial"/>
                <w:lang w:val="fr-CA"/>
              </w:rPr>
            </w:pPr>
          </w:p>
        </w:tc>
        <w:tc>
          <w:tcPr>
            <w:tcW w:w="892" w:type="dxa"/>
            <w:gridSpan w:val="2"/>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9.</w:t>
            </w:r>
            <w:r>
              <w:rPr>
                <w:rFonts w:ascii="Arial" w:hAnsi="Arial"/>
                <w:lang w:val="fr-CA"/>
              </w:rPr>
              <w:t>6</w:t>
            </w:r>
          </w:p>
        </w:tc>
        <w:tc>
          <w:tcPr>
            <w:tcW w:w="7979" w:type="dxa"/>
            <w:gridSpan w:val="10"/>
          </w:tcPr>
          <w:p w:rsidR="00E651CB" w:rsidRPr="00B40D5F" w:rsidRDefault="00E651CB" w:rsidP="00E651CB">
            <w:pPr>
              <w:pStyle w:val="Header"/>
              <w:tabs>
                <w:tab w:val="clear" w:pos="4320"/>
                <w:tab w:val="clear" w:pos="8640"/>
              </w:tabs>
              <w:rPr>
                <w:rFonts w:ascii="Arial" w:hAnsi="Arial"/>
                <w:lang w:val="fr-CA"/>
              </w:rPr>
            </w:pPr>
            <w:r w:rsidRPr="00B40D5F">
              <w:rPr>
                <w:rFonts w:ascii="Arial" w:hAnsi="Arial"/>
                <w:lang w:val="fr-CA"/>
              </w:rPr>
              <w:t>BRECHER ME. Bacterial contamination of blood products: transfusion-transmitted diseases (bacteria and parasites), 1998.</w:t>
            </w:r>
          </w:p>
          <w:p w:rsidR="00E651CB" w:rsidRPr="00B40D5F" w:rsidRDefault="00E651CB" w:rsidP="00E651CB">
            <w:pPr>
              <w:pStyle w:val="Header"/>
              <w:tabs>
                <w:tab w:val="clear" w:pos="4320"/>
                <w:tab w:val="clear" w:pos="8640"/>
              </w:tabs>
              <w:rPr>
                <w:rFonts w:ascii="Arial" w:hAnsi="Arial"/>
                <w:lang w:val="fr-CA"/>
              </w:rPr>
            </w:pPr>
          </w:p>
        </w:tc>
      </w:tr>
      <w:tr w:rsidR="00E651CB" w:rsidRPr="00B40D5F" w:rsidTr="0049678B">
        <w:tc>
          <w:tcPr>
            <w:tcW w:w="834" w:type="dxa"/>
          </w:tcPr>
          <w:p w:rsidR="00E651CB" w:rsidRPr="00B40D5F" w:rsidRDefault="00E651CB" w:rsidP="00E651CB">
            <w:pPr>
              <w:rPr>
                <w:rFonts w:ascii="Arial" w:hAnsi="Arial"/>
                <w:lang w:val="fr-CA"/>
              </w:rPr>
            </w:pPr>
          </w:p>
        </w:tc>
        <w:tc>
          <w:tcPr>
            <w:tcW w:w="892" w:type="dxa"/>
            <w:gridSpan w:val="2"/>
          </w:tcPr>
          <w:p w:rsidR="00E651CB" w:rsidRPr="00B40D5F" w:rsidRDefault="00E651CB" w:rsidP="00E651CB">
            <w:pPr>
              <w:pStyle w:val="Heading2"/>
              <w:numPr>
                <w:ilvl w:val="0"/>
                <w:numId w:val="0"/>
              </w:numPr>
              <w:rPr>
                <w:rFonts w:ascii="Arial" w:hAnsi="Arial"/>
                <w:lang w:val="fr-CA"/>
              </w:rPr>
            </w:pPr>
            <w:r w:rsidRPr="00B40D5F">
              <w:rPr>
                <w:rFonts w:ascii="Arial" w:hAnsi="Arial"/>
                <w:lang w:val="fr-CA"/>
              </w:rPr>
              <w:t>9.</w:t>
            </w:r>
            <w:r>
              <w:rPr>
                <w:rFonts w:ascii="Arial" w:hAnsi="Arial"/>
                <w:lang w:val="fr-CA"/>
              </w:rPr>
              <w:t>7</w:t>
            </w:r>
          </w:p>
        </w:tc>
        <w:tc>
          <w:tcPr>
            <w:tcW w:w="7979" w:type="dxa"/>
            <w:gridSpan w:val="10"/>
          </w:tcPr>
          <w:p w:rsidR="00E651CB" w:rsidRPr="00B40D5F" w:rsidRDefault="00E651CB" w:rsidP="006D1EFB">
            <w:pPr>
              <w:pStyle w:val="Header"/>
              <w:tabs>
                <w:tab w:val="clear" w:pos="4320"/>
                <w:tab w:val="clear" w:pos="8640"/>
              </w:tabs>
              <w:rPr>
                <w:rFonts w:ascii="Arial" w:hAnsi="Arial"/>
                <w:lang w:val="fr-CA"/>
              </w:rPr>
            </w:pPr>
            <w:r w:rsidRPr="00B40D5F">
              <w:rPr>
                <w:rFonts w:ascii="Arial" w:hAnsi="Arial"/>
                <w:lang w:val="fr-CA"/>
              </w:rPr>
              <w:t>Société canadienne du sang</w:t>
            </w:r>
            <w:r>
              <w:rPr>
                <w:rFonts w:ascii="Arial" w:hAnsi="Arial"/>
                <w:lang w:val="fr-CA"/>
              </w:rPr>
              <w:t xml:space="preserve">, </w:t>
            </w:r>
            <w:r w:rsidRPr="00AD3150">
              <w:rPr>
                <w:rFonts w:ascii="Arial" w:hAnsi="Arial"/>
                <w:i/>
              </w:rPr>
              <w:t>Visual Assessment Guide</w:t>
            </w:r>
            <w:r>
              <w:rPr>
                <w:rFonts w:ascii="Arial" w:hAnsi="Arial"/>
              </w:rPr>
              <w:t xml:space="preserve">. </w:t>
            </w:r>
            <w:r w:rsidR="006D1EFB" w:rsidRPr="006D1EFB">
              <w:rPr>
                <w:rFonts w:ascii="Arial" w:hAnsi="Arial"/>
              </w:rPr>
              <w:t xml:space="preserve">Janvier </w:t>
            </w:r>
            <w:r w:rsidRPr="006D1EFB">
              <w:rPr>
                <w:rFonts w:ascii="Arial" w:hAnsi="Arial"/>
              </w:rPr>
              <w:t>200</w:t>
            </w:r>
            <w:r w:rsidR="006D1EFB" w:rsidRPr="006D1EFB">
              <w:rPr>
                <w:rFonts w:ascii="Arial" w:hAnsi="Arial"/>
              </w:rPr>
              <w:t>9</w:t>
            </w:r>
            <w:r w:rsidRPr="006D1EFB">
              <w:rPr>
                <w:rFonts w:ascii="Arial" w:hAnsi="Arial"/>
              </w:rPr>
              <w:t>.</w:t>
            </w:r>
            <w:r>
              <w:rPr>
                <w:rFonts w:ascii="Arial" w:hAnsi="Arial"/>
              </w:rPr>
              <w:t xml:space="preserve"> </w:t>
            </w:r>
            <w:r w:rsidR="006D1EFB">
              <w:rPr>
                <w:rFonts w:ascii="Arial" w:hAnsi="Arial"/>
              </w:rPr>
              <w:t>T05 021</w:t>
            </w:r>
            <w:r>
              <w:rPr>
                <w:rFonts w:ascii="Arial" w:hAnsi="Arial"/>
              </w:rPr>
              <w:t>.</w:t>
            </w:r>
          </w:p>
        </w:tc>
      </w:tr>
    </w:tbl>
    <w:p w:rsidR="00EE4745" w:rsidRDefault="00EE4745">
      <w:pPr>
        <w:jc w:val="center"/>
        <w:rPr>
          <w:rFonts w:ascii="Arial" w:hAnsi="Arial"/>
          <w:lang w:val="fr-CA"/>
        </w:rPr>
      </w:pPr>
    </w:p>
    <w:p w:rsidR="00EE4745" w:rsidRPr="0076251F" w:rsidRDefault="00EE4745" w:rsidP="00EE4745">
      <w:pPr>
        <w:spacing w:line="228" w:lineRule="auto"/>
        <w:ind w:left="720" w:hanging="720"/>
        <w:rPr>
          <w:b/>
          <w:lang w:val="fr-CA"/>
        </w:rPr>
      </w:pPr>
      <w:r>
        <w:rPr>
          <w:rFonts w:ascii="Arial" w:hAnsi="Arial"/>
          <w:lang w:val="fr-CA"/>
        </w:rPr>
        <w:tab/>
      </w:r>
      <w:r>
        <w:rPr>
          <w:rFonts w:ascii="Arial" w:hAnsi="Arial" w:cs="Arial"/>
          <w:b/>
          <w:sz w:val="28"/>
          <w:lang w:val="fr-CA"/>
        </w:rPr>
        <w:t>10.0</w:t>
      </w:r>
      <w:r>
        <w:rPr>
          <w:rFonts w:ascii="Arial" w:hAnsi="Arial" w:cs="Arial"/>
          <w:b/>
          <w:sz w:val="28"/>
          <w:lang w:val="fr-CA"/>
        </w:rPr>
        <w:tab/>
      </w:r>
      <w:r w:rsidRPr="00167058">
        <w:rPr>
          <w:rFonts w:ascii="Arial" w:hAnsi="Arial" w:cs="Arial"/>
          <w:b/>
          <w:sz w:val="28"/>
          <w:lang w:val="fr-CA"/>
        </w:rPr>
        <w:t>Suivi des révisions</w:t>
      </w:r>
    </w:p>
    <w:p w:rsidR="00EE4745" w:rsidRPr="0076251F" w:rsidRDefault="00EE4745" w:rsidP="00EE4745">
      <w:pPr>
        <w:ind w:left="720"/>
        <w:jc w:val="center"/>
        <w:rPr>
          <w:rFonts w:ascii="Arial" w:hAnsi="Arial" w:cs="Arial"/>
          <w:b/>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EE4745" w:rsidRPr="0076251F" w:rsidTr="007D38C0">
        <w:tc>
          <w:tcPr>
            <w:tcW w:w="2235" w:type="dxa"/>
            <w:shd w:val="clear" w:color="auto" w:fill="F2F2F2"/>
          </w:tcPr>
          <w:p w:rsidR="00EE4745" w:rsidRPr="0076251F" w:rsidRDefault="00EE4745" w:rsidP="007D38C0">
            <w:pPr>
              <w:rPr>
                <w:rFonts w:ascii="Arial" w:hAnsi="Arial" w:cs="Arial"/>
                <w:b/>
                <w:szCs w:val="24"/>
                <w:lang w:val="fr-CA"/>
              </w:rPr>
            </w:pPr>
            <w:r w:rsidRPr="0076251F">
              <w:rPr>
                <w:rFonts w:ascii="Arial" w:hAnsi="Arial" w:cs="Arial"/>
                <w:b/>
                <w:szCs w:val="24"/>
                <w:lang w:val="fr-CA"/>
              </w:rPr>
              <w:t>Date de la révision</w:t>
            </w:r>
          </w:p>
        </w:tc>
        <w:tc>
          <w:tcPr>
            <w:tcW w:w="6621" w:type="dxa"/>
            <w:shd w:val="clear" w:color="auto" w:fill="F2F2F2"/>
          </w:tcPr>
          <w:p w:rsidR="00EE4745" w:rsidRPr="0076251F" w:rsidRDefault="00EE4745" w:rsidP="007D38C0">
            <w:pPr>
              <w:rPr>
                <w:rFonts w:ascii="Arial" w:hAnsi="Arial" w:cs="Arial"/>
                <w:b/>
                <w:szCs w:val="24"/>
                <w:lang w:val="fr-CA"/>
              </w:rPr>
            </w:pPr>
            <w:r w:rsidRPr="0076251F">
              <w:rPr>
                <w:rFonts w:ascii="Arial" w:hAnsi="Arial" w:cs="Arial"/>
                <w:b/>
                <w:szCs w:val="24"/>
                <w:lang w:val="fr-CA"/>
              </w:rPr>
              <w:t>Résumé des changements</w:t>
            </w:r>
          </w:p>
        </w:tc>
      </w:tr>
      <w:tr w:rsidR="00EE4745" w:rsidRPr="0076251F" w:rsidTr="007D38C0">
        <w:trPr>
          <w:trHeight w:val="1550"/>
        </w:trPr>
        <w:tc>
          <w:tcPr>
            <w:tcW w:w="2235" w:type="dxa"/>
            <w:shd w:val="clear" w:color="auto" w:fill="auto"/>
          </w:tcPr>
          <w:p w:rsidR="00EE4745" w:rsidRPr="0076251F" w:rsidRDefault="00EE4745" w:rsidP="007D38C0">
            <w:pPr>
              <w:rPr>
                <w:rFonts w:ascii="Arial" w:hAnsi="Arial" w:cs="Arial"/>
                <w:sz w:val="22"/>
                <w:szCs w:val="22"/>
                <w:lang w:val="fr-CA"/>
              </w:rPr>
            </w:pPr>
            <w:r>
              <w:rPr>
                <w:rFonts w:ascii="Arial" w:hAnsi="Arial" w:cs="Arial"/>
                <w:sz w:val="22"/>
                <w:szCs w:val="22"/>
                <w:lang w:val="fr-CA"/>
              </w:rPr>
              <w:t xml:space="preserve">8 août </w:t>
            </w:r>
            <w:r w:rsidRPr="0076251F">
              <w:rPr>
                <w:rFonts w:ascii="Arial" w:hAnsi="Arial" w:cs="Arial"/>
                <w:sz w:val="22"/>
                <w:szCs w:val="22"/>
                <w:lang w:val="fr-CA"/>
              </w:rPr>
              <w:t>2014</w:t>
            </w:r>
          </w:p>
        </w:tc>
        <w:tc>
          <w:tcPr>
            <w:tcW w:w="6621" w:type="dxa"/>
            <w:shd w:val="clear" w:color="auto" w:fill="auto"/>
          </w:tcPr>
          <w:p w:rsidR="00EE4745" w:rsidRDefault="00EE4745" w:rsidP="00EE4745">
            <w:pPr>
              <w:pStyle w:val="ListParagraph"/>
              <w:numPr>
                <w:ilvl w:val="0"/>
                <w:numId w:val="30"/>
              </w:numPr>
              <w:contextualSpacing/>
              <w:rPr>
                <w:rFonts w:ascii="Arial" w:hAnsi="Arial" w:cs="Arial"/>
                <w:sz w:val="22"/>
                <w:szCs w:val="22"/>
                <w:lang w:val="fr-CA"/>
              </w:rPr>
            </w:pPr>
            <w:r w:rsidRPr="00CE366D">
              <w:rPr>
                <w:rFonts w:ascii="Arial" w:hAnsi="Arial" w:cs="Arial"/>
                <w:sz w:val="22"/>
                <w:szCs w:val="22"/>
                <w:lang w:val="fr-CA"/>
              </w:rPr>
              <w:t>Changement du nom du manuel</w:t>
            </w:r>
          </w:p>
          <w:p w:rsidR="00EE4745" w:rsidRDefault="00EE4745" w:rsidP="00EE4745">
            <w:pPr>
              <w:pStyle w:val="ListParagraph"/>
              <w:numPr>
                <w:ilvl w:val="0"/>
                <w:numId w:val="30"/>
              </w:numPr>
              <w:contextualSpacing/>
              <w:rPr>
                <w:rFonts w:ascii="Arial" w:hAnsi="Arial" w:cs="Arial"/>
                <w:sz w:val="22"/>
                <w:szCs w:val="22"/>
                <w:lang w:val="fr-CA"/>
              </w:rPr>
            </w:pPr>
            <w:r>
              <w:rPr>
                <w:rFonts w:ascii="Arial" w:hAnsi="Arial" w:cs="Arial"/>
                <w:sz w:val="22"/>
                <w:szCs w:val="22"/>
                <w:lang w:val="fr-CA"/>
              </w:rPr>
              <w:t>Changement du titre de la procédure</w:t>
            </w:r>
          </w:p>
          <w:p w:rsidR="00EE4745" w:rsidRDefault="00EE4745" w:rsidP="00EE4745">
            <w:pPr>
              <w:pStyle w:val="ListParagraph"/>
              <w:numPr>
                <w:ilvl w:val="0"/>
                <w:numId w:val="30"/>
              </w:numPr>
              <w:contextualSpacing/>
              <w:rPr>
                <w:rFonts w:ascii="Arial" w:hAnsi="Arial" w:cs="Arial"/>
                <w:sz w:val="22"/>
                <w:szCs w:val="22"/>
                <w:lang w:val="fr-CA"/>
              </w:rPr>
            </w:pPr>
            <w:r>
              <w:rPr>
                <w:rFonts w:ascii="Arial" w:hAnsi="Arial" w:cs="Arial"/>
                <w:sz w:val="22"/>
                <w:szCs w:val="22"/>
                <w:lang w:val="fr-CA"/>
              </w:rPr>
              <w:t>Remplacement de l’expression « produit(s) de fractionnement » par protéines plasmatiques dans l’ensemble du document</w:t>
            </w:r>
          </w:p>
          <w:p w:rsidR="000C6B32" w:rsidRDefault="000C6B32" w:rsidP="00EE4745">
            <w:pPr>
              <w:pStyle w:val="ListParagraph"/>
              <w:numPr>
                <w:ilvl w:val="0"/>
                <w:numId w:val="30"/>
              </w:numPr>
              <w:contextualSpacing/>
              <w:rPr>
                <w:rFonts w:ascii="Arial" w:hAnsi="Arial" w:cs="Arial"/>
                <w:sz w:val="22"/>
                <w:szCs w:val="22"/>
                <w:lang w:val="fr-CA"/>
              </w:rPr>
            </w:pPr>
            <w:r>
              <w:rPr>
                <w:rFonts w:ascii="Arial" w:hAnsi="Arial" w:cs="Arial"/>
                <w:sz w:val="22"/>
                <w:szCs w:val="22"/>
                <w:lang w:val="fr-CA"/>
              </w:rPr>
              <w:t>Déplacement ou ajout d’éléments d’information dans la section 6</w:t>
            </w:r>
          </w:p>
          <w:p w:rsidR="00EE4745" w:rsidRDefault="00EE4745" w:rsidP="00EE4745">
            <w:pPr>
              <w:pStyle w:val="ListParagraph"/>
              <w:numPr>
                <w:ilvl w:val="0"/>
                <w:numId w:val="30"/>
              </w:numPr>
              <w:contextualSpacing/>
              <w:rPr>
                <w:rFonts w:ascii="Arial" w:hAnsi="Arial" w:cs="Arial"/>
                <w:sz w:val="22"/>
                <w:szCs w:val="22"/>
                <w:lang w:val="fr-CA"/>
              </w:rPr>
            </w:pPr>
            <w:r>
              <w:rPr>
                <w:rFonts w:ascii="Arial" w:hAnsi="Arial" w:cs="Arial"/>
                <w:sz w:val="22"/>
                <w:szCs w:val="22"/>
                <w:lang w:val="fr-CA"/>
              </w:rPr>
              <w:t xml:space="preserve">Révision des sections 5.0 et </w:t>
            </w:r>
            <w:r w:rsidR="006D1EFB">
              <w:rPr>
                <w:rFonts w:ascii="Arial" w:hAnsi="Arial" w:cs="Arial"/>
                <w:sz w:val="22"/>
                <w:szCs w:val="22"/>
                <w:lang w:val="fr-CA"/>
              </w:rPr>
              <w:t>8</w:t>
            </w:r>
          </w:p>
          <w:p w:rsidR="000C6B32" w:rsidRDefault="000C6B32" w:rsidP="00EE4745">
            <w:pPr>
              <w:pStyle w:val="ListParagraph"/>
              <w:numPr>
                <w:ilvl w:val="0"/>
                <w:numId w:val="30"/>
              </w:numPr>
              <w:contextualSpacing/>
              <w:rPr>
                <w:rFonts w:ascii="Arial" w:hAnsi="Arial" w:cs="Arial"/>
                <w:sz w:val="22"/>
                <w:szCs w:val="22"/>
                <w:lang w:val="fr-CA"/>
              </w:rPr>
            </w:pPr>
            <w:r>
              <w:rPr>
                <w:rFonts w:ascii="Arial" w:hAnsi="Arial" w:cs="Arial"/>
                <w:sz w:val="22"/>
                <w:szCs w:val="22"/>
                <w:lang w:val="fr-CA"/>
              </w:rPr>
              <w:t>Ajout de la section 8.3</w:t>
            </w:r>
          </w:p>
          <w:p w:rsidR="00EE4745" w:rsidRPr="0076251F" w:rsidRDefault="00EE4745" w:rsidP="00EE4745">
            <w:pPr>
              <w:pStyle w:val="ListParagraph"/>
              <w:numPr>
                <w:ilvl w:val="0"/>
                <w:numId w:val="30"/>
              </w:numPr>
              <w:contextualSpacing/>
              <w:rPr>
                <w:rFonts w:ascii="Arial" w:hAnsi="Arial" w:cs="Arial"/>
                <w:sz w:val="22"/>
                <w:szCs w:val="22"/>
                <w:lang w:val="fr-CA"/>
              </w:rPr>
            </w:pPr>
            <w:r w:rsidRPr="00CE366D">
              <w:rPr>
                <w:rFonts w:ascii="Arial" w:hAnsi="Arial" w:cs="Arial"/>
                <w:sz w:val="22"/>
                <w:szCs w:val="22"/>
                <w:lang w:val="fr-CA"/>
              </w:rPr>
              <w:t>Mise à jour de toutes les références</w:t>
            </w:r>
          </w:p>
        </w:tc>
      </w:tr>
    </w:tbl>
    <w:p w:rsidR="00EE4745" w:rsidRDefault="00EE4745" w:rsidP="00EE4745">
      <w:pPr>
        <w:tabs>
          <w:tab w:val="left" w:pos="709"/>
        </w:tabs>
        <w:rPr>
          <w:rFonts w:ascii="Arial" w:hAnsi="Arial"/>
          <w:lang w:val="fr-CA"/>
        </w:rPr>
      </w:pPr>
    </w:p>
    <w:p w:rsidR="00B92E8B" w:rsidRPr="00B40D5F" w:rsidRDefault="007B3C32">
      <w:pPr>
        <w:jc w:val="center"/>
        <w:rPr>
          <w:rFonts w:ascii="Arial" w:hAnsi="Arial"/>
          <w:b/>
          <w:u w:val="single"/>
          <w:lang w:val="fr-CA"/>
        </w:rPr>
      </w:pPr>
      <w:r w:rsidRPr="00EE4745">
        <w:rPr>
          <w:rFonts w:ascii="Arial" w:hAnsi="Arial"/>
          <w:lang w:val="fr-CA"/>
        </w:rPr>
        <w:br w:type="page"/>
      </w:r>
      <w:r w:rsidR="00B92E8B" w:rsidRPr="00B40D5F">
        <w:rPr>
          <w:rFonts w:ascii="Arial" w:hAnsi="Arial"/>
          <w:b/>
          <w:u w:val="single"/>
          <w:lang w:val="fr-CA"/>
        </w:rPr>
        <w:t>FIGURE</w:t>
      </w:r>
      <w:r w:rsidR="00B637AF" w:rsidRPr="00B40D5F">
        <w:rPr>
          <w:rFonts w:ascii="Arial" w:hAnsi="Arial"/>
          <w:b/>
          <w:u w:val="single"/>
          <w:lang w:val="fr-CA"/>
        </w:rPr>
        <w:t xml:space="preserve"> </w:t>
      </w:r>
      <w:r w:rsidR="00B92E8B" w:rsidRPr="00B40D5F">
        <w:rPr>
          <w:rFonts w:ascii="Arial" w:hAnsi="Arial"/>
          <w:b/>
          <w:u w:val="single"/>
          <w:lang w:val="fr-CA"/>
        </w:rPr>
        <w:t>1</w:t>
      </w:r>
    </w:p>
    <w:p w:rsidR="00EB6F24" w:rsidRPr="00877A94" w:rsidRDefault="00EB6F24" w:rsidP="00EB6F24">
      <w:pPr>
        <w:rPr>
          <w:rFonts w:ascii="Arial" w:hAnsi="Arial"/>
          <w:b/>
          <w:snapToGrid w:val="0"/>
          <w:lang w:val="fr-CA"/>
        </w:rPr>
      </w:pPr>
    </w:p>
    <w:p w:rsidR="00EB6F24" w:rsidRPr="00877A94" w:rsidRDefault="000A32EA" w:rsidP="00EB6F24">
      <w:pPr>
        <w:rPr>
          <w:rFonts w:ascii="Arial" w:hAnsi="Arial"/>
          <w:b/>
          <w:snapToGrid w:val="0"/>
          <w:lang w:val="fr-CA"/>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40.95pt;margin-top:5.7pt;width:513.95pt;height:369pt;z-index:251657728">
            <v:imagedata r:id="rId10" o:title=""/>
            <w10:wrap type="topAndBottom"/>
          </v:shape>
          <o:OLEObject Type="Embed" ProgID="PowerPoint.Slide.8" ShapeID="_x0000_s1043" DrawAspect="Content" ObjectID="_1658724794" r:id="rId11"/>
        </w:object>
      </w:r>
      <w:r w:rsidR="00EB6F24" w:rsidRPr="00877A94">
        <w:rPr>
          <w:rFonts w:ascii="Arial" w:hAnsi="Arial"/>
          <w:b/>
          <w:snapToGrid w:val="0"/>
          <w:lang w:val="fr-CA"/>
        </w:rPr>
        <w:t>Inspection visuelle d’une unité de sang</w:t>
      </w:r>
      <w:r w:rsidR="00EB6F24">
        <w:rPr>
          <w:rFonts w:ascii="Arial" w:hAnsi="Arial"/>
          <w:lang w:val="fr-CA"/>
        </w:rPr>
        <w:t> </w:t>
      </w:r>
      <w:r w:rsidR="00EB6F24" w:rsidRPr="00877A94">
        <w:rPr>
          <w:rFonts w:ascii="Arial" w:hAnsi="Arial"/>
          <w:b/>
          <w:snapToGrid w:val="0"/>
          <w:lang w:val="fr-CA"/>
        </w:rPr>
        <w:t xml:space="preserve">: </w:t>
      </w:r>
      <w:r w:rsidR="00EB6F24">
        <w:rPr>
          <w:rFonts w:ascii="Arial" w:hAnsi="Arial"/>
          <w:b/>
          <w:snapToGrid w:val="0"/>
          <w:lang w:val="fr-CA"/>
        </w:rPr>
        <w:t>Il</w:t>
      </w:r>
      <w:r w:rsidR="00EB6F24" w:rsidRPr="00877A94">
        <w:rPr>
          <w:rFonts w:ascii="Arial" w:hAnsi="Arial"/>
          <w:b/>
          <w:snapToGrid w:val="0"/>
          <w:lang w:val="fr-CA"/>
        </w:rPr>
        <w:t xml:space="preserve"> doit n’y avoir </w:t>
      </w:r>
      <w:r w:rsidR="00EB6F24">
        <w:rPr>
          <w:rFonts w:ascii="Arial" w:hAnsi="Arial"/>
          <w:b/>
          <w:snapToGrid w:val="0"/>
          <w:lang w:val="fr-CA"/>
        </w:rPr>
        <w:t>ni</w:t>
      </w:r>
      <w:r w:rsidR="00EB6F24" w:rsidRPr="00877A94">
        <w:rPr>
          <w:rFonts w:ascii="Arial" w:hAnsi="Arial"/>
          <w:b/>
          <w:snapToGrid w:val="0"/>
          <w:lang w:val="fr-CA"/>
        </w:rPr>
        <w:t xml:space="preserve"> fuite, </w:t>
      </w:r>
      <w:r w:rsidR="00EB6F24">
        <w:rPr>
          <w:rFonts w:ascii="Arial" w:hAnsi="Arial"/>
          <w:b/>
          <w:snapToGrid w:val="0"/>
          <w:lang w:val="fr-CA"/>
        </w:rPr>
        <w:t xml:space="preserve">ni </w:t>
      </w:r>
      <w:r w:rsidR="00EB6F24" w:rsidRPr="00877A94">
        <w:rPr>
          <w:rFonts w:ascii="Arial" w:hAnsi="Arial"/>
          <w:b/>
          <w:snapToGrid w:val="0"/>
          <w:lang w:val="fr-CA"/>
        </w:rPr>
        <w:t xml:space="preserve">caillot visible, ni hémolyse. Les cellules doivent être de couleur normale. Il faut signaler toute anomalie au fournisseur en se servant du formulaire approprié. </w:t>
      </w:r>
      <w:r w:rsidR="00E35E73">
        <w:rPr>
          <w:rFonts w:ascii="Arial" w:hAnsi="Arial"/>
          <w:b/>
          <w:snapToGrid w:val="0"/>
          <w:lang w:val="fr-CA"/>
        </w:rPr>
        <w:br/>
      </w:r>
      <w:r w:rsidR="00EB6F24" w:rsidRPr="00877A94">
        <w:rPr>
          <w:rFonts w:ascii="Arial" w:hAnsi="Arial"/>
          <w:b/>
          <w:snapToGrid w:val="0"/>
          <w:lang w:val="fr-CA"/>
        </w:rPr>
        <w:t>Les résultats de l’inspection visuelle doivent être documentés</w:t>
      </w:r>
      <w:r w:rsidR="000C6B32">
        <w:rPr>
          <w:rFonts w:ascii="Arial" w:hAnsi="Arial"/>
          <w:b/>
          <w:snapToGrid w:val="0"/>
          <w:lang w:val="fr-CA"/>
        </w:rPr>
        <w:t xml:space="preserve"> au moment de la réception, de l’émission pour transfusion ou d’expédition du produit à un autre établissement</w:t>
      </w:r>
      <w:r w:rsidR="00E35E73">
        <w:rPr>
          <w:rFonts w:ascii="Arial" w:hAnsi="Arial"/>
          <w:b/>
          <w:snapToGrid w:val="0"/>
          <w:lang w:val="fr-CA"/>
        </w:rPr>
        <w:t>.</w:t>
      </w:r>
    </w:p>
    <w:p w:rsidR="00E651CB" w:rsidRDefault="00E651CB" w:rsidP="00F46269">
      <w:pPr>
        <w:spacing w:line="228" w:lineRule="auto"/>
        <w:rPr>
          <w:rFonts w:ascii="Arial" w:hAnsi="Arial"/>
          <w:lang w:val="fr-CA"/>
        </w:rPr>
      </w:pPr>
    </w:p>
    <w:p w:rsidR="005B0469" w:rsidRPr="00B40D5F" w:rsidRDefault="005B0469" w:rsidP="000C6B32">
      <w:pPr>
        <w:spacing w:line="228" w:lineRule="auto"/>
        <w:rPr>
          <w:lang w:val="fr-CA"/>
        </w:rPr>
      </w:pPr>
    </w:p>
    <w:sectPr w:rsidR="005B0469" w:rsidRPr="00B40D5F">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2EA" w:rsidRDefault="000A32EA">
      <w:r>
        <w:separator/>
      </w:r>
    </w:p>
    <w:p w:rsidR="000A32EA" w:rsidRDefault="000A32EA"/>
  </w:endnote>
  <w:endnote w:type="continuationSeparator" w:id="0">
    <w:p w:rsidR="000A32EA" w:rsidRDefault="000A32EA">
      <w:r>
        <w:continuationSeparator/>
      </w:r>
    </w:p>
    <w:p w:rsidR="000A32EA" w:rsidRDefault="000A3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205" w:rsidRDefault="003A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B92E8B" w:rsidRPr="009B0593">
      <w:tc>
        <w:tcPr>
          <w:tcW w:w="1512" w:type="dxa"/>
        </w:tcPr>
        <w:p w:rsidR="00B92E8B" w:rsidRDefault="00B92E8B">
          <w:pPr>
            <w:pStyle w:val="Footer"/>
            <w:jc w:val="center"/>
            <w:rPr>
              <w:rFonts w:ascii="Verdana" w:hAnsi="Verdana"/>
              <w:sz w:val="8"/>
            </w:rPr>
          </w:pPr>
        </w:p>
        <w:p w:rsidR="00B92E8B" w:rsidRDefault="00E407C4">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832" w:type="dxa"/>
        </w:tcPr>
        <w:p w:rsidR="00B92E8B" w:rsidRPr="009B0593" w:rsidRDefault="00B92E8B">
          <w:pPr>
            <w:pStyle w:val="Footer"/>
            <w:jc w:val="center"/>
            <w:rPr>
              <w:rFonts w:ascii="Verdana" w:hAnsi="Verdana"/>
              <w:sz w:val="16"/>
            </w:rPr>
          </w:pPr>
        </w:p>
        <w:p w:rsidR="00B92E8B" w:rsidRPr="009B0593" w:rsidRDefault="00EE4745" w:rsidP="00394A54">
          <w:pPr>
            <w:pStyle w:val="Footer"/>
            <w:jc w:val="center"/>
            <w:rPr>
              <w:rFonts w:ascii="Arial" w:hAnsi="Arial"/>
              <w:sz w:val="18"/>
            </w:rPr>
          </w:pPr>
          <w:r w:rsidRPr="002F220B">
            <w:rPr>
              <w:rFonts w:ascii="Arial" w:hAnsi="Arial" w:cs="Arial"/>
              <w:bCs/>
              <w:sz w:val="18"/>
              <w:szCs w:val="28"/>
              <w:lang w:val="fr-CA"/>
            </w:rPr>
            <w:t>Réseau régional ontarien de coordination du sang</w:t>
          </w:r>
          <w:r w:rsidRPr="002F220B">
            <w:rPr>
              <w:rFonts w:ascii="Arial" w:hAnsi="Arial" w:cs="Arial"/>
              <w:bCs/>
              <w:sz w:val="18"/>
              <w:szCs w:val="28"/>
              <w:lang w:val="fr-CA"/>
            </w:rPr>
            <w:br/>
            <w:t>Manuel de ressources techniques en transfusion de l’Ontario</w:t>
          </w:r>
          <w:r w:rsidRPr="009B0593">
            <w:rPr>
              <w:rFonts w:ascii="Arial" w:hAnsi="Arial"/>
              <w:sz w:val="18"/>
            </w:rPr>
            <w:t xml:space="preserve"> </w:t>
          </w:r>
        </w:p>
      </w:tc>
      <w:tc>
        <w:tcPr>
          <w:tcW w:w="1494" w:type="dxa"/>
        </w:tcPr>
        <w:p w:rsidR="00B92E8B" w:rsidRPr="009B0593" w:rsidRDefault="00B92E8B">
          <w:pPr>
            <w:pStyle w:val="Footer"/>
            <w:jc w:val="right"/>
            <w:rPr>
              <w:rFonts w:ascii="Verdana" w:hAnsi="Verdana"/>
              <w:sz w:val="16"/>
            </w:rPr>
          </w:pPr>
        </w:p>
        <w:p w:rsidR="00B92E8B" w:rsidRPr="009B0593" w:rsidRDefault="00B92E8B">
          <w:pPr>
            <w:pStyle w:val="Footer"/>
            <w:jc w:val="right"/>
            <w:rPr>
              <w:rFonts w:ascii="Arial" w:hAnsi="Arial"/>
              <w:sz w:val="18"/>
            </w:rPr>
          </w:pPr>
          <w:r w:rsidRPr="009B0593">
            <w:rPr>
              <w:rFonts w:ascii="Arial" w:hAnsi="Arial"/>
              <w:sz w:val="18"/>
            </w:rPr>
            <w:t>G</w:t>
          </w:r>
          <w:r w:rsidR="00DE60D1">
            <w:rPr>
              <w:rFonts w:ascii="Arial" w:hAnsi="Arial"/>
              <w:sz w:val="18"/>
            </w:rPr>
            <w:t>S</w:t>
          </w:r>
          <w:r w:rsidRPr="009B0593">
            <w:rPr>
              <w:rFonts w:ascii="Arial" w:hAnsi="Arial"/>
              <w:sz w:val="18"/>
            </w:rPr>
            <w:t>.003</w:t>
          </w:r>
        </w:p>
        <w:p w:rsidR="00B92E8B" w:rsidRPr="009B0593" w:rsidRDefault="00B92E8B">
          <w:pPr>
            <w:pStyle w:val="Footer"/>
            <w:jc w:val="right"/>
            <w:rPr>
              <w:rFonts w:ascii="Verdana" w:hAnsi="Verdana"/>
              <w:sz w:val="16"/>
            </w:rPr>
          </w:pPr>
          <w:r w:rsidRPr="009B0593">
            <w:rPr>
              <w:rFonts w:ascii="Arial" w:hAnsi="Arial"/>
              <w:sz w:val="18"/>
            </w:rPr>
            <w:t xml:space="preserve">Page </w:t>
          </w:r>
          <w:r w:rsidRPr="009B0593">
            <w:rPr>
              <w:rFonts w:ascii="Arial" w:hAnsi="Arial"/>
              <w:sz w:val="18"/>
            </w:rPr>
            <w:fldChar w:fldCharType="begin"/>
          </w:r>
          <w:r w:rsidRPr="009B0593">
            <w:rPr>
              <w:rFonts w:ascii="Arial" w:hAnsi="Arial"/>
              <w:sz w:val="18"/>
            </w:rPr>
            <w:instrText xml:space="preserve"> PAGE </w:instrText>
          </w:r>
          <w:r w:rsidRPr="009B0593">
            <w:rPr>
              <w:rFonts w:ascii="Arial" w:hAnsi="Arial"/>
              <w:sz w:val="18"/>
            </w:rPr>
            <w:fldChar w:fldCharType="separate"/>
          </w:r>
          <w:r w:rsidR="004729EC">
            <w:rPr>
              <w:rFonts w:ascii="Arial" w:hAnsi="Arial"/>
              <w:noProof/>
              <w:sz w:val="18"/>
            </w:rPr>
            <w:t>9</w:t>
          </w:r>
          <w:r w:rsidRPr="009B0593">
            <w:rPr>
              <w:rFonts w:ascii="Arial" w:hAnsi="Arial"/>
              <w:sz w:val="18"/>
            </w:rPr>
            <w:fldChar w:fldCharType="end"/>
          </w:r>
          <w:r w:rsidRPr="009B0593">
            <w:rPr>
              <w:rFonts w:ascii="Arial" w:hAnsi="Arial"/>
              <w:sz w:val="18"/>
            </w:rPr>
            <w:t xml:space="preserve"> de </w:t>
          </w:r>
          <w:r w:rsidRPr="009B0593">
            <w:rPr>
              <w:rFonts w:ascii="Arial" w:hAnsi="Arial"/>
              <w:sz w:val="18"/>
            </w:rPr>
            <w:fldChar w:fldCharType="begin"/>
          </w:r>
          <w:r w:rsidRPr="009B0593">
            <w:rPr>
              <w:rFonts w:ascii="Arial" w:hAnsi="Arial"/>
              <w:sz w:val="18"/>
            </w:rPr>
            <w:instrText xml:space="preserve"> NUMPAGES </w:instrText>
          </w:r>
          <w:r w:rsidRPr="009B0593">
            <w:rPr>
              <w:rFonts w:ascii="Arial" w:hAnsi="Arial"/>
              <w:sz w:val="18"/>
            </w:rPr>
            <w:fldChar w:fldCharType="separate"/>
          </w:r>
          <w:r w:rsidR="004729EC">
            <w:rPr>
              <w:rFonts w:ascii="Arial" w:hAnsi="Arial"/>
              <w:noProof/>
              <w:sz w:val="18"/>
            </w:rPr>
            <w:t>9</w:t>
          </w:r>
          <w:r w:rsidRPr="009B0593">
            <w:rPr>
              <w:rFonts w:ascii="Arial" w:hAnsi="Arial"/>
              <w:sz w:val="18"/>
            </w:rPr>
            <w:fldChar w:fldCharType="end"/>
          </w:r>
        </w:p>
      </w:tc>
    </w:tr>
  </w:tbl>
  <w:p w:rsidR="00B92E8B" w:rsidRDefault="00B92E8B">
    <w:pPr>
      <w:pStyle w:val="Footer"/>
      <w:spacing w:line="14" w:lineRule="exact"/>
    </w:pPr>
  </w:p>
  <w:p w:rsidR="00B92E8B" w:rsidRDefault="00B92E8B">
    <w:pPr>
      <w:rPr>
        <w:sz w:val="2"/>
      </w:rPr>
    </w:pPr>
  </w:p>
  <w:p w:rsidR="00B92E8B" w:rsidRDefault="00B92E8B">
    <w:pPr>
      <w:rPr>
        <w:sz w:val="2"/>
      </w:rPr>
    </w:pPr>
  </w:p>
  <w:p w:rsidR="00B92E8B" w:rsidRDefault="00B92E8B">
    <w:pPr>
      <w:rPr>
        <w:sz w:val="6"/>
      </w:rPr>
    </w:pPr>
  </w:p>
  <w:p w:rsidR="00B92E8B" w:rsidRDefault="00B92E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B92E8B">
      <w:tc>
        <w:tcPr>
          <w:tcW w:w="1512" w:type="dxa"/>
        </w:tcPr>
        <w:p w:rsidR="00B92E8B" w:rsidRDefault="00B92E8B">
          <w:pPr>
            <w:pStyle w:val="Footer"/>
            <w:jc w:val="center"/>
            <w:rPr>
              <w:rFonts w:ascii="Verdana" w:hAnsi="Verdana"/>
              <w:sz w:val="8"/>
            </w:rPr>
          </w:pPr>
        </w:p>
        <w:p w:rsidR="00B92E8B" w:rsidRDefault="00E407C4">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4" name="Picture 4"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832" w:type="dxa"/>
        </w:tcPr>
        <w:p w:rsidR="00B92E8B" w:rsidRPr="009B0593" w:rsidRDefault="00B92E8B">
          <w:pPr>
            <w:pStyle w:val="Footer"/>
            <w:jc w:val="center"/>
            <w:rPr>
              <w:rFonts w:ascii="Verdana" w:hAnsi="Verdana"/>
              <w:sz w:val="16"/>
            </w:rPr>
          </w:pPr>
        </w:p>
        <w:p w:rsidR="00B92E8B" w:rsidRPr="009B0593" w:rsidRDefault="00EE4745">
          <w:pPr>
            <w:pStyle w:val="Footer"/>
            <w:jc w:val="center"/>
            <w:rPr>
              <w:rFonts w:ascii="Arial" w:hAnsi="Arial"/>
              <w:sz w:val="18"/>
            </w:rPr>
          </w:pPr>
          <w:r w:rsidRPr="002F220B">
            <w:rPr>
              <w:rFonts w:ascii="Arial" w:hAnsi="Arial" w:cs="Arial"/>
              <w:bCs/>
              <w:sz w:val="18"/>
              <w:szCs w:val="28"/>
              <w:lang w:val="fr-CA"/>
            </w:rPr>
            <w:t>Réseau régional ontarien de coordination du sang</w:t>
          </w:r>
          <w:r w:rsidRPr="002F220B">
            <w:rPr>
              <w:rFonts w:ascii="Arial" w:hAnsi="Arial" w:cs="Arial"/>
              <w:bCs/>
              <w:sz w:val="18"/>
              <w:szCs w:val="28"/>
              <w:lang w:val="fr-CA"/>
            </w:rPr>
            <w:br/>
            <w:t>Manuel de ressources techniques en transfusion de l’Ontario</w:t>
          </w:r>
          <w:r w:rsidRPr="009B0593">
            <w:rPr>
              <w:rFonts w:ascii="Arial" w:hAnsi="Arial"/>
              <w:sz w:val="18"/>
            </w:rPr>
            <w:t xml:space="preserve"> </w:t>
          </w:r>
        </w:p>
      </w:tc>
      <w:tc>
        <w:tcPr>
          <w:tcW w:w="1494" w:type="dxa"/>
        </w:tcPr>
        <w:p w:rsidR="00B92E8B" w:rsidRPr="009B0593" w:rsidRDefault="00B92E8B">
          <w:pPr>
            <w:pStyle w:val="Footer"/>
            <w:jc w:val="right"/>
            <w:rPr>
              <w:rFonts w:ascii="Verdana" w:hAnsi="Verdana"/>
              <w:sz w:val="16"/>
            </w:rPr>
          </w:pPr>
        </w:p>
        <w:p w:rsidR="00B92E8B" w:rsidRPr="009B0593" w:rsidRDefault="00B92E8B">
          <w:pPr>
            <w:pStyle w:val="Footer"/>
            <w:jc w:val="right"/>
            <w:rPr>
              <w:rFonts w:ascii="Arial" w:hAnsi="Arial"/>
              <w:sz w:val="18"/>
            </w:rPr>
          </w:pPr>
          <w:r w:rsidRPr="009B0593">
            <w:rPr>
              <w:rFonts w:ascii="Arial" w:hAnsi="Arial"/>
              <w:sz w:val="18"/>
            </w:rPr>
            <w:t>G</w:t>
          </w:r>
          <w:r w:rsidR="00DE60D1">
            <w:rPr>
              <w:rFonts w:ascii="Arial" w:hAnsi="Arial"/>
              <w:sz w:val="18"/>
            </w:rPr>
            <w:t>S</w:t>
          </w:r>
          <w:r w:rsidRPr="009B0593">
            <w:rPr>
              <w:rFonts w:ascii="Arial" w:hAnsi="Arial"/>
              <w:sz w:val="18"/>
            </w:rPr>
            <w:t>.003</w:t>
          </w:r>
        </w:p>
        <w:p w:rsidR="00B92E8B" w:rsidRPr="009B0593" w:rsidRDefault="00B92E8B">
          <w:pPr>
            <w:pStyle w:val="Footer"/>
            <w:jc w:val="right"/>
            <w:rPr>
              <w:rFonts w:ascii="Verdana" w:hAnsi="Verdana"/>
              <w:sz w:val="16"/>
            </w:rPr>
          </w:pPr>
          <w:r w:rsidRPr="009B0593">
            <w:rPr>
              <w:rFonts w:ascii="Arial" w:hAnsi="Arial"/>
              <w:sz w:val="18"/>
            </w:rPr>
            <w:t xml:space="preserve">Page </w:t>
          </w:r>
          <w:r w:rsidRPr="009B0593">
            <w:rPr>
              <w:rFonts w:ascii="Arial" w:hAnsi="Arial"/>
              <w:sz w:val="18"/>
            </w:rPr>
            <w:fldChar w:fldCharType="begin"/>
          </w:r>
          <w:r w:rsidRPr="009B0593">
            <w:rPr>
              <w:rFonts w:ascii="Arial" w:hAnsi="Arial"/>
              <w:sz w:val="18"/>
            </w:rPr>
            <w:instrText xml:space="preserve"> PAGE </w:instrText>
          </w:r>
          <w:r w:rsidRPr="009B0593">
            <w:rPr>
              <w:rFonts w:ascii="Arial" w:hAnsi="Arial"/>
              <w:sz w:val="18"/>
            </w:rPr>
            <w:fldChar w:fldCharType="separate"/>
          </w:r>
          <w:r w:rsidR="004729EC">
            <w:rPr>
              <w:rFonts w:ascii="Arial" w:hAnsi="Arial"/>
              <w:noProof/>
              <w:sz w:val="18"/>
            </w:rPr>
            <w:t>1</w:t>
          </w:r>
          <w:r w:rsidRPr="009B0593">
            <w:rPr>
              <w:rFonts w:ascii="Arial" w:hAnsi="Arial"/>
              <w:sz w:val="18"/>
            </w:rPr>
            <w:fldChar w:fldCharType="end"/>
          </w:r>
          <w:r w:rsidRPr="009B0593">
            <w:rPr>
              <w:rFonts w:ascii="Arial" w:hAnsi="Arial"/>
              <w:sz w:val="18"/>
            </w:rPr>
            <w:t xml:space="preserve"> de </w:t>
          </w:r>
          <w:r w:rsidRPr="009B0593">
            <w:rPr>
              <w:rFonts w:ascii="Arial" w:hAnsi="Arial"/>
              <w:sz w:val="18"/>
            </w:rPr>
            <w:fldChar w:fldCharType="begin"/>
          </w:r>
          <w:r w:rsidRPr="009B0593">
            <w:rPr>
              <w:rFonts w:ascii="Arial" w:hAnsi="Arial"/>
              <w:sz w:val="18"/>
            </w:rPr>
            <w:instrText xml:space="preserve"> NUMPAGES </w:instrText>
          </w:r>
          <w:r w:rsidRPr="009B0593">
            <w:rPr>
              <w:rFonts w:ascii="Arial" w:hAnsi="Arial"/>
              <w:sz w:val="18"/>
            </w:rPr>
            <w:fldChar w:fldCharType="separate"/>
          </w:r>
          <w:r w:rsidR="004729EC">
            <w:rPr>
              <w:rFonts w:ascii="Arial" w:hAnsi="Arial"/>
              <w:noProof/>
              <w:sz w:val="18"/>
            </w:rPr>
            <w:t>2</w:t>
          </w:r>
          <w:r w:rsidRPr="009B0593">
            <w:rPr>
              <w:rFonts w:ascii="Arial" w:hAnsi="Arial"/>
              <w:sz w:val="18"/>
            </w:rPr>
            <w:fldChar w:fldCharType="end"/>
          </w:r>
        </w:p>
      </w:tc>
    </w:tr>
  </w:tbl>
  <w:p w:rsidR="00B92E8B" w:rsidRDefault="00B92E8B">
    <w:pPr>
      <w:pStyle w:val="Footer"/>
    </w:pPr>
  </w:p>
  <w:p w:rsidR="00B92E8B" w:rsidRDefault="00B92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2EA" w:rsidRDefault="000A32EA">
      <w:r>
        <w:separator/>
      </w:r>
    </w:p>
    <w:p w:rsidR="000A32EA" w:rsidRDefault="000A32EA"/>
  </w:footnote>
  <w:footnote w:type="continuationSeparator" w:id="0">
    <w:p w:rsidR="000A32EA" w:rsidRDefault="000A32EA">
      <w:r>
        <w:continuationSeparator/>
      </w:r>
    </w:p>
    <w:p w:rsidR="000A32EA" w:rsidRDefault="000A3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205" w:rsidRDefault="003A4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748"/>
    </w:tblGrid>
    <w:tr w:rsidR="00B92E8B">
      <w:trPr>
        <w:trHeight w:val="810"/>
      </w:trPr>
      <w:tc>
        <w:tcPr>
          <w:tcW w:w="8748" w:type="dxa"/>
        </w:tcPr>
        <w:p w:rsidR="00836252" w:rsidRPr="00CD6196" w:rsidRDefault="00836252" w:rsidP="00836252">
          <w:pPr>
            <w:pStyle w:val="Header"/>
            <w:tabs>
              <w:tab w:val="left" w:pos="6617"/>
            </w:tabs>
            <w:jc w:val="center"/>
            <w:rPr>
              <w:rFonts w:ascii="Arial" w:hAnsi="Arial"/>
              <w:b/>
              <w:sz w:val="28"/>
              <w:lang w:val="fr-CA"/>
            </w:rPr>
          </w:pPr>
          <w:r w:rsidRPr="00CD6196">
            <w:rPr>
              <w:rFonts w:ascii="Arial" w:hAnsi="Arial"/>
              <w:b/>
              <w:sz w:val="28"/>
              <w:lang w:val="fr-CA"/>
            </w:rPr>
            <w:t xml:space="preserve">Inspection visuelle des composants sanguins </w:t>
          </w:r>
        </w:p>
        <w:p w:rsidR="00836252" w:rsidRPr="00CD6196" w:rsidRDefault="00836252" w:rsidP="00836252">
          <w:pPr>
            <w:pStyle w:val="Header"/>
            <w:tabs>
              <w:tab w:val="left" w:pos="6617"/>
            </w:tabs>
            <w:jc w:val="center"/>
            <w:rPr>
              <w:rFonts w:ascii="Arial" w:hAnsi="Arial"/>
              <w:b/>
              <w:sz w:val="28"/>
              <w:lang w:val="fr-CA"/>
            </w:rPr>
          </w:pPr>
          <w:r w:rsidRPr="00CD6196">
            <w:rPr>
              <w:rFonts w:ascii="Arial" w:hAnsi="Arial"/>
              <w:b/>
              <w:sz w:val="28"/>
              <w:lang w:val="fr-CA"/>
            </w:rPr>
            <w:t>et des pro</w:t>
          </w:r>
          <w:r>
            <w:rPr>
              <w:rFonts w:ascii="Arial" w:hAnsi="Arial"/>
              <w:b/>
              <w:sz w:val="28"/>
              <w:lang w:val="fr-CA"/>
            </w:rPr>
            <w:t>téines plasmatiques</w:t>
          </w:r>
        </w:p>
        <w:p w:rsidR="00B92E8B" w:rsidRDefault="00B92E8B">
          <w:pPr>
            <w:pStyle w:val="Header"/>
            <w:jc w:val="center"/>
            <w:rPr>
              <w:rFonts w:ascii="Arial" w:hAnsi="Arial"/>
              <w:b/>
            </w:rPr>
          </w:pPr>
        </w:p>
      </w:tc>
    </w:tr>
  </w:tbl>
  <w:p w:rsidR="00B92E8B" w:rsidRDefault="00B92E8B">
    <w:pPr>
      <w:pStyle w:val="Header"/>
      <w:spacing w:line="14" w:lineRule="exact"/>
    </w:pPr>
  </w:p>
  <w:p w:rsidR="00B92E8B" w:rsidRDefault="00B92E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8B" w:rsidRPr="00CD6196" w:rsidRDefault="00E407C4">
    <w:pPr>
      <w:pStyle w:val="Header"/>
      <w:tabs>
        <w:tab w:val="clear" w:pos="8640"/>
        <w:tab w:val="left" w:pos="5057"/>
      </w:tabs>
    </w:pPr>
    <w:r>
      <w:rPr>
        <w:rFonts w:ascii="Verdana" w:hAnsi="Verdana"/>
        <w:noProof/>
        <w:sz w:val="8"/>
      </w:rPr>
      <w:drawing>
        <wp:inline distT="0" distB="0" distL="0" distR="0">
          <wp:extent cx="1714500" cy="571500"/>
          <wp:effectExtent l="0" t="0" r="0" b="0"/>
          <wp:docPr id="3" name="Picture 3"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EE4745" w:rsidRPr="00312411" w:rsidRDefault="00EE4745" w:rsidP="00EE4745">
    <w:pPr>
      <w:pStyle w:val="Header"/>
      <w:jc w:val="center"/>
      <w:rPr>
        <w:rFonts w:ascii="Arial" w:hAnsi="Arial" w:cs="Arial"/>
        <w:b/>
        <w:bCs/>
        <w:sz w:val="28"/>
        <w:szCs w:val="28"/>
        <w:lang w:val="fr-CA"/>
      </w:rPr>
    </w:pPr>
    <w:r w:rsidRPr="00312411">
      <w:rPr>
        <w:rFonts w:ascii="Arial" w:hAnsi="Arial" w:cs="Arial"/>
        <w:b/>
        <w:bCs/>
        <w:sz w:val="28"/>
        <w:szCs w:val="28"/>
        <w:lang w:val="fr-CA"/>
      </w:rPr>
      <w:t>Réseau régional ontarien de coordination du sang</w:t>
    </w:r>
  </w:p>
  <w:p w:rsidR="00EE4745" w:rsidRPr="00B21691" w:rsidRDefault="00EE4745" w:rsidP="00EE4745">
    <w:pPr>
      <w:pStyle w:val="Header"/>
      <w:jc w:val="center"/>
      <w:rPr>
        <w:rFonts w:ascii="Arial" w:hAnsi="Arial" w:cs="Arial"/>
        <w:b/>
        <w:bCs/>
        <w:sz w:val="22"/>
        <w:lang w:val="fr-CA"/>
      </w:rPr>
    </w:pPr>
    <w:r w:rsidRPr="00312411">
      <w:rPr>
        <w:rFonts w:ascii="Arial" w:hAnsi="Arial" w:cs="Arial"/>
        <w:b/>
        <w:bCs/>
        <w:sz w:val="28"/>
        <w:szCs w:val="28"/>
        <w:lang w:val="fr-CA"/>
      </w:rPr>
      <w:t>Manuel de ressources techniques en transfusion de l’Ontario</w:t>
    </w:r>
  </w:p>
  <w:p w:rsidR="00B92E8B" w:rsidRPr="00CD6196" w:rsidRDefault="00B92E8B">
    <w:pPr>
      <w:pStyle w:val="Header"/>
      <w:jc w:val="center"/>
      <w:rPr>
        <w:rFonts w:ascii="Arial" w:hAnsi="Arial"/>
        <w:b/>
        <w:sz w:val="28"/>
        <w:lang w:val="fr-CA"/>
      </w:rPr>
    </w:pPr>
  </w:p>
  <w:p w:rsidR="00B92E8B" w:rsidRPr="00CD6196" w:rsidRDefault="00B92E8B">
    <w:pPr>
      <w:pStyle w:val="Header"/>
      <w:tabs>
        <w:tab w:val="left" w:pos="6617"/>
      </w:tabs>
      <w:jc w:val="center"/>
      <w:rPr>
        <w:rFonts w:ascii="Arial" w:hAnsi="Arial"/>
        <w:b/>
        <w:sz w:val="28"/>
        <w:lang w:val="fr-CA"/>
      </w:rPr>
    </w:pPr>
    <w:r w:rsidRPr="00CD6196">
      <w:rPr>
        <w:rFonts w:ascii="Arial" w:hAnsi="Arial"/>
        <w:b/>
        <w:sz w:val="28"/>
        <w:lang w:val="fr-CA"/>
      </w:rPr>
      <w:t>Inspection visuelle d</w:t>
    </w:r>
    <w:r w:rsidR="00EE4745">
      <w:rPr>
        <w:rFonts w:ascii="Arial" w:hAnsi="Arial"/>
        <w:b/>
        <w:sz w:val="28"/>
        <w:lang w:val="fr-CA"/>
      </w:rPr>
      <w:t>es</w:t>
    </w:r>
    <w:r w:rsidRPr="00CD6196">
      <w:rPr>
        <w:rFonts w:ascii="Arial" w:hAnsi="Arial"/>
        <w:b/>
        <w:sz w:val="28"/>
        <w:lang w:val="fr-CA"/>
      </w:rPr>
      <w:t xml:space="preserve"> </w:t>
    </w:r>
    <w:r w:rsidR="00EE4745">
      <w:rPr>
        <w:rFonts w:ascii="Arial" w:hAnsi="Arial"/>
        <w:b/>
        <w:sz w:val="28"/>
        <w:lang w:val="fr-CA"/>
      </w:rPr>
      <w:t xml:space="preserve">composants </w:t>
    </w:r>
    <w:r w:rsidRPr="00CD6196">
      <w:rPr>
        <w:rFonts w:ascii="Arial" w:hAnsi="Arial"/>
        <w:b/>
        <w:sz w:val="28"/>
        <w:lang w:val="fr-CA"/>
      </w:rPr>
      <w:t xml:space="preserve">sanguins </w:t>
    </w:r>
  </w:p>
  <w:p w:rsidR="00B92E8B" w:rsidRPr="00CD6196" w:rsidRDefault="00B92E8B">
    <w:pPr>
      <w:pStyle w:val="Header"/>
      <w:tabs>
        <w:tab w:val="left" w:pos="6617"/>
      </w:tabs>
      <w:jc w:val="center"/>
      <w:rPr>
        <w:rFonts w:ascii="Arial" w:hAnsi="Arial"/>
        <w:b/>
        <w:sz w:val="28"/>
        <w:lang w:val="fr-CA"/>
      </w:rPr>
    </w:pPr>
    <w:r w:rsidRPr="00CD6196">
      <w:rPr>
        <w:rFonts w:ascii="Arial" w:hAnsi="Arial"/>
        <w:b/>
        <w:sz w:val="28"/>
        <w:lang w:val="fr-CA"/>
      </w:rPr>
      <w:t>et des pro</w:t>
    </w:r>
    <w:r w:rsidR="00E35E73">
      <w:rPr>
        <w:rFonts w:ascii="Arial" w:hAnsi="Arial"/>
        <w:b/>
        <w:sz w:val="28"/>
        <w:lang w:val="fr-CA"/>
      </w:rPr>
      <w:t>téines plasmatiques</w:t>
    </w:r>
  </w:p>
  <w:p w:rsidR="00B92E8B" w:rsidRPr="00CD6196" w:rsidRDefault="00B92E8B">
    <w:pPr>
      <w:pStyle w:val="Header"/>
      <w:tabs>
        <w:tab w:val="left" w:pos="6617"/>
      </w:tabs>
      <w:jc w:val="center"/>
      <w:rPr>
        <w:rFonts w:ascii="Arial" w:hAnsi="Arial"/>
        <w:b/>
        <w:sz w:val="28"/>
        <w:lang w:val="fr-CA"/>
      </w:rPr>
    </w:pPr>
  </w:p>
  <w:p w:rsidR="00B92E8B" w:rsidRPr="00CD6196" w:rsidRDefault="00B92E8B">
    <w:pPr>
      <w:pStyle w:val="Header"/>
      <w:tabs>
        <w:tab w:val="left" w:pos="6617"/>
      </w:tabs>
      <w:rPr>
        <w:rFonts w:ascii="Arial" w:hAnsi="Arial" w:cs="Arial"/>
        <w:b/>
        <w:bCs/>
        <w:sz w:val="20"/>
        <w:lang w:val="fr-CA"/>
      </w:rPr>
    </w:pPr>
    <w:r w:rsidRPr="00CD6196">
      <w:rPr>
        <w:rFonts w:ascii="Arial" w:hAnsi="Arial" w:cs="Arial"/>
        <w:b/>
        <w:bCs/>
        <w:sz w:val="20"/>
        <w:lang w:val="fr-CA"/>
      </w:rPr>
      <w:tab/>
    </w:r>
    <w:r w:rsidR="00E407C4" w:rsidRPr="00CD6196">
      <w:rPr>
        <w:rFonts w:ascii="Arial" w:hAnsi="Arial" w:cs="Arial"/>
        <w:noProof/>
        <w:sz w:val="2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80A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325"/>
      <w:gridCol w:w="4315"/>
    </w:tblGrid>
    <w:tr w:rsidR="00B92E8B" w:rsidRPr="00CD6196">
      <w:tc>
        <w:tcPr>
          <w:tcW w:w="4428" w:type="dxa"/>
        </w:tcPr>
        <w:p w:rsidR="00B92E8B" w:rsidRPr="00CD6196" w:rsidRDefault="00DE60D1" w:rsidP="00EE4745">
          <w:pPr>
            <w:pStyle w:val="Header"/>
            <w:rPr>
              <w:rFonts w:ascii="Arial" w:hAnsi="Arial" w:cs="Arial"/>
              <w:sz w:val="20"/>
              <w:lang w:val="fr-CA"/>
            </w:rPr>
          </w:pPr>
          <w:r w:rsidRPr="00B04768">
            <w:rPr>
              <w:rFonts w:ascii="Arial" w:hAnsi="Arial" w:cs="Arial"/>
              <w:sz w:val="20"/>
              <w:lang w:val="fr-CA"/>
            </w:rPr>
            <w:t xml:space="preserve">Approbation : </w:t>
          </w:r>
        </w:p>
      </w:tc>
      <w:tc>
        <w:tcPr>
          <w:tcW w:w="4428" w:type="dxa"/>
        </w:tcPr>
        <w:p w:rsidR="00B92E8B" w:rsidRPr="00CD6196" w:rsidRDefault="00B92E8B" w:rsidP="00DE60D1">
          <w:pPr>
            <w:pStyle w:val="Header"/>
            <w:rPr>
              <w:rFonts w:ascii="Arial" w:hAnsi="Arial" w:cs="Arial"/>
              <w:sz w:val="20"/>
              <w:lang w:val="fr-CA"/>
            </w:rPr>
          </w:pPr>
          <w:r w:rsidRPr="00CD6196">
            <w:rPr>
              <w:rFonts w:ascii="Arial" w:hAnsi="Arial" w:cs="Arial"/>
              <w:sz w:val="20"/>
              <w:lang w:val="fr-CA"/>
            </w:rPr>
            <w:t>Document n</w:t>
          </w:r>
          <w:r w:rsidRPr="00CD6196">
            <w:rPr>
              <w:rFonts w:ascii="Arial" w:hAnsi="Arial" w:cs="Arial"/>
              <w:sz w:val="20"/>
              <w:vertAlign w:val="superscript"/>
              <w:lang w:val="fr-CA"/>
            </w:rPr>
            <w:t>o</w:t>
          </w:r>
          <w:r w:rsidRPr="00CD6196">
            <w:rPr>
              <w:rFonts w:ascii="Arial" w:hAnsi="Arial" w:cs="Arial"/>
              <w:sz w:val="20"/>
              <w:lang w:val="fr-CA"/>
            </w:rPr>
            <w:t xml:space="preserve"> : G</w:t>
          </w:r>
          <w:r w:rsidR="00DE60D1">
            <w:rPr>
              <w:rFonts w:ascii="Arial" w:hAnsi="Arial" w:cs="Arial"/>
              <w:sz w:val="20"/>
              <w:lang w:val="fr-CA"/>
            </w:rPr>
            <w:t>S</w:t>
          </w:r>
          <w:r w:rsidRPr="00CD6196">
            <w:rPr>
              <w:rFonts w:ascii="Arial" w:hAnsi="Arial" w:cs="Arial"/>
              <w:sz w:val="20"/>
              <w:lang w:val="fr-CA"/>
            </w:rPr>
            <w:t>.003</w:t>
          </w:r>
        </w:p>
      </w:tc>
    </w:tr>
    <w:tr w:rsidR="00B92E8B" w:rsidRPr="00CD6196">
      <w:tc>
        <w:tcPr>
          <w:tcW w:w="4428" w:type="dxa"/>
        </w:tcPr>
        <w:p w:rsidR="00B92E8B" w:rsidRPr="00CD6196" w:rsidRDefault="00B92E8B" w:rsidP="00CD6196">
          <w:pPr>
            <w:pStyle w:val="Header"/>
            <w:rPr>
              <w:rFonts w:ascii="Arial" w:hAnsi="Arial" w:cs="Arial"/>
              <w:sz w:val="20"/>
              <w:lang w:val="fr-CA"/>
            </w:rPr>
          </w:pPr>
          <w:r w:rsidRPr="00CD6196">
            <w:rPr>
              <w:rFonts w:ascii="Arial" w:hAnsi="Arial" w:cs="Arial"/>
              <w:sz w:val="20"/>
              <w:lang w:val="fr-CA"/>
            </w:rPr>
            <w:t>Date de publication : 2006/08/01</w:t>
          </w:r>
        </w:p>
      </w:tc>
      <w:tc>
        <w:tcPr>
          <w:tcW w:w="4428" w:type="dxa"/>
        </w:tcPr>
        <w:p w:rsidR="00B92E8B" w:rsidRPr="00CD6196" w:rsidRDefault="00B92E8B" w:rsidP="00DE60D1">
          <w:pPr>
            <w:pStyle w:val="Header"/>
            <w:rPr>
              <w:rFonts w:ascii="Arial" w:hAnsi="Arial" w:cs="Arial"/>
              <w:sz w:val="20"/>
              <w:lang w:val="fr-CA"/>
            </w:rPr>
          </w:pPr>
          <w:r w:rsidRPr="00CD6196">
            <w:rPr>
              <w:rFonts w:ascii="Arial" w:hAnsi="Arial" w:cs="Arial"/>
              <w:sz w:val="20"/>
              <w:lang w:val="fr-CA"/>
            </w:rPr>
            <w:t>Catégorie : Gestion de</w:t>
          </w:r>
          <w:r w:rsidR="00DE60D1">
            <w:rPr>
              <w:rFonts w:ascii="Arial" w:hAnsi="Arial" w:cs="Arial"/>
              <w:sz w:val="20"/>
              <w:lang w:val="fr-CA"/>
            </w:rPr>
            <w:t>s stocks</w:t>
          </w:r>
        </w:p>
      </w:tc>
    </w:tr>
    <w:tr w:rsidR="00B92E8B" w:rsidRPr="00CD6196">
      <w:tc>
        <w:tcPr>
          <w:tcW w:w="4428" w:type="dxa"/>
        </w:tcPr>
        <w:p w:rsidR="00B92E8B" w:rsidRPr="00CD6196" w:rsidRDefault="00DE60D1" w:rsidP="00CD6196">
          <w:pPr>
            <w:pStyle w:val="Header"/>
            <w:rPr>
              <w:rFonts w:ascii="Arial" w:hAnsi="Arial" w:cs="Arial"/>
              <w:sz w:val="20"/>
              <w:lang w:val="fr-CA"/>
            </w:rPr>
          </w:pPr>
          <w:r w:rsidRPr="005D49BA">
            <w:rPr>
              <w:rFonts w:ascii="Arial" w:hAnsi="Arial" w:cs="Arial"/>
              <w:sz w:val="20"/>
              <w:lang w:val="fr-CA"/>
            </w:rPr>
            <w:t>Date de révision : 2009/12/31</w:t>
          </w:r>
          <w:r w:rsidR="004E3785">
            <w:rPr>
              <w:rFonts w:ascii="Arial" w:hAnsi="Arial" w:cs="Arial"/>
              <w:sz w:val="20"/>
              <w:lang w:val="fr-CA"/>
            </w:rPr>
            <w:t>; 2014/08/08</w:t>
          </w:r>
        </w:p>
      </w:tc>
      <w:tc>
        <w:tcPr>
          <w:tcW w:w="4428" w:type="dxa"/>
        </w:tcPr>
        <w:p w:rsidR="00B92E8B" w:rsidRPr="00CD6196" w:rsidRDefault="00B92E8B">
          <w:pPr>
            <w:pStyle w:val="Header"/>
            <w:rPr>
              <w:rFonts w:ascii="Arial" w:hAnsi="Arial" w:cs="Arial"/>
              <w:sz w:val="20"/>
              <w:lang w:val="fr-CA"/>
            </w:rPr>
          </w:pPr>
          <w:r w:rsidRPr="00CD6196">
            <w:rPr>
              <w:rFonts w:ascii="Arial" w:hAnsi="Arial" w:cs="Arial"/>
              <w:sz w:val="20"/>
              <w:lang w:val="fr-CA"/>
            </w:rPr>
            <w:t xml:space="preserve">Pages : </w:t>
          </w:r>
          <w:r w:rsidRPr="00CD6196">
            <w:rPr>
              <w:rFonts w:ascii="Arial" w:hAnsi="Arial" w:cs="Arial"/>
              <w:sz w:val="20"/>
              <w:lang w:val="fr-CA"/>
            </w:rPr>
            <w:fldChar w:fldCharType="begin"/>
          </w:r>
          <w:r w:rsidRPr="00CD6196">
            <w:rPr>
              <w:rFonts w:ascii="Arial" w:hAnsi="Arial" w:cs="Arial"/>
              <w:sz w:val="20"/>
              <w:lang w:val="fr-CA"/>
            </w:rPr>
            <w:instrText xml:space="preserve"> NUMPAGES </w:instrText>
          </w:r>
          <w:r w:rsidRPr="00CD6196">
            <w:rPr>
              <w:rFonts w:ascii="Arial" w:hAnsi="Arial" w:cs="Arial"/>
              <w:sz w:val="20"/>
              <w:lang w:val="fr-CA"/>
            </w:rPr>
            <w:fldChar w:fldCharType="separate"/>
          </w:r>
          <w:r w:rsidR="004729EC">
            <w:rPr>
              <w:rFonts w:ascii="Arial" w:hAnsi="Arial" w:cs="Arial"/>
              <w:noProof/>
              <w:sz w:val="20"/>
              <w:lang w:val="fr-CA"/>
            </w:rPr>
            <w:t>2</w:t>
          </w:r>
          <w:r w:rsidRPr="00CD6196">
            <w:rPr>
              <w:rFonts w:ascii="Arial" w:hAnsi="Arial" w:cs="Arial"/>
              <w:sz w:val="20"/>
              <w:lang w:val="fr-CA"/>
            </w:rPr>
            <w:fldChar w:fldCharType="end"/>
          </w:r>
        </w:p>
      </w:tc>
    </w:tr>
  </w:tbl>
  <w:p w:rsidR="00B92E8B" w:rsidRDefault="00E407C4">
    <w:pPr>
      <w:pStyle w:val="Header"/>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D0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K30bssR&#10;AgAAKAQAAA4AAAAAAAAAAAAAAAAALgIAAGRycy9lMm9Eb2MueG1sUEsBAi0AFAAGAAgAAAAhAB89&#10;mnTcAAAACAEAAA8AAAAAAAAAAAAAAAAAawQAAGRycy9kb3ducmV2LnhtbFBLBQYAAAAABAAEAPMA&#10;AAB0BQAAAAA=&#10;"/>
          </w:pict>
        </mc:Fallback>
      </mc:AlternateContent>
    </w:r>
    <w:r w:rsidR="00B92E8B">
      <w:rPr>
        <w:rFonts w:ascii="Arial" w:hAnsi="Arial" w:cs="Arial"/>
        <w:sz w:val="20"/>
      </w:rPr>
      <w:tab/>
    </w:r>
  </w:p>
  <w:p w:rsidR="00B92E8B" w:rsidRDefault="00B92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32D7159"/>
    <w:multiLevelType w:val="singleLevel"/>
    <w:tmpl w:val="EFDEB3B8"/>
    <w:lvl w:ilvl="0">
      <w:start w:val="1"/>
      <w:numFmt w:val="bullet"/>
      <w:lvlText w:val="º"/>
      <w:lvlJc w:val="left"/>
      <w:pPr>
        <w:tabs>
          <w:tab w:val="num" w:pos="2520"/>
        </w:tabs>
        <w:ind w:left="2520" w:hanging="360"/>
      </w:pPr>
      <w:rPr>
        <w:rFonts w:ascii="Times New Roman" w:hAnsi="Times New Roman" w:hint="default"/>
      </w:rPr>
    </w:lvl>
  </w:abstractNum>
  <w:abstractNum w:abstractNumId="3" w15:restartNumberingAfterBreak="0">
    <w:nsid w:val="0A910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74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C81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F92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DF0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326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4D09CB"/>
    <w:multiLevelType w:val="multilevel"/>
    <w:tmpl w:val="9558CF30"/>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0" w15:restartNumberingAfterBreak="0">
    <w:nsid w:val="37452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5D146B"/>
    <w:multiLevelType w:val="hybridMultilevel"/>
    <w:tmpl w:val="227C7060"/>
    <w:lvl w:ilvl="0" w:tplc="5C5CC036">
      <w:start w:val="1"/>
      <w:numFmt w:val="decimal"/>
      <w:lvlText w:val="%1."/>
      <w:lvlJc w:val="left"/>
      <w:pPr>
        <w:tabs>
          <w:tab w:val="num" w:pos="720"/>
        </w:tabs>
        <w:ind w:left="720" w:hanging="360"/>
      </w:pPr>
    </w:lvl>
    <w:lvl w:ilvl="1" w:tplc="928A54B4" w:tentative="1">
      <w:start w:val="1"/>
      <w:numFmt w:val="lowerLetter"/>
      <w:lvlText w:val="%2."/>
      <w:lvlJc w:val="left"/>
      <w:pPr>
        <w:tabs>
          <w:tab w:val="num" w:pos="1440"/>
        </w:tabs>
        <w:ind w:left="1440" w:hanging="360"/>
      </w:pPr>
    </w:lvl>
    <w:lvl w:ilvl="2" w:tplc="EFD09C54" w:tentative="1">
      <w:start w:val="1"/>
      <w:numFmt w:val="lowerRoman"/>
      <w:lvlText w:val="%3."/>
      <w:lvlJc w:val="right"/>
      <w:pPr>
        <w:tabs>
          <w:tab w:val="num" w:pos="2160"/>
        </w:tabs>
        <w:ind w:left="2160" w:hanging="180"/>
      </w:pPr>
    </w:lvl>
    <w:lvl w:ilvl="3" w:tplc="B1D8357E" w:tentative="1">
      <w:start w:val="1"/>
      <w:numFmt w:val="decimal"/>
      <w:lvlText w:val="%4."/>
      <w:lvlJc w:val="left"/>
      <w:pPr>
        <w:tabs>
          <w:tab w:val="num" w:pos="2880"/>
        </w:tabs>
        <w:ind w:left="2880" w:hanging="360"/>
      </w:pPr>
    </w:lvl>
    <w:lvl w:ilvl="4" w:tplc="709A2530" w:tentative="1">
      <w:start w:val="1"/>
      <w:numFmt w:val="lowerLetter"/>
      <w:lvlText w:val="%5."/>
      <w:lvlJc w:val="left"/>
      <w:pPr>
        <w:tabs>
          <w:tab w:val="num" w:pos="3600"/>
        </w:tabs>
        <w:ind w:left="3600" w:hanging="360"/>
      </w:pPr>
    </w:lvl>
    <w:lvl w:ilvl="5" w:tplc="28ACBD48" w:tentative="1">
      <w:start w:val="1"/>
      <w:numFmt w:val="lowerRoman"/>
      <w:lvlText w:val="%6."/>
      <w:lvlJc w:val="right"/>
      <w:pPr>
        <w:tabs>
          <w:tab w:val="num" w:pos="4320"/>
        </w:tabs>
        <w:ind w:left="4320" w:hanging="180"/>
      </w:pPr>
    </w:lvl>
    <w:lvl w:ilvl="6" w:tplc="E6E452EA" w:tentative="1">
      <w:start w:val="1"/>
      <w:numFmt w:val="decimal"/>
      <w:lvlText w:val="%7."/>
      <w:lvlJc w:val="left"/>
      <w:pPr>
        <w:tabs>
          <w:tab w:val="num" w:pos="5040"/>
        </w:tabs>
        <w:ind w:left="5040" w:hanging="360"/>
      </w:pPr>
    </w:lvl>
    <w:lvl w:ilvl="7" w:tplc="499E8960" w:tentative="1">
      <w:start w:val="1"/>
      <w:numFmt w:val="lowerLetter"/>
      <w:lvlText w:val="%8."/>
      <w:lvlJc w:val="left"/>
      <w:pPr>
        <w:tabs>
          <w:tab w:val="num" w:pos="5760"/>
        </w:tabs>
        <w:ind w:left="5760" w:hanging="360"/>
      </w:pPr>
    </w:lvl>
    <w:lvl w:ilvl="8" w:tplc="BDCCEB7C" w:tentative="1">
      <w:start w:val="1"/>
      <w:numFmt w:val="lowerRoman"/>
      <w:lvlText w:val="%9."/>
      <w:lvlJc w:val="right"/>
      <w:pPr>
        <w:tabs>
          <w:tab w:val="num" w:pos="6480"/>
        </w:tabs>
        <w:ind w:left="6480" w:hanging="180"/>
      </w:pPr>
    </w:lvl>
  </w:abstractNum>
  <w:abstractNum w:abstractNumId="12" w15:restartNumberingAfterBreak="0">
    <w:nsid w:val="3D6B6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F33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B901E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737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7C5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D026FD"/>
    <w:multiLevelType w:val="hybridMultilevel"/>
    <w:tmpl w:val="D3B2D296"/>
    <w:lvl w:ilvl="0" w:tplc="5708458E">
      <w:start w:val="1"/>
      <w:numFmt w:val="decimal"/>
      <w:lvlText w:val="%1."/>
      <w:lvlJc w:val="left"/>
      <w:pPr>
        <w:tabs>
          <w:tab w:val="num" w:pos="720"/>
        </w:tabs>
        <w:ind w:left="720" w:hanging="360"/>
      </w:pPr>
    </w:lvl>
    <w:lvl w:ilvl="1" w:tplc="ED2C3E48" w:tentative="1">
      <w:start w:val="1"/>
      <w:numFmt w:val="lowerLetter"/>
      <w:lvlText w:val="%2."/>
      <w:lvlJc w:val="left"/>
      <w:pPr>
        <w:tabs>
          <w:tab w:val="num" w:pos="1440"/>
        </w:tabs>
        <w:ind w:left="1440" w:hanging="360"/>
      </w:pPr>
    </w:lvl>
    <w:lvl w:ilvl="2" w:tplc="C69E114C" w:tentative="1">
      <w:start w:val="1"/>
      <w:numFmt w:val="lowerRoman"/>
      <w:lvlText w:val="%3."/>
      <w:lvlJc w:val="right"/>
      <w:pPr>
        <w:tabs>
          <w:tab w:val="num" w:pos="2160"/>
        </w:tabs>
        <w:ind w:left="2160" w:hanging="180"/>
      </w:pPr>
    </w:lvl>
    <w:lvl w:ilvl="3" w:tplc="E79003BE" w:tentative="1">
      <w:start w:val="1"/>
      <w:numFmt w:val="decimal"/>
      <w:lvlText w:val="%4."/>
      <w:lvlJc w:val="left"/>
      <w:pPr>
        <w:tabs>
          <w:tab w:val="num" w:pos="2880"/>
        </w:tabs>
        <w:ind w:left="2880" w:hanging="360"/>
      </w:pPr>
    </w:lvl>
    <w:lvl w:ilvl="4" w:tplc="02C48C44" w:tentative="1">
      <w:start w:val="1"/>
      <w:numFmt w:val="lowerLetter"/>
      <w:lvlText w:val="%5."/>
      <w:lvlJc w:val="left"/>
      <w:pPr>
        <w:tabs>
          <w:tab w:val="num" w:pos="3600"/>
        </w:tabs>
        <w:ind w:left="3600" w:hanging="360"/>
      </w:pPr>
    </w:lvl>
    <w:lvl w:ilvl="5" w:tplc="6E368982" w:tentative="1">
      <w:start w:val="1"/>
      <w:numFmt w:val="lowerRoman"/>
      <w:lvlText w:val="%6."/>
      <w:lvlJc w:val="right"/>
      <w:pPr>
        <w:tabs>
          <w:tab w:val="num" w:pos="4320"/>
        </w:tabs>
        <w:ind w:left="4320" w:hanging="180"/>
      </w:pPr>
    </w:lvl>
    <w:lvl w:ilvl="6" w:tplc="C7E65F32" w:tentative="1">
      <w:start w:val="1"/>
      <w:numFmt w:val="decimal"/>
      <w:lvlText w:val="%7."/>
      <w:lvlJc w:val="left"/>
      <w:pPr>
        <w:tabs>
          <w:tab w:val="num" w:pos="5040"/>
        </w:tabs>
        <w:ind w:left="5040" w:hanging="360"/>
      </w:pPr>
    </w:lvl>
    <w:lvl w:ilvl="7" w:tplc="927AFB4A" w:tentative="1">
      <w:start w:val="1"/>
      <w:numFmt w:val="lowerLetter"/>
      <w:lvlText w:val="%8."/>
      <w:lvlJc w:val="left"/>
      <w:pPr>
        <w:tabs>
          <w:tab w:val="num" w:pos="5760"/>
        </w:tabs>
        <w:ind w:left="5760" w:hanging="360"/>
      </w:pPr>
    </w:lvl>
    <w:lvl w:ilvl="8" w:tplc="04CEB708" w:tentative="1">
      <w:start w:val="1"/>
      <w:numFmt w:val="lowerRoman"/>
      <w:lvlText w:val="%9."/>
      <w:lvlJc w:val="right"/>
      <w:pPr>
        <w:tabs>
          <w:tab w:val="num" w:pos="6480"/>
        </w:tabs>
        <w:ind w:left="6480" w:hanging="180"/>
      </w:pPr>
    </w:lvl>
  </w:abstractNum>
  <w:abstractNum w:abstractNumId="19" w15:restartNumberingAfterBreak="0">
    <w:nsid w:val="5B244A5B"/>
    <w:multiLevelType w:val="hybridMultilevel"/>
    <w:tmpl w:val="50A2D4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C36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15:restartNumberingAfterBreak="0">
    <w:nsid w:val="690822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8F6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5"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6" w15:restartNumberingAfterBreak="0">
    <w:nsid w:val="751D3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5E7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1"/>
  </w:num>
  <w:num w:numId="2">
    <w:abstractNumId w:val="25"/>
  </w:num>
  <w:num w:numId="3">
    <w:abstractNumId w:val="24"/>
  </w:num>
  <w:num w:numId="4">
    <w:abstractNumId w:val="21"/>
  </w:num>
  <w:num w:numId="5">
    <w:abstractNumId w:val="28"/>
  </w:num>
  <w:num w:numId="6">
    <w:abstractNumId w:val="9"/>
  </w:num>
  <w:num w:numId="7">
    <w:abstractNumId w:val="9"/>
  </w:num>
  <w:num w:numId="8">
    <w:abstractNumId w:val="26"/>
  </w:num>
  <w:num w:numId="9">
    <w:abstractNumId w:val="22"/>
  </w:num>
  <w:num w:numId="10">
    <w:abstractNumId w:val="27"/>
  </w:num>
  <w:num w:numId="11">
    <w:abstractNumId w:val="7"/>
  </w:num>
  <w:num w:numId="12">
    <w:abstractNumId w:val="20"/>
  </w:num>
  <w:num w:numId="13">
    <w:abstractNumId w:val="16"/>
  </w:num>
  <w:num w:numId="14">
    <w:abstractNumId w:val="15"/>
  </w:num>
  <w:num w:numId="15">
    <w:abstractNumId w:val="10"/>
  </w:num>
  <w:num w:numId="16">
    <w:abstractNumId w:val="3"/>
  </w:num>
  <w:num w:numId="17">
    <w:abstractNumId w:val="0"/>
  </w:num>
  <w:num w:numId="18">
    <w:abstractNumId w:val="13"/>
  </w:num>
  <w:num w:numId="19">
    <w:abstractNumId w:val="4"/>
  </w:num>
  <w:num w:numId="20">
    <w:abstractNumId w:val="23"/>
  </w:num>
  <w:num w:numId="21">
    <w:abstractNumId w:val="17"/>
  </w:num>
  <w:num w:numId="22">
    <w:abstractNumId w:val="5"/>
  </w:num>
  <w:num w:numId="23">
    <w:abstractNumId w:val="12"/>
  </w:num>
  <w:num w:numId="24">
    <w:abstractNumId w:val="2"/>
  </w:num>
  <w:num w:numId="25">
    <w:abstractNumId w:val="8"/>
  </w:num>
  <w:num w:numId="26">
    <w:abstractNumId w:val="6"/>
  </w:num>
  <w:num w:numId="27">
    <w:abstractNumId w:val="18"/>
  </w:num>
  <w:num w:numId="28">
    <w:abstractNumId w:val="11"/>
  </w:num>
  <w:num w:numId="29">
    <w:abstractNumId w:val="19"/>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96"/>
    <w:rsid w:val="00003EE5"/>
    <w:rsid w:val="000363B4"/>
    <w:rsid w:val="0004154F"/>
    <w:rsid w:val="00073DFA"/>
    <w:rsid w:val="000A32EA"/>
    <w:rsid w:val="000C2F63"/>
    <w:rsid w:val="000C6B32"/>
    <w:rsid w:val="000D05BF"/>
    <w:rsid w:val="000D18FA"/>
    <w:rsid w:val="001251E4"/>
    <w:rsid w:val="00156CD0"/>
    <w:rsid w:val="00183B5C"/>
    <w:rsid w:val="001E15F1"/>
    <w:rsid w:val="001E3870"/>
    <w:rsid w:val="002126F7"/>
    <w:rsid w:val="00223D81"/>
    <w:rsid w:val="00224350"/>
    <w:rsid w:val="00276FEE"/>
    <w:rsid w:val="002A0051"/>
    <w:rsid w:val="002D1DAC"/>
    <w:rsid w:val="00373F71"/>
    <w:rsid w:val="00394A54"/>
    <w:rsid w:val="003A4205"/>
    <w:rsid w:val="004716D9"/>
    <w:rsid w:val="004729EC"/>
    <w:rsid w:val="0049678B"/>
    <w:rsid w:val="004B487F"/>
    <w:rsid w:val="004E08DD"/>
    <w:rsid w:val="004E3785"/>
    <w:rsid w:val="00504F23"/>
    <w:rsid w:val="00527696"/>
    <w:rsid w:val="0057254E"/>
    <w:rsid w:val="005B0469"/>
    <w:rsid w:val="005B6543"/>
    <w:rsid w:val="005C0CB6"/>
    <w:rsid w:val="006134CA"/>
    <w:rsid w:val="006429B7"/>
    <w:rsid w:val="00646FAE"/>
    <w:rsid w:val="0068720C"/>
    <w:rsid w:val="006A20FC"/>
    <w:rsid w:val="006D1EFB"/>
    <w:rsid w:val="006E008B"/>
    <w:rsid w:val="00725C45"/>
    <w:rsid w:val="0077264F"/>
    <w:rsid w:val="00797E81"/>
    <w:rsid w:val="007B3C32"/>
    <w:rsid w:val="007D38C0"/>
    <w:rsid w:val="00813D33"/>
    <w:rsid w:val="00836252"/>
    <w:rsid w:val="00877A94"/>
    <w:rsid w:val="008E7936"/>
    <w:rsid w:val="008F5340"/>
    <w:rsid w:val="009B0593"/>
    <w:rsid w:val="009B330C"/>
    <w:rsid w:val="00A91BA5"/>
    <w:rsid w:val="00AD3150"/>
    <w:rsid w:val="00AE5C17"/>
    <w:rsid w:val="00B40D5F"/>
    <w:rsid w:val="00B4597C"/>
    <w:rsid w:val="00B637AF"/>
    <w:rsid w:val="00B67DBC"/>
    <w:rsid w:val="00B92E8B"/>
    <w:rsid w:val="00BA0527"/>
    <w:rsid w:val="00BA670F"/>
    <w:rsid w:val="00BE7B05"/>
    <w:rsid w:val="00C72F71"/>
    <w:rsid w:val="00CC307E"/>
    <w:rsid w:val="00CD6196"/>
    <w:rsid w:val="00CE42ED"/>
    <w:rsid w:val="00D25680"/>
    <w:rsid w:val="00DC22C8"/>
    <w:rsid w:val="00DE60D1"/>
    <w:rsid w:val="00E35E73"/>
    <w:rsid w:val="00E407C4"/>
    <w:rsid w:val="00E42FD2"/>
    <w:rsid w:val="00E60E29"/>
    <w:rsid w:val="00E651CB"/>
    <w:rsid w:val="00E925E0"/>
    <w:rsid w:val="00E95D91"/>
    <w:rsid w:val="00EB6F24"/>
    <w:rsid w:val="00EE4745"/>
    <w:rsid w:val="00F1422F"/>
    <w:rsid w:val="00F46269"/>
    <w:rsid w:val="00F80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4F2550-CADE-456A-A099-33B3B29F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B637AF"/>
    <w:pPr>
      <w:keepNext/>
      <w:outlineLvl w:val="0"/>
    </w:pPr>
    <w:rPr>
      <w:rFonts w:ascii="Arial" w:hAnsi="Arial"/>
      <w:bCs/>
      <w:kern w:val="32"/>
      <w:szCs w:val="24"/>
      <w:lang w:val="fr-CA"/>
    </w:rPr>
  </w:style>
  <w:style w:type="paragraph" w:styleId="Heading2">
    <w:name w:val="heading 2"/>
    <w:basedOn w:val="Normal"/>
    <w:next w:val="Normal"/>
    <w:qFormat/>
    <w:pPr>
      <w:keepNext/>
      <w:numPr>
        <w:ilvl w:val="1"/>
        <w:numId w:val="7"/>
      </w:numPr>
      <w:spacing w:after="240"/>
      <w:outlineLvl w:val="1"/>
    </w:pPr>
    <w:rPr>
      <w:rFonts w:ascii="Verdana" w:hAnsi="Verdana"/>
      <w:snapToGrid w:val="0"/>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customStyle="1" w:styleId="NormalBold">
    <w:name w:val="Normal Bold"/>
    <w:basedOn w:val="Normal"/>
    <w:rPr>
      <w:b/>
    </w:rPr>
  </w:style>
  <w:style w:type="character" w:styleId="PageNumber">
    <w:name w:val="page number"/>
    <w:basedOn w:val="DefaultParagraphFont"/>
  </w:style>
  <w:style w:type="paragraph" w:styleId="BodyText">
    <w:name w:val="Body Text"/>
    <w:basedOn w:val="Normal"/>
    <w:pPr>
      <w:jc w:val="center"/>
    </w:pPr>
    <w:rPr>
      <w:b/>
      <w:lang w:val="en-CA"/>
    </w:rPr>
  </w:style>
  <w:style w:type="paragraph" w:styleId="PlainText">
    <w:name w:val="Plain Text"/>
    <w:basedOn w:val="Normal"/>
    <w:rsid w:val="005B6543"/>
    <w:rPr>
      <w:rFonts w:ascii="Courier New" w:hAnsi="Courier New" w:cs="Courier New"/>
      <w:kern w:val="0"/>
      <w:sz w:val="20"/>
      <w:lang w:val="fr-CA" w:eastAsia="fr-FR"/>
    </w:rPr>
  </w:style>
  <w:style w:type="paragraph" w:styleId="BalloonText">
    <w:name w:val="Balloon Text"/>
    <w:basedOn w:val="Normal"/>
    <w:semiHidden/>
    <w:rsid w:val="006E008B"/>
    <w:rPr>
      <w:rFonts w:ascii="Tahoma" w:hAnsi="Tahoma" w:cs="Tahoma"/>
      <w:sz w:val="16"/>
      <w:szCs w:val="16"/>
    </w:rPr>
  </w:style>
  <w:style w:type="character" w:styleId="CommentReference">
    <w:name w:val="annotation reference"/>
    <w:semiHidden/>
    <w:rsid w:val="00BA670F"/>
    <w:rPr>
      <w:sz w:val="16"/>
      <w:szCs w:val="16"/>
    </w:rPr>
  </w:style>
  <w:style w:type="paragraph" w:styleId="CommentText">
    <w:name w:val="annotation text"/>
    <w:basedOn w:val="Normal"/>
    <w:semiHidden/>
    <w:rsid w:val="00BA670F"/>
    <w:rPr>
      <w:sz w:val="20"/>
    </w:rPr>
  </w:style>
  <w:style w:type="paragraph" w:styleId="CommentSubject">
    <w:name w:val="annotation subject"/>
    <w:basedOn w:val="CommentText"/>
    <w:next w:val="CommentText"/>
    <w:semiHidden/>
    <w:rsid w:val="00BA670F"/>
    <w:rPr>
      <w:b/>
      <w:bCs/>
    </w:rPr>
  </w:style>
  <w:style w:type="character" w:customStyle="1" w:styleId="HeaderChar">
    <w:name w:val="Header Char"/>
    <w:link w:val="Header"/>
    <w:uiPriority w:val="99"/>
    <w:rsid w:val="00EE4745"/>
    <w:rPr>
      <w:rFonts w:ascii="Georgia" w:hAnsi="Georgia"/>
      <w:kern w:val="24"/>
      <w:sz w:val="24"/>
      <w:lang w:val="en-US" w:eastAsia="en-US"/>
    </w:rPr>
  </w:style>
  <w:style w:type="paragraph" w:styleId="ListParagraph">
    <w:name w:val="List Paragraph"/>
    <w:basedOn w:val="Normal"/>
    <w:uiPriority w:val="34"/>
    <w:qFormat/>
    <w:rsid w:val="00EE4745"/>
    <w:pPr>
      <w:ind w:left="708"/>
    </w:pPr>
    <w:rPr>
      <w:rFonts w:ascii="Times New Roman" w:hAnsi="Times New Roman"/>
      <w:kern w:val="0"/>
      <w:sz w:val="20"/>
    </w:rPr>
  </w:style>
  <w:style w:type="character" w:styleId="Hyperlink">
    <w:name w:val="Hyperlink"/>
    <w:rsid w:val="00E651CB"/>
    <w:rPr>
      <w:color w:val="0563C1"/>
      <w:u w:val="single"/>
    </w:rPr>
  </w:style>
  <w:style w:type="character" w:styleId="FollowedHyperlink">
    <w:name w:val="FollowedHyperlink"/>
    <w:rsid w:val="00E651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d.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d.c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BCO%20Template%20for%20preparing%20Web%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D78E-25C5-4E87-8FCA-2A866979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 Template for preparing Web documents</Template>
  <TotalTime>0</TotalTime>
  <Pages>3</Pages>
  <Words>1776</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IM.003 - Visual Inspection of Blood, Blood Components and Fractionated Products</vt:lpstr>
      <vt:lpstr>IM.003 - Visual Inspection of Blood, Blood Components and Fractionated Products</vt:lpstr>
    </vt:vector>
  </TitlesOfParts>
  <Company>The Ottawa Hospital</Company>
  <LinksUpToDate>false</LinksUpToDate>
  <CharactersWithSpaces>11877</CharactersWithSpaces>
  <SharedDoc>false</SharedDoc>
  <HLinks>
    <vt:vector size="12" baseType="variant">
      <vt:variant>
        <vt:i4>917532</vt:i4>
      </vt:variant>
      <vt:variant>
        <vt:i4>3</vt:i4>
      </vt:variant>
      <vt:variant>
        <vt:i4>0</vt:i4>
      </vt:variant>
      <vt:variant>
        <vt:i4>5</vt:i4>
      </vt:variant>
      <vt:variant>
        <vt:lpwstr>http://www.blood.ca/</vt:lpwstr>
      </vt:variant>
      <vt:variant>
        <vt:lpwstr/>
      </vt:variant>
      <vt:variant>
        <vt:i4>917532</vt:i4>
      </vt:variant>
      <vt:variant>
        <vt:i4>0</vt:i4>
      </vt:variant>
      <vt:variant>
        <vt:i4>0</vt:i4>
      </vt:variant>
      <vt:variant>
        <vt:i4>5</vt:i4>
      </vt:variant>
      <vt:variant>
        <vt:lpwstr>http://www.blood.ca/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IM.003 - Visual Inspection of Blood, Blood Components and Fractionated Products</dc:title>
  <dc:subject/>
  <dc:creator>Transfusion Ontario Program Office</dc:creator>
  <cp:keywords/>
  <cp:lastModifiedBy>Nesrallah, Heather</cp:lastModifiedBy>
  <cp:revision>2</cp:revision>
  <cp:lastPrinted>2011-03-25T16:36:00Z</cp:lastPrinted>
  <dcterms:created xsi:type="dcterms:W3CDTF">2020-08-12T12:07:00Z</dcterms:created>
  <dcterms:modified xsi:type="dcterms:W3CDTF">2020-08-12T12:07:00Z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s in Document">
    <vt:i4>1685</vt:i4>
  </property>
  <property fmtid="{D5CDD505-2E9C-101B-9397-08002B2CF9AE}" pid="3" name="Translated Words">
    <vt:i4>136</vt:i4>
  </property>
  <property fmtid="{D5CDD505-2E9C-101B-9397-08002B2CF9AE}" pid="4" name="Not Translated Words">
    <vt:i4>1549</vt:i4>
  </property>
</Properties>
</file>