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7C" w:rsidRDefault="001B447C">
      <w:pPr>
        <w:numPr>
          <w:ilvl w:val="0"/>
          <w:numId w:val="1"/>
        </w:numPr>
        <w:rPr>
          <w:rFonts w:ascii="Arial" w:hAnsi="Arial"/>
          <w:b/>
          <w:sz w:val="28"/>
        </w:rPr>
      </w:pPr>
      <w:bookmarkStart w:id="0" w:name="_GoBack"/>
      <w:bookmarkEnd w:id="0"/>
      <w:r>
        <w:rPr>
          <w:rFonts w:ascii="Arial" w:hAnsi="Arial"/>
          <w:b/>
          <w:sz w:val="28"/>
        </w:rPr>
        <w:t>Principle</w:t>
      </w:r>
    </w:p>
    <w:p w:rsidR="001B447C" w:rsidRDefault="001B447C">
      <w:pPr>
        <w:rPr>
          <w:rFonts w:ascii="Arial" w:hAnsi="Arial"/>
          <w:sz w:val="24"/>
        </w:rPr>
      </w:pPr>
    </w:p>
    <w:p w:rsidR="001B447C" w:rsidRDefault="001B447C">
      <w:pPr>
        <w:ind w:left="720"/>
        <w:rPr>
          <w:rFonts w:ascii="Arial" w:hAnsi="Arial"/>
          <w:sz w:val="24"/>
        </w:rPr>
      </w:pPr>
      <w:r>
        <w:rPr>
          <w:rFonts w:ascii="Arial" w:hAnsi="Arial"/>
          <w:sz w:val="24"/>
        </w:rPr>
        <w:t>To standardize reading, grading and recording of gel reactions.</w:t>
      </w:r>
    </w:p>
    <w:p w:rsidR="001B447C" w:rsidRDefault="001B447C">
      <w:pPr>
        <w:ind w:left="720"/>
        <w:rPr>
          <w:rFonts w:ascii="Arial" w:hAnsi="Arial"/>
          <w:sz w:val="24"/>
        </w:rPr>
      </w:pPr>
    </w:p>
    <w:p w:rsidR="001B447C" w:rsidRDefault="001B447C">
      <w:pPr>
        <w:ind w:left="720"/>
        <w:rPr>
          <w:rFonts w:ascii="Arial" w:hAnsi="Arial"/>
          <w:sz w:val="24"/>
        </w:rPr>
      </w:pPr>
      <w:r>
        <w:rPr>
          <w:rFonts w:ascii="Arial" w:hAnsi="Arial"/>
          <w:sz w:val="24"/>
        </w:rPr>
        <w:t>A standardized procedure for reporting gel reactions will contribute to uniformity and reproducibility of test results.</w:t>
      </w:r>
    </w:p>
    <w:p w:rsidR="001B447C" w:rsidRDefault="001B447C">
      <w:pPr>
        <w:ind w:left="720"/>
        <w:rPr>
          <w:rFonts w:ascii="Arial" w:hAnsi="Arial"/>
          <w:sz w:val="24"/>
        </w:rPr>
      </w:pPr>
    </w:p>
    <w:p w:rsidR="001B447C" w:rsidRDefault="001B447C">
      <w:pPr>
        <w:numPr>
          <w:ilvl w:val="0"/>
          <w:numId w:val="1"/>
        </w:numPr>
        <w:rPr>
          <w:rFonts w:ascii="Arial" w:hAnsi="Arial"/>
          <w:b/>
          <w:sz w:val="28"/>
        </w:rPr>
      </w:pPr>
      <w:r>
        <w:rPr>
          <w:rFonts w:ascii="Arial" w:hAnsi="Arial"/>
          <w:b/>
          <w:sz w:val="28"/>
        </w:rPr>
        <w:t>Scope and Related Policies</w:t>
      </w:r>
    </w:p>
    <w:p w:rsidR="001B447C" w:rsidRDefault="001B447C">
      <w:pPr>
        <w:rPr>
          <w:rFonts w:ascii="Arial" w:hAnsi="Arial"/>
          <w:sz w:val="24"/>
        </w:rPr>
      </w:pPr>
    </w:p>
    <w:p w:rsidR="001B447C" w:rsidRDefault="001B447C">
      <w:pPr>
        <w:ind w:left="720"/>
        <w:rPr>
          <w:rFonts w:ascii="Arial" w:hAnsi="Arial"/>
          <w:sz w:val="24"/>
        </w:rPr>
      </w:pPr>
      <w:r>
        <w:rPr>
          <w:rFonts w:ascii="Arial" w:hAnsi="Arial"/>
          <w:sz w:val="24"/>
        </w:rPr>
        <w:t>This procedure applies to all gel tests that require the reading, grading and/or recording of agglutination results.</w:t>
      </w:r>
    </w:p>
    <w:p w:rsidR="001B447C" w:rsidRDefault="001B447C">
      <w:pPr>
        <w:ind w:left="720"/>
        <w:rPr>
          <w:rFonts w:ascii="Arial" w:hAnsi="Arial"/>
          <w:sz w:val="24"/>
        </w:rPr>
      </w:pPr>
    </w:p>
    <w:p w:rsidR="001B447C" w:rsidRDefault="001B447C">
      <w:pPr>
        <w:numPr>
          <w:ilvl w:val="0"/>
          <w:numId w:val="1"/>
        </w:numPr>
        <w:rPr>
          <w:rFonts w:ascii="Arial" w:hAnsi="Arial"/>
          <w:b/>
          <w:sz w:val="28"/>
        </w:rPr>
      </w:pPr>
      <w:r>
        <w:rPr>
          <w:rFonts w:ascii="Arial" w:hAnsi="Arial"/>
          <w:b/>
          <w:sz w:val="28"/>
        </w:rPr>
        <w:t>Specimens – N/A</w:t>
      </w:r>
    </w:p>
    <w:p w:rsidR="001B447C" w:rsidRDefault="001B447C">
      <w:pPr>
        <w:ind w:left="720"/>
        <w:rPr>
          <w:rFonts w:ascii="Arial" w:hAnsi="Arial"/>
          <w:sz w:val="24"/>
        </w:rPr>
      </w:pPr>
    </w:p>
    <w:p w:rsidR="001B447C" w:rsidRDefault="001B447C">
      <w:pPr>
        <w:numPr>
          <w:ilvl w:val="0"/>
          <w:numId w:val="1"/>
        </w:numPr>
        <w:rPr>
          <w:rFonts w:ascii="Arial" w:hAnsi="Arial"/>
          <w:b/>
          <w:sz w:val="28"/>
        </w:rPr>
      </w:pPr>
      <w:r>
        <w:rPr>
          <w:rFonts w:ascii="Arial" w:hAnsi="Arial"/>
          <w:b/>
          <w:sz w:val="28"/>
        </w:rPr>
        <w:t>Materials</w:t>
      </w:r>
    </w:p>
    <w:p w:rsidR="001B447C" w:rsidRDefault="001B447C">
      <w:pPr>
        <w:rPr>
          <w:rFonts w:ascii="Arial" w:hAnsi="Arial"/>
          <w:sz w:val="24"/>
        </w:rPr>
      </w:pPr>
    </w:p>
    <w:p w:rsidR="001B447C" w:rsidRDefault="001B447C">
      <w:pPr>
        <w:ind w:left="720"/>
        <w:rPr>
          <w:rFonts w:ascii="Arial" w:hAnsi="Arial"/>
          <w:sz w:val="24"/>
        </w:rPr>
      </w:pPr>
      <w:r>
        <w:rPr>
          <w:rFonts w:ascii="Arial" w:hAnsi="Arial"/>
          <w:b/>
          <w:bCs/>
          <w:sz w:val="24"/>
        </w:rPr>
        <w:t>Equipment:</w:t>
      </w:r>
      <w:r>
        <w:rPr>
          <w:rFonts w:ascii="Arial" w:hAnsi="Arial"/>
          <w:sz w:val="24"/>
        </w:rPr>
        <w:t xml:space="preserve"> </w:t>
      </w:r>
      <w:r>
        <w:rPr>
          <w:rFonts w:ascii="Arial" w:hAnsi="Arial"/>
          <w:sz w:val="24"/>
        </w:rPr>
        <w:tab/>
      </w:r>
      <w:r w:rsidR="002A6E31">
        <w:rPr>
          <w:rFonts w:ascii="Arial" w:hAnsi="Arial"/>
          <w:sz w:val="24"/>
        </w:rPr>
        <w:t xml:space="preserve"> N/A</w:t>
      </w:r>
    </w:p>
    <w:p w:rsidR="001B447C" w:rsidRDefault="001B447C">
      <w:pPr>
        <w:ind w:left="720"/>
        <w:rPr>
          <w:rFonts w:ascii="Arial" w:hAnsi="Arial"/>
          <w:sz w:val="24"/>
        </w:rPr>
      </w:pPr>
    </w:p>
    <w:p w:rsidR="001B447C" w:rsidRDefault="001B447C">
      <w:pPr>
        <w:ind w:left="2160" w:hanging="1440"/>
        <w:rPr>
          <w:rFonts w:ascii="Arial" w:hAnsi="Arial"/>
          <w:sz w:val="24"/>
        </w:rPr>
      </w:pPr>
      <w:r>
        <w:rPr>
          <w:rFonts w:ascii="Arial" w:hAnsi="Arial"/>
          <w:b/>
          <w:bCs/>
          <w:sz w:val="24"/>
        </w:rPr>
        <w:t>Supplies:</w:t>
      </w:r>
      <w:r>
        <w:rPr>
          <w:rFonts w:ascii="Arial" w:hAnsi="Arial"/>
          <w:sz w:val="24"/>
        </w:rPr>
        <w:t xml:space="preserve"> </w:t>
      </w:r>
      <w:r>
        <w:rPr>
          <w:rFonts w:ascii="Arial" w:hAnsi="Arial"/>
          <w:sz w:val="24"/>
        </w:rPr>
        <w:tab/>
        <w:t>Micro Typing Systems (MTS</w:t>
      </w:r>
      <w:r>
        <w:rPr>
          <w:rFonts w:ascii="Arial" w:hAnsi="Arial"/>
          <w:sz w:val="24"/>
        </w:rPr>
        <w:sym w:font="Symbol" w:char="F0D4"/>
      </w:r>
      <w:r>
        <w:rPr>
          <w:rFonts w:ascii="Arial" w:hAnsi="Arial"/>
          <w:sz w:val="24"/>
        </w:rPr>
        <w:t>) Anti-IgG cards that were used for the testing.</w:t>
      </w:r>
    </w:p>
    <w:p w:rsidR="001B447C" w:rsidRDefault="001B447C">
      <w:pPr>
        <w:ind w:left="720"/>
        <w:rPr>
          <w:rFonts w:ascii="Arial" w:hAnsi="Arial"/>
          <w:sz w:val="24"/>
        </w:rPr>
      </w:pPr>
    </w:p>
    <w:p w:rsidR="001B447C" w:rsidRDefault="001B447C">
      <w:pPr>
        <w:numPr>
          <w:ilvl w:val="0"/>
          <w:numId w:val="1"/>
        </w:numPr>
        <w:rPr>
          <w:rFonts w:ascii="Arial" w:hAnsi="Arial"/>
          <w:b/>
          <w:sz w:val="28"/>
        </w:rPr>
      </w:pPr>
      <w:r>
        <w:rPr>
          <w:rFonts w:ascii="Arial" w:hAnsi="Arial"/>
          <w:b/>
          <w:sz w:val="28"/>
        </w:rPr>
        <w:t>Quality Control</w:t>
      </w:r>
    </w:p>
    <w:p w:rsidR="001B447C" w:rsidRDefault="001B447C">
      <w:pPr>
        <w:rPr>
          <w:rFonts w:ascii="Arial" w:hAnsi="Arial"/>
          <w:sz w:val="24"/>
        </w:rPr>
      </w:pPr>
    </w:p>
    <w:p w:rsidR="001B447C"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Reading skills proficiency te</w:t>
      </w:r>
      <w:r w:rsidR="00683810">
        <w:rPr>
          <w:rFonts w:ascii="Arial" w:hAnsi="Arial"/>
          <w:sz w:val="24"/>
        </w:rPr>
        <w:t xml:space="preserve">sting should be done with staff </w:t>
      </w:r>
      <w:r>
        <w:rPr>
          <w:rFonts w:ascii="Arial" w:hAnsi="Arial"/>
          <w:sz w:val="24"/>
        </w:rPr>
        <w:t>performing testing using MTS</w:t>
      </w:r>
      <w:r>
        <w:rPr>
          <w:rFonts w:ascii="Arial" w:hAnsi="Arial"/>
          <w:sz w:val="24"/>
        </w:rPr>
        <w:sym w:font="Symbol" w:char="F0D4"/>
      </w:r>
      <w:r>
        <w:rPr>
          <w:rFonts w:ascii="Arial" w:hAnsi="Arial"/>
          <w:sz w:val="24"/>
        </w:rPr>
        <w:t xml:space="preserve"> columns.</w:t>
      </w:r>
    </w:p>
    <w:p w:rsidR="001B447C" w:rsidRDefault="001B447C">
      <w:pPr>
        <w:ind w:left="720"/>
        <w:rPr>
          <w:rFonts w:ascii="Arial" w:hAnsi="Arial"/>
          <w:sz w:val="24"/>
        </w:rPr>
      </w:pPr>
    </w:p>
    <w:p w:rsidR="001B447C" w:rsidRDefault="001B447C" w:rsidP="00683810">
      <w:pPr>
        <w:numPr>
          <w:ilvl w:val="1"/>
          <w:numId w:val="1"/>
        </w:numPr>
        <w:tabs>
          <w:tab w:val="clear" w:pos="720"/>
        </w:tabs>
        <w:ind w:left="1418" w:hanging="567"/>
        <w:rPr>
          <w:rFonts w:ascii="Arial" w:hAnsi="Arial"/>
          <w:sz w:val="24"/>
        </w:rPr>
      </w:pPr>
      <w:r>
        <w:rPr>
          <w:rFonts w:ascii="Arial" w:hAnsi="Arial"/>
          <w:sz w:val="24"/>
        </w:rPr>
        <w:t>The MTS</w:t>
      </w:r>
      <w:r>
        <w:rPr>
          <w:rFonts w:ascii="Arial" w:hAnsi="Arial"/>
          <w:sz w:val="24"/>
        </w:rPr>
        <w:sym w:font="Symbol" w:char="F0D4"/>
      </w:r>
      <w:r>
        <w:rPr>
          <w:rFonts w:ascii="Arial" w:hAnsi="Arial"/>
          <w:sz w:val="24"/>
        </w:rPr>
        <w:t xml:space="preserve"> interpretation guide will give color illustrations to assist technologists with determining reaction grades.  Additional technical assistance is available by telephone on a help line.  See the MTS</w:t>
      </w:r>
      <w:r>
        <w:rPr>
          <w:rFonts w:ascii="Arial" w:hAnsi="Arial"/>
          <w:sz w:val="24"/>
        </w:rPr>
        <w:sym w:font="Symbol" w:char="F0D4"/>
      </w:r>
      <w:r>
        <w:rPr>
          <w:rFonts w:ascii="Arial" w:hAnsi="Arial"/>
          <w:sz w:val="24"/>
        </w:rPr>
        <w:t xml:space="preserve"> Interpretation Guide.</w:t>
      </w:r>
    </w:p>
    <w:p w:rsidR="00FF36B1" w:rsidRDefault="00FF36B1" w:rsidP="00E32732">
      <w:pPr>
        <w:rPr>
          <w:rFonts w:ascii="Arial" w:hAnsi="Arial"/>
          <w:sz w:val="24"/>
        </w:rPr>
      </w:pPr>
    </w:p>
    <w:p w:rsidR="00FF36B1" w:rsidRDefault="00FF36B1" w:rsidP="00E32732">
      <w:pPr>
        <w:rPr>
          <w:rFonts w:ascii="Arial" w:hAnsi="Arial"/>
          <w:sz w:val="24"/>
        </w:rPr>
      </w:pPr>
    </w:p>
    <w:p w:rsidR="00FF36B1" w:rsidRDefault="00FF36B1" w:rsidP="00E32732">
      <w:pPr>
        <w:rPr>
          <w:rFonts w:ascii="Arial" w:hAnsi="Arial"/>
          <w:sz w:val="24"/>
        </w:rPr>
      </w:pPr>
    </w:p>
    <w:p w:rsidR="001B447C" w:rsidRDefault="001B447C">
      <w:pPr>
        <w:numPr>
          <w:ilvl w:val="0"/>
          <w:numId w:val="1"/>
        </w:numPr>
        <w:rPr>
          <w:rFonts w:ascii="Arial" w:hAnsi="Arial"/>
          <w:b/>
          <w:sz w:val="28"/>
        </w:rPr>
      </w:pPr>
      <w:r>
        <w:rPr>
          <w:rFonts w:ascii="Arial" w:hAnsi="Arial"/>
          <w:b/>
          <w:sz w:val="28"/>
        </w:rPr>
        <w:lastRenderedPageBreak/>
        <w:t>Procedure</w:t>
      </w:r>
    </w:p>
    <w:p w:rsidR="001B447C" w:rsidRDefault="001B447C">
      <w:pPr>
        <w:ind w:left="1440"/>
        <w:rPr>
          <w:rFonts w:ascii="Arial" w:hAnsi="Arial"/>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871"/>
      </w:tblGrid>
      <w:tr w:rsidR="00B3536B" w:rsidRPr="004A2043" w:rsidTr="00FF36B1">
        <w:trPr>
          <w:trHeight w:val="516"/>
          <w:jc w:val="center"/>
        </w:trPr>
        <w:tc>
          <w:tcPr>
            <w:tcW w:w="3052" w:type="dxa"/>
            <w:vMerge w:val="restart"/>
            <w:shd w:val="clear" w:color="auto" w:fill="auto"/>
          </w:tcPr>
          <w:p w:rsidR="00FF36B1" w:rsidRPr="00FF36B1" w:rsidRDefault="00B3536B" w:rsidP="00683810">
            <w:pPr>
              <w:numPr>
                <w:ilvl w:val="1"/>
                <w:numId w:val="1"/>
              </w:numPr>
              <w:rPr>
                <w:rFonts w:ascii="Arial" w:hAnsi="Arial"/>
                <w:sz w:val="24"/>
              </w:rPr>
            </w:pPr>
            <w:r w:rsidRPr="00B3536B">
              <w:rPr>
                <w:rFonts w:ascii="Arial" w:hAnsi="Arial"/>
                <w:sz w:val="24"/>
              </w:rPr>
              <w:t>After centrifugation, remove the card(s) from the centrifuge and observe each card for the following signs of improper centrifugation:</w:t>
            </w:r>
          </w:p>
        </w:tc>
        <w:tc>
          <w:tcPr>
            <w:tcW w:w="6871" w:type="dxa"/>
            <w:shd w:val="clear" w:color="auto" w:fill="auto"/>
          </w:tcPr>
          <w:p w:rsidR="00B3536B" w:rsidRPr="004A2043" w:rsidRDefault="00B3536B" w:rsidP="004A2043">
            <w:pPr>
              <w:numPr>
                <w:ilvl w:val="2"/>
                <w:numId w:val="1"/>
              </w:numPr>
              <w:rPr>
                <w:rFonts w:ascii="Arial" w:hAnsi="Arial"/>
                <w:sz w:val="24"/>
              </w:rPr>
            </w:pPr>
            <w:r w:rsidRPr="00B3536B">
              <w:rPr>
                <w:rFonts w:ascii="Arial" w:hAnsi="Arial"/>
                <w:sz w:val="24"/>
              </w:rPr>
              <w:t>Unagglutinated red cells observed in the gel are usually caused by an interrupted centrifugation cycle.</w:t>
            </w:r>
          </w:p>
        </w:tc>
      </w:tr>
      <w:tr w:rsidR="00B3536B" w:rsidRPr="004A2043" w:rsidTr="00FF36B1">
        <w:trPr>
          <w:trHeight w:val="585"/>
          <w:jc w:val="center"/>
        </w:trPr>
        <w:tc>
          <w:tcPr>
            <w:tcW w:w="3052" w:type="dxa"/>
            <w:vMerge/>
            <w:shd w:val="clear" w:color="auto" w:fill="auto"/>
          </w:tcPr>
          <w:p w:rsidR="00B3536B" w:rsidRPr="004A2043" w:rsidRDefault="00B3536B" w:rsidP="004A2043">
            <w:pPr>
              <w:numPr>
                <w:ilvl w:val="1"/>
                <w:numId w:val="1"/>
              </w:numPr>
              <w:rPr>
                <w:rFonts w:ascii="Arial" w:hAnsi="Arial"/>
                <w:sz w:val="24"/>
              </w:rPr>
            </w:pPr>
          </w:p>
        </w:tc>
        <w:tc>
          <w:tcPr>
            <w:tcW w:w="6871" w:type="dxa"/>
            <w:shd w:val="clear" w:color="auto" w:fill="auto"/>
          </w:tcPr>
          <w:p w:rsidR="00B3536B" w:rsidRPr="004A2043" w:rsidRDefault="00B3536B" w:rsidP="004A2043">
            <w:pPr>
              <w:numPr>
                <w:ilvl w:val="2"/>
                <w:numId w:val="1"/>
              </w:numPr>
              <w:rPr>
                <w:rFonts w:ascii="Arial" w:hAnsi="Arial"/>
                <w:sz w:val="24"/>
              </w:rPr>
            </w:pPr>
            <w:r w:rsidRPr="004A2043">
              <w:rPr>
                <w:rFonts w:ascii="Arial" w:hAnsi="Arial"/>
                <w:sz w:val="24"/>
              </w:rPr>
              <w:t>A line of red cells streaming down one side and forming a “J” appearance is caused by improperly seated card in the card holders.</w:t>
            </w:r>
          </w:p>
        </w:tc>
      </w:tr>
      <w:tr w:rsidR="00B3536B" w:rsidRPr="004A2043" w:rsidTr="00FF36B1">
        <w:trPr>
          <w:trHeight w:val="1020"/>
          <w:jc w:val="center"/>
        </w:trPr>
        <w:tc>
          <w:tcPr>
            <w:tcW w:w="3052" w:type="dxa"/>
            <w:vMerge/>
            <w:shd w:val="clear" w:color="auto" w:fill="auto"/>
          </w:tcPr>
          <w:p w:rsidR="00B3536B" w:rsidRPr="004A2043" w:rsidRDefault="00B3536B" w:rsidP="004A2043">
            <w:pPr>
              <w:numPr>
                <w:ilvl w:val="1"/>
                <w:numId w:val="1"/>
              </w:numPr>
              <w:rPr>
                <w:rFonts w:ascii="Arial" w:hAnsi="Arial"/>
                <w:sz w:val="24"/>
              </w:rPr>
            </w:pPr>
          </w:p>
        </w:tc>
        <w:tc>
          <w:tcPr>
            <w:tcW w:w="6871" w:type="dxa"/>
            <w:shd w:val="clear" w:color="auto" w:fill="auto"/>
          </w:tcPr>
          <w:p w:rsidR="00B3536B" w:rsidRPr="004A2043" w:rsidRDefault="00B3536B" w:rsidP="004A2043">
            <w:pPr>
              <w:numPr>
                <w:ilvl w:val="2"/>
                <w:numId w:val="1"/>
              </w:numPr>
              <w:rPr>
                <w:rFonts w:ascii="Arial" w:hAnsi="Arial"/>
                <w:sz w:val="24"/>
              </w:rPr>
            </w:pPr>
            <w:r w:rsidRPr="004A2043">
              <w:rPr>
                <w:rFonts w:ascii="Arial" w:hAnsi="Arial"/>
                <w:sz w:val="24"/>
              </w:rPr>
              <w:t>If the card(s) show a sign of improper centrifugation, repeat the test.  Do not re-centrifuge the card(s). See Procedural Notes 8.7.3.</w:t>
            </w:r>
          </w:p>
        </w:tc>
      </w:tr>
      <w:tr w:rsidR="00B3536B" w:rsidRPr="004A2043" w:rsidTr="00FF36B1">
        <w:trPr>
          <w:trHeight w:val="300"/>
          <w:jc w:val="center"/>
        </w:trPr>
        <w:tc>
          <w:tcPr>
            <w:tcW w:w="9923" w:type="dxa"/>
            <w:gridSpan w:val="2"/>
            <w:shd w:val="clear" w:color="auto" w:fill="auto"/>
          </w:tcPr>
          <w:p w:rsidR="00B3536B" w:rsidRPr="004A2043" w:rsidRDefault="00B3536B" w:rsidP="004A2043">
            <w:pPr>
              <w:numPr>
                <w:ilvl w:val="1"/>
                <w:numId w:val="1"/>
              </w:numPr>
              <w:rPr>
                <w:rFonts w:ascii="Arial" w:hAnsi="Arial"/>
                <w:sz w:val="24"/>
              </w:rPr>
            </w:pPr>
            <w:r w:rsidRPr="00B3536B">
              <w:rPr>
                <w:rFonts w:ascii="Arial" w:hAnsi="Arial"/>
                <w:sz w:val="24"/>
              </w:rPr>
              <w:t>Observe both the front and back of each microtube in the gel card.</w:t>
            </w:r>
          </w:p>
        </w:tc>
      </w:tr>
      <w:tr w:rsidR="00B3536B" w:rsidRPr="004A2043" w:rsidTr="00FF36B1">
        <w:trPr>
          <w:trHeight w:val="300"/>
          <w:jc w:val="center"/>
        </w:trPr>
        <w:tc>
          <w:tcPr>
            <w:tcW w:w="9923" w:type="dxa"/>
            <w:gridSpan w:val="2"/>
            <w:shd w:val="clear" w:color="auto" w:fill="auto"/>
          </w:tcPr>
          <w:p w:rsidR="00B3536B" w:rsidRPr="004A2043" w:rsidRDefault="00B3536B" w:rsidP="004A2043">
            <w:pPr>
              <w:numPr>
                <w:ilvl w:val="1"/>
                <w:numId w:val="1"/>
              </w:numPr>
              <w:rPr>
                <w:rFonts w:ascii="Arial" w:hAnsi="Arial"/>
                <w:sz w:val="24"/>
              </w:rPr>
            </w:pPr>
            <w:r w:rsidRPr="00B3536B">
              <w:rPr>
                <w:rFonts w:ascii="Arial" w:hAnsi="Arial"/>
                <w:sz w:val="24"/>
              </w:rPr>
              <w:t xml:space="preserve">Read macroscopically.  </w:t>
            </w:r>
          </w:p>
        </w:tc>
      </w:tr>
      <w:tr w:rsidR="00965003" w:rsidRPr="004A2043" w:rsidTr="00FF36B1">
        <w:trPr>
          <w:trHeight w:val="278"/>
          <w:jc w:val="center"/>
        </w:trPr>
        <w:tc>
          <w:tcPr>
            <w:tcW w:w="3052" w:type="dxa"/>
            <w:vMerge w:val="restart"/>
            <w:shd w:val="clear" w:color="auto" w:fill="auto"/>
          </w:tcPr>
          <w:p w:rsidR="00965003" w:rsidRPr="00B3536B" w:rsidRDefault="00965003" w:rsidP="004A2043">
            <w:pPr>
              <w:numPr>
                <w:ilvl w:val="1"/>
                <w:numId w:val="1"/>
              </w:numPr>
              <w:rPr>
                <w:rFonts w:ascii="Arial" w:hAnsi="Arial"/>
                <w:sz w:val="24"/>
              </w:rPr>
            </w:pPr>
            <w:r w:rsidRPr="00B3536B">
              <w:rPr>
                <w:rFonts w:ascii="Arial" w:hAnsi="Arial"/>
                <w:sz w:val="24"/>
              </w:rPr>
              <w:t>Grade the reactions.</w:t>
            </w:r>
          </w:p>
          <w:p w:rsidR="00965003" w:rsidRPr="004A2043" w:rsidRDefault="00965003" w:rsidP="004A2043">
            <w:pPr>
              <w:ind w:firstLine="720"/>
              <w:rPr>
                <w:rFonts w:ascii="Arial" w:hAnsi="Arial"/>
                <w:sz w:val="24"/>
              </w:rPr>
            </w:pPr>
          </w:p>
        </w:tc>
        <w:tc>
          <w:tcPr>
            <w:tcW w:w="6871" w:type="dxa"/>
            <w:shd w:val="clear" w:color="auto" w:fill="auto"/>
          </w:tcPr>
          <w:p w:rsidR="00965003" w:rsidRPr="004A2043" w:rsidRDefault="00965003" w:rsidP="00683810">
            <w:pPr>
              <w:numPr>
                <w:ilvl w:val="2"/>
                <w:numId w:val="1"/>
              </w:numPr>
              <w:tabs>
                <w:tab w:val="clear" w:pos="720"/>
                <w:tab w:val="num" w:pos="884"/>
              </w:tabs>
              <w:ind w:left="884" w:hanging="850"/>
              <w:rPr>
                <w:rFonts w:ascii="Arial" w:hAnsi="Arial"/>
                <w:sz w:val="24"/>
              </w:rPr>
            </w:pPr>
            <w:r w:rsidRPr="00B3536B">
              <w:rPr>
                <w:rFonts w:ascii="Arial" w:hAnsi="Arial"/>
                <w:sz w:val="24"/>
              </w:rPr>
              <w:t>Refer to the MTS</w:t>
            </w:r>
            <w:r w:rsidRPr="00B3536B">
              <w:rPr>
                <w:rFonts w:ascii="Arial" w:hAnsi="Arial"/>
                <w:sz w:val="24"/>
              </w:rPr>
              <w:sym w:font="Symbol" w:char="F0D4"/>
            </w:r>
            <w:r w:rsidRPr="00B3536B">
              <w:rPr>
                <w:rFonts w:ascii="Arial" w:hAnsi="Arial"/>
                <w:sz w:val="24"/>
              </w:rPr>
              <w:t xml:space="preserve"> Interpretation guide for diagrams or pictures showing range of reactions.</w:t>
            </w:r>
          </w:p>
        </w:tc>
      </w:tr>
      <w:tr w:rsidR="00965003" w:rsidRPr="004A2043" w:rsidTr="00FF36B1">
        <w:trPr>
          <w:trHeight w:val="6906"/>
          <w:jc w:val="center"/>
        </w:trPr>
        <w:tc>
          <w:tcPr>
            <w:tcW w:w="3052" w:type="dxa"/>
            <w:vMerge/>
            <w:shd w:val="clear" w:color="auto" w:fill="auto"/>
          </w:tcPr>
          <w:p w:rsidR="00965003" w:rsidRPr="004A2043" w:rsidRDefault="00965003" w:rsidP="004A2043">
            <w:pPr>
              <w:numPr>
                <w:ilvl w:val="1"/>
                <w:numId w:val="1"/>
              </w:numPr>
              <w:rPr>
                <w:rFonts w:ascii="Arial" w:hAnsi="Arial"/>
                <w:sz w:val="24"/>
              </w:rPr>
            </w:pPr>
          </w:p>
        </w:tc>
        <w:tc>
          <w:tcPr>
            <w:tcW w:w="6871" w:type="dxa"/>
            <w:shd w:val="clear" w:color="auto" w:fill="auto"/>
          </w:tcPr>
          <w:p w:rsidR="00965003" w:rsidRPr="004A2043" w:rsidRDefault="00965003" w:rsidP="004A2043">
            <w:pPr>
              <w:numPr>
                <w:ilvl w:val="2"/>
                <w:numId w:val="1"/>
              </w:numPr>
              <w:rPr>
                <w:rFonts w:ascii="Arial" w:hAnsi="Arial"/>
                <w:sz w:val="24"/>
              </w:rPr>
            </w:pPr>
            <w:r w:rsidRPr="004A2043">
              <w:rPr>
                <w:rFonts w:ascii="Arial" w:hAnsi="Arial"/>
                <w:sz w:val="24"/>
              </w:rPr>
              <w:t>Record reactions as described below on the appropriate form. See also Procedural Notes 8.8.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5579"/>
            </w:tblGrid>
            <w:tr w:rsidR="00965003" w:rsidTr="004A2043">
              <w:trPr>
                <w:trHeight w:val="229"/>
                <w:jc w:val="center"/>
              </w:trPr>
              <w:tc>
                <w:tcPr>
                  <w:tcW w:w="802" w:type="pct"/>
                  <w:shd w:val="clear" w:color="auto" w:fill="D9D9D9"/>
                </w:tcPr>
                <w:p w:rsidR="00965003" w:rsidRDefault="00965003" w:rsidP="004A2043">
                  <w:pPr>
                    <w:jc w:val="center"/>
                    <w:rPr>
                      <w:rFonts w:ascii="Arial" w:hAnsi="Arial"/>
                      <w:b/>
                    </w:rPr>
                  </w:pPr>
                  <w:r>
                    <w:rPr>
                      <w:rFonts w:ascii="Arial" w:hAnsi="Arial"/>
                      <w:b/>
                    </w:rPr>
                    <w:t>Grade</w:t>
                  </w:r>
                </w:p>
              </w:tc>
              <w:tc>
                <w:tcPr>
                  <w:tcW w:w="4198" w:type="pct"/>
                  <w:shd w:val="clear" w:color="auto" w:fill="D9D9D9"/>
                </w:tcPr>
                <w:p w:rsidR="00965003" w:rsidRDefault="00965003" w:rsidP="004A2043">
                  <w:pPr>
                    <w:jc w:val="center"/>
                    <w:rPr>
                      <w:rFonts w:ascii="Arial" w:hAnsi="Arial"/>
                      <w:b/>
                    </w:rPr>
                  </w:pPr>
                  <w:r>
                    <w:rPr>
                      <w:rFonts w:ascii="Arial" w:hAnsi="Arial"/>
                      <w:b/>
                    </w:rPr>
                    <w:t>Description of Reaction*</w:t>
                  </w:r>
                </w:p>
              </w:tc>
            </w:tr>
            <w:tr w:rsidR="00965003" w:rsidTr="00FF36B1">
              <w:trPr>
                <w:trHeight w:val="1021"/>
                <w:jc w:val="center"/>
              </w:trPr>
              <w:tc>
                <w:tcPr>
                  <w:tcW w:w="802" w:type="pct"/>
                </w:tcPr>
                <w:p w:rsidR="00965003" w:rsidRPr="00B3536B" w:rsidRDefault="00965003" w:rsidP="004A2043">
                  <w:pPr>
                    <w:jc w:val="center"/>
                    <w:rPr>
                      <w:rFonts w:ascii="Arial" w:hAnsi="Arial" w:cs="Arial"/>
                    </w:rPr>
                  </w:pPr>
                  <w:r w:rsidRPr="00B3536B">
                    <w:rPr>
                      <w:rFonts w:ascii="Arial" w:hAnsi="Arial" w:cs="Arial"/>
                    </w:rPr>
                    <w:t>Neg</w:t>
                  </w:r>
                </w:p>
              </w:tc>
              <w:tc>
                <w:tcPr>
                  <w:tcW w:w="4198" w:type="pct"/>
                </w:tcPr>
                <w:p w:rsidR="00965003" w:rsidRPr="00B3536B" w:rsidRDefault="00965003" w:rsidP="004A2043">
                  <w:pPr>
                    <w:autoSpaceDE w:val="0"/>
                    <w:autoSpaceDN w:val="0"/>
                    <w:adjustRightInd w:val="0"/>
                    <w:rPr>
                      <w:rFonts w:ascii="Arial" w:hAnsi="Arial" w:cs="Arial"/>
                      <w:lang w:val="en-CA" w:eastAsia="en-CA"/>
                    </w:rPr>
                  </w:pPr>
                  <w:r w:rsidRPr="00B3536B">
                    <w:rPr>
                      <w:rFonts w:ascii="Arial" w:hAnsi="Arial" w:cs="Arial"/>
                      <w:lang w:val="en-CA" w:eastAsia="en-CA"/>
                    </w:rPr>
                    <w:t>Unagglutinated red blood cells form a well-defined button</w:t>
                  </w:r>
                </w:p>
                <w:p w:rsidR="00965003" w:rsidRPr="00B3536B" w:rsidRDefault="00965003" w:rsidP="004A2043">
                  <w:pPr>
                    <w:rPr>
                      <w:rFonts w:ascii="Arial" w:hAnsi="Arial" w:cs="Arial"/>
                    </w:rPr>
                  </w:pPr>
                  <w:r w:rsidRPr="00B3536B">
                    <w:rPr>
                      <w:rFonts w:ascii="Arial" w:hAnsi="Arial" w:cs="Arial"/>
                      <w:lang w:val="en-CA" w:eastAsia="en-CA"/>
                    </w:rPr>
                    <w:t>at the bottom of the microtube</w:t>
                  </w:r>
                  <w:r w:rsidRPr="00B3536B">
                    <w:rPr>
                      <w:rFonts w:ascii="Arial" w:hAnsi="Arial" w:cs="Arial"/>
                    </w:rPr>
                    <w:t>. See Procedural Notes 8.1 if a few unagglutinated cells are trapped at the top or sides of the gel.</w:t>
                  </w:r>
                </w:p>
              </w:tc>
            </w:tr>
            <w:tr w:rsidR="00965003" w:rsidTr="00FF36B1">
              <w:trPr>
                <w:trHeight w:val="838"/>
                <w:jc w:val="center"/>
              </w:trPr>
              <w:tc>
                <w:tcPr>
                  <w:tcW w:w="802" w:type="pct"/>
                </w:tcPr>
                <w:p w:rsidR="00965003" w:rsidRPr="00B3536B" w:rsidRDefault="00965003" w:rsidP="004A2043">
                  <w:pPr>
                    <w:jc w:val="center"/>
                    <w:rPr>
                      <w:rFonts w:ascii="Arial" w:hAnsi="Arial" w:cs="Arial"/>
                    </w:rPr>
                  </w:pPr>
                  <w:r w:rsidRPr="00B3536B">
                    <w:rPr>
                      <w:rFonts w:ascii="Arial" w:hAnsi="Arial" w:cs="Arial"/>
                    </w:rPr>
                    <w:t xml:space="preserve">1 </w:t>
                  </w:r>
                </w:p>
              </w:tc>
              <w:tc>
                <w:tcPr>
                  <w:tcW w:w="4198" w:type="pct"/>
                </w:tcPr>
                <w:p w:rsidR="00965003" w:rsidRPr="00B3536B" w:rsidRDefault="00965003" w:rsidP="004A2043">
                  <w:pPr>
                    <w:rPr>
                      <w:rFonts w:ascii="Arial" w:hAnsi="Arial" w:cs="Arial"/>
                    </w:rPr>
                  </w:pPr>
                  <w:r w:rsidRPr="00B3536B">
                    <w:rPr>
                      <w:rFonts w:ascii="Arial" w:hAnsi="Arial" w:cs="Arial"/>
                    </w:rPr>
                    <w:t>Agglutinates predominantly observed in the lower half of the microtube. Unagglutinated red cells form a pellet in the bottom of the microtube.</w:t>
                  </w:r>
                </w:p>
              </w:tc>
            </w:tr>
            <w:tr w:rsidR="00965003" w:rsidTr="00FF36B1">
              <w:trPr>
                <w:trHeight w:val="835"/>
                <w:jc w:val="center"/>
              </w:trPr>
              <w:tc>
                <w:tcPr>
                  <w:tcW w:w="802" w:type="pct"/>
                </w:tcPr>
                <w:p w:rsidR="00965003" w:rsidRPr="00B3536B" w:rsidRDefault="00965003" w:rsidP="004A2043">
                  <w:pPr>
                    <w:jc w:val="center"/>
                    <w:rPr>
                      <w:rFonts w:ascii="Arial" w:hAnsi="Arial" w:cs="Arial"/>
                    </w:rPr>
                  </w:pPr>
                  <w:r w:rsidRPr="00B3536B">
                    <w:rPr>
                      <w:rFonts w:ascii="Arial" w:hAnsi="Arial" w:cs="Arial"/>
                    </w:rPr>
                    <w:t xml:space="preserve">2 </w:t>
                  </w:r>
                </w:p>
              </w:tc>
              <w:tc>
                <w:tcPr>
                  <w:tcW w:w="4198" w:type="pct"/>
                </w:tcPr>
                <w:p w:rsidR="00965003" w:rsidRPr="00B3536B" w:rsidRDefault="00965003" w:rsidP="004A2043">
                  <w:pPr>
                    <w:rPr>
                      <w:rFonts w:ascii="Arial" w:hAnsi="Arial" w:cs="Arial"/>
                    </w:rPr>
                  </w:pPr>
                  <w:r w:rsidRPr="00B3536B">
                    <w:rPr>
                      <w:rFonts w:ascii="Arial" w:hAnsi="Arial" w:cs="Arial"/>
                    </w:rPr>
                    <w:t>Agglutinates dispersed throughout the length of the gel column.  A few free cells may be observed in the bottom of the microtube.  See Procedural Notes 8.2.</w:t>
                  </w:r>
                </w:p>
              </w:tc>
            </w:tr>
            <w:tr w:rsidR="00965003" w:rsidTr="00FF36B1">
              <w:trPr>
                <w:trHeight w:val="564"/>
                <w:jc w:val="center"/>
              </w:trPr>
              <w:tc>
                <w:tcPr>
                  <w:tcW w:w="802" w:type="pct"/>
                </w:tcPr>
                <w:p w:rsidR="00965003" w:rsidRPr="00B3536B" w:rsidRDefault="00965003" w:rsidP="004A2043">
                  <w:pPr>
                    <w:jc w:val="center"/>
                    <w:rPr>
                      <w:rFonts w:ascii="Arial" w:hAnsi="Arial" w:cs="Arial"/>
                    </w:rPr>
                  </w:pPr>
                  <w:r w:rsidRPr="00B3536B">
                    <w:rPr>
                      <w:rFonts w:ascii="Arial" w:hAnsi="Arial" w:cs="Arial"/>
                    </w:rPr>
                    <w:t xml:space="preserve">3 </w:t>
                  </w:r>
                </w:p>
              </w:tc>
              <w:tc>
                <w:tcPr>
                  <w:tcW w:w="4198" w:type="pct"/>
                </w:tcPr>
                <w:p w:rsidR="00965003" w:rsidRPr="00B3536B" w:rsidRDefault="00965003" w:rsidP="004A2043">
                  <w:pPr>
                    <w:rPr>
                      <w:rFonts w:ascii="Arial" w:hAnsi="Arial" w:cs="Arial"/>
                    </w:rPr>
                  </w:pPr>
                  <w:r w:rsidRPr="00B3536B">
                    <w:rPr>
                      <w:rFonts w:ascii="Arial" w:hAnsi="Arial" w:cs="Arial"/>
                    </w:rPr>
                    <w:t>Majority of agglutinates trapped in the upper half of the microtube.  See Procedural Notes 8.3.</w:t>
                  </w:r>
                </w:p>
              </w:tc>
            </w:tr>
            <w:tr w:rsidR="00965003" w:rsidTr="00B3536B">
              <w:trPr>
                <w:jc w:val="center"/>
              </w:trPr>
              <w:tc>
                <w:tcPr>
                  <w:tcW w:w="802" w:type="pct"/>
                </w:tcPr>
                <w:p w:rsidR="00965003" w:rsidRPr="00B3536B" w:rsidRDefault="00965003" w:rsidP="004A2043">
                  <w:pPr>
                    <w:jc w:val="center"/>
                    <w:rPr>
                      <w:rFonts w:ascii="Arial" w:hAnsi="Arial" w:cs="Arial"/>
                    </w:rPr>
                  </w:pPr>
                  <w:r w:rsidRPr="00B3536B">
                    <w:rPr>
                      <w:rFonts w:ascii="Arial" w:hAnsi="Arial" w:cs="Arial"/>
                    </w:rPr>
                    <w:t xml:space="preserve">4 </w:t>
                  </w:r>
                </w:p>
              </w:tc>
              <w:tc>
                <w:tcPr>
                  <w:tcW w:w="4198" w:type="pct"/>
                </w:tcPr>
                <w:p w:rsidR="00965003" w:rsidRPr="00B3536B" w:rsidRDefault="00965003" w:rsidP="004A2043">
                  <w:pPr>
                    <w:rPr>
                      <w:rFonts w:ascii="Arial" w:hAnsi="Arial" w:cs="Arial"/>
                    </w:rPr>
                  </w:pPr>
                  <w:r w:rsidRPr="00B3536B">
                    <w:rPr>
                      <w:rFonts w:ascii="Arial" w:hAnsi="Arial" w:cs="Arial"/>
                    </w:rPr>
                    <w:t>A solid band of red cell agglutinates on top of the gel.  A few agglutinates may filter into the gel, but remain near the predominant band.  See Procedural Notes 8.4.</w:t>
                  </w:r>
                </w:p>
              </w:tc>
            </w:tr>
            <w:tr w:rsidR="00965003" w:rsidTr="00B3536B">
              <w:trPr>
                <w:jc w:val="center"/>
              </w:trPr>
              <w:tc>
                <w:tcPr>
                  <w:tcW w:w="802" w:type="pct"/>
                </w:tcPr>
                <w:p w:rsidR="00965003" w:rsidRPr="00B3536B" w:rsidRDefault="00965003" w:rsidP="004A2043">
                  <w:pPr>
                    <w:jc w:val="center"/>
                    <w:rPr>
                      <w:rFonts w:ascii="Arial" w:hAnsi="Arial" w:cs="Arial"/>
                    </w:rPr>
                  </w:pPr>
                  <w:r w:rsidRPr="00B3536B">
                    <w:rPr>
                      <w:rFonts w:ascii="Arial" w:hAnsi="Arial" w:cs="Arial"/>
                    </w:rPr>
                    <w:t>H</w:t>
                  </w:r>
                </w:p>
              </w:tc>
              <w:tc>
                <w:tcPr>
                  <w:tcW w:w="4198" w:type="pct"/>
                </w:tcPr>
                <w:p w:rsidR="00965003" w:rsidRPr="00B3536B" w:rsidRDefault="00965003" w:rsidP="004A2043">
                  <w:pPr>
                    <w:rPr>
                      <w:rFonts w:ascii="Arial" w:hAnsi="Arial" w:cs="Arial"/>
                    </w:rPr>
                  </w:pPr>
                  <w:r w:rsidRPr="00B3536B">
                    <w:rPr>
                      <w:rFonts w:ascii="Arial" w:hAnsi="Arial" w:cs="Arial"/>
                    </w:rPr>
                    <w:t>Hemolysis with few or no red cells in the gel.  Report if hemolysis is present in the microtube but not in the specimen.  See Procedural Notes 8.5.</w:t>
                  </w:r>
                </w:p>
              </w:tc>
            </w:tr>
            <w:tr w:rsidR="00965003" w:rsidTr="00B3536B">
              <w:trPr>
                <w:jc w:val="center"/>
              </w:trPr>
              <w:tc>
                <w:tcPr>
                  <w:tcW w:w="802" w:type="pct"/>
                </w:tcPr>
                <w:p w:rsidR="00965003" w:rsidRPr="00B3536B" w:rsidRDefault="00965003" w:rsidP="004A2043">
                  <w:pPr>
                    <w:jc w:val="center"/>
                    <w:rPr>
                      <w:rFonts w:ascii="Arial" w:hAnsi="Arial" w:cs="Arial"/>
                    </w:rPr>
                  </w:pPr>
                  <w:r w:rsidRPr="00B3536B">
                    <w:rPr>
                      <w:rFonts w:ascii="Arial" w:hAnsi="Arial" w:cs="Arial"/>
                    </w:rPr>
                    <w:t>mf</w:t>
                  </w:r>
                </w:p>
              </w:tc>
              <w:tc>
                <w:tcPr>
                  <w:tcW w:w="4198" w:type="pct"/>
                </w:tcPr>
                <w:p w:rsidR="00965003" w:rsidRPr="00B3536B" w:rsidRDefault="00965003" w:rsidP="004A2043">
                  <w:pPr>
                    <w:rPr>
                      <w:rFonts w:ascii="Arial" w:hAnsi="Arial" w:cs="Arial"/>
                    </w:rPr>
                  </w:pPr>
                  <w:r w:rsidRPr="00B3536B">
                    <w:rPr>
                      <w:rFonts w:ascii="Arial" w:hAnsi="Arial" w:cs="Arial"/>
                    </w:rPr>
                    <w:t>A band of red cell agglutinates at the  top of the gel or dispersed throughout  the gel,accompanied by  unagglutinated cells in the bottom of the microtube.  See Procedural Notes 8.6.</w:t>
                  </w:r>
                </w:p>
              </w:tc>
            </w:tr>
            <w:tr w:rsidR="00965003" w:rsidTr="00B3536B">
              <w:trPr>
                <w:jc w:val="center"/>
              </w:trPr>
              <w:tc>
                <w:tcPr>
                  <w:tcW w:w="802" w:type="pct"/>
                </w:tcPr>
                <w:p w:rsidR="00965003" w:rsidRPr="00B3536B" w:rsidRDefault="00965003" w:rsidP="004A2043">
                  <w:pPr>
                    <w:jc w:val="center"/>
                    <w:rPr>
                      <w:rFonts w:ascii="Arial" w:hAnsi="Arial" w:cs="Arial"/>
                    </w:rPr>
                  </w:pPr>
                  <w:r w:rsidRPr="00B3536B">
                    <w:rPr>
                      <w:rFonts w:ascii="Arial" w:hAnsi="Arial" w:cs="Arial"/>
                    </w:rPr>
                    <w:t>NT or ND</w:t>
                  </w:r>
                </w:p>
              </w:tc>
              <w:tc>
                <w:tcPr>
                  <w:tcW w:w="4198" w:type="pct"/>
                </w:tcPr>
                <w:p w:rsidR="00965003" w:rsidRPr="00B3536B" w:rsidRDefault="00965003" w:rsidP="004A2043">
                  <w:pPr>
                    <w:rPr>
                      <w:rFonts w:ascii="Arial" w:hAnsi="Arial" w:cs="Arial"/>
                    </w:rPr>
                  </w:pPr>
                  <w:r w:rsidRPr="00B3536B">
                    <w:rPr>
                      <w:rFonts w:ascii="Arial" w:hAnsi="Arial" w:cs="Arial"/>
                    </w:rPr>
                    <w:t>Not tested or not done</w:t>
                  </w:r>
                </w:p>
              </w:tc>
            </w:tr>
          </w:tbl>
          <w:p w:rsidR="00965003" w:rsidRPr="004A2043" w:rsidRDefault="00965003" w:rsidP="004A2043">
            <w:pPr>
              <w:ind w:left="861"/>
              <w:rPr>
                <w:rFonts w:ascii="Arial" w:hAnsi="Arial"/>
                <w:sz w:val="24"/>
              </w:rPr>
            </w:pPr>
          </w:p>
        </w:tc>
      </w:tr>
      <w:tr w:rsidR="0028239C" w:rsidRPr="004A2043" w:rsidTr="00FF36B1">
        <w:trPr>
          <w:trHeight w:val="736"/>
          <w:jc w:val="center"/>
        </w:trPr>
        <w:tc>
          <w:tcPr>
            <w:tcW w:w="3052" w:type="dxa"/>
            <w:vMerge/>
            <w:shd w:val="clear" w:color="auto" w:fill="auto"/>
          </w:tcPr>
          <w:p w:rsidR="0028239C" w:rsidRPr="004A2043" w:rsidRDefault="0028239C" w:rsidP="004A2043">
            <w:pPr>
              <w:numPr>
                <w:ilvl w:val="1"/>
                <w:numId w:val="1"/>
              </w:numPr>
              <w:rPr>
                <w:rFonts w:ascii="Arial" w:hAnsi="Arial"/>
                <w:sz w:val="24"/>
              </w:rPr>
            </w:pPr>
          </w:p>
        </w:tc>
        <w:tc>
          <w:tcPr>
            <w:tcW w:w="6871" w:type="dxa"/>
            <w:shd w:val="clear" w:color="auto" w:fill="auto"/>
          </w:tcPr>
          <w:p w:rsidR="0028239C" w:rsidRPr="004A2043" w:rsidRDefault="0028239C" w:rsidP="004A2043">
            <w:pPr>
              <w:numPr>
                <w:ilvl w:val="2"/>
                <w:numId w:val="1"/>
              </w:numPr>
              <w:rPr>
                <w:rFonts w:ascii="Arial" w:hAnsi="Arial"/>
                <w:sz w:val="24"/>
              </w:rPr>
            </w:pPr>
            <w:r w:rsidRPr="00965003">
              <w:rPr>
                <w:rFonts w:ascii="Arial" w:hAnsi="Arial"/>
                <w:sz w:val="24"/>
              </w:rPr>
              <w:t xml:space="preserve">Do not use half grade, superscript or “plus signs” </w:t>
            </w:r>
          </w:p>
          <w:p w:rsidR="0028239C" w:rsidRPr="004A2043" w:rsidRDefault="0028239C" w:rsidP="004A2043">
            <w:pPr>
              <w:ind w:left="861"/>
              <w:rPr>
                <w:rFonts w:ascii="Arial" w:hAnsi="Arial"/>
                <w:sz w:val="24"/>
              </w:rPr>
            </w:pPr>
            <w:r w:rsidRPr="00965003">
              <w:rPr>
                <w:rFonts w:ascii="Arial" w:hAnsi="Arial"/>
                <w:sz w:val="24"/>
              </w:rPr>
              <w:t>(i.e., +, ++, +++, or ++++).</w:t>
            </w:r>
          </w:p>
        </w:tc>
      </w:tr>
      <w:tr w:rsidR="00965003" w:rsidRPr="004A2043" w:rsidTr="00FF36B1">
        <w:trPr>
          <w:trHeight w:val="701"/>
          <w:jc w:val="center"/>
        </w:trPr>
        <w:tc>
          <w:tcPr>
            <w:tcW w:w="3052" w:type="dxa"/>
            <w:vMerge/>
            <w:shd w:val="clear" w:color="auto" w:fill="auto"/>
          </w:tcPr>
          <w:p w:rsidR="00965003" w:rsidRPr="004A2043" w:rsidRDefault="00965003" w:rsidP="004A2043">
            <w:pPr>
              <w:numPr>
                <w:ilvl w:val="1"/>
                <w:numId w:val="1"/>
              </w:numPr>
              <w:rPr>
                <w:rFonts w:ascii="Arial" w:hAnsi="Arial"/>
                <w:sz w:val="24"/>
              </w:rPr>
            </w:pPr>
          </w:p>
        </w:tc>
        <w:tc>
          <w:tcPr>
            <w:tcW w:w="6871" w:type="dxa"/>
            <w:shd w:val="clear" w:color="auto" w:fill="auto"/>
          </w:tcPr>
          <w:p w:rsidR="00965003" w:rsidRPr="004A2043" w:rsidRDefault="00965003" w:rsidP="004A2043">
            <w:pPr>
              <w:numPr>
                <w:ilvl w:val="2"/>
                <w:numId w:val="1"/>
              </w:numPr>
              <w:rPr>
                <w:rFonts w:ascii="Arial" w:hAnsi="Arial"/>
                <w:sz w:val="24"/>
              </w:rPr>
            </w:pPr>
            <w:r w:rsidRPr="004A2043">
              <w:rPr>
                <w:rFonts w:ascii="Arial" w:hAnsi="Arial"/>
                <w:sz w:val="24"/>
              </w:rPr>
              <w:t>See Procedural Notes 8.7 if the reaction in the microtube is not described in the table above.</w:t>
            </w:r>
          </w:p>
          <w:p w:rsidR="00965003" w:rsidRPr="004A2043" w:rsidRDefault="00965003" w:rsidP="00965003">
            <w:pPr>
              <w:rPr>
                <w:rFonts w:ascii="Arial" w:hAnsi="Arial"/>
                <w:sz w:val="24"/>
              </w:rPr>
            </w:pPr>
          </w:p>
        </w:tc>
      </w:tr>
      <w:tr w:rsidR="00965003" w:rsidRPr="004A2043" w:rsidTr="00FF36B1">
        <w:trPr>
          <w:trHeight w:val="408"/>
          <w:jc w:val="center"/>
        </w:trPr>
        <w:tc>
          <w:tcPr>
            <w:tcW w:w="3052" w:type="dxa"/>
            <w:vMerge w:val="restart"/>
            <w:shd w:val="clear" w:color="auto" w:fill="auto"/>
          </w:tcPr>
          <w:p w:rsidR="00965003" w:rsidRPr="00965003" w:rsidRDefault="00965003" w:rsidP="004A2043">
            <w:pPr>
              <w:numPr>
                <w:ilvl w:val="1"/>
                <w:numId w:val="1"/>
              </w:numPr>
              <w:rPr>
                <w:rFonts w:ascii="Arial" w:hAnsi="Arial"/>
                <w:sz w:val="24"/>
              </w:rPr>
            </w:pPr>
            <w:r w:rsidRPr="00965003">
              <w:rPr>
                <w:rFonts w:ascii="Arial" w:hAnsi="Arial"/>
                <w:sz w:val="24"/>
              </w:rPr>
              <w:t>Interpret the grading(s).</w:t>
            </w:r>
          </w:p>
          <w:p w:rsidR="00965003" w:rsidRPr="004A2043" w:rsidRDefault="00965003" w:rsidP="004A2043">
            <w:pPr>
              <w:ind w:firstLine="720"/>
              <w:rPr>
                <w:rFonts w:ascii="Arial" w:hAnsi="Arial"/>
                <w:sz w:val="24"/>
              </w:rPr>
            </w:pPr>
          </w:p>
        </w:tc>
        <w:tc>
          <w:tcPr>
            <w:tcW w:w="6871" w:type="dxa"/>
            <w:shd w:val="clear" w:color="auto" w:fill="auto"/>
          </w:tcPr>
          <w:p w:rsidR="00965003" w:rsidRPr="004A2043" w:rsidRDefault="00965003" w:rsidP="00683810">
            <w:pPr>
              <w:numPr>
                <w:ilvl w:val="2"/>
                <w:numId w:val="1"/>
              </w:numPr>
              <w:ind w:left="743" w:hanging="709"/>
              <w:rPr>
                <w:rFonts w:ascii="Arial" w:hAnsi="Arial"/>
                <w:sz w:val="24"/>
              </w:rPr>
            </w:pPr>
            <w:r w:rsidRPr="00965003">
              <w:rPr>
                <w:rFonts w:ascii="Arial" w:hAnsi="Arial"/>
                <w:sz w:val="24"/>
              </w:rPr>
              <w:t>No agglutination or hemolysis of the red cells is a negative test result.</w:t>
            </w:r>
          </w:p>
        </w:tc>
      </w:tr>
      <w:tr w:rsidR="00965003" w:rsidRPr="004A2043" w:rsidTr="00FF36B1">
        <w:trPr>
          <w:trHeight w:val="405"/>
          <w:jc w:val="center"/>
        </w:trPr>
        <w:tc>
          <w:tcPr>
            <w:tcW w:w="3052" w:type="dxa"/>
            <w:vMerge/>
            <w:shd w:val="clear" w:color="auto" w:fill="auto"/>
          </w:tcPr>
          <w:p w:rsidR="00965003" w:rsidRPr="004A2043" w:rsidRDefault="00965003" w:rsidP="004A2043">
            <w:pPr>
              <w:numPr>
                <w:ilvl w:val="1"/>
                <w:numId w:val="1"/>
              </w:numPr>
              <w:rPr>
                <w:rFonts w:ascii="Arial" w:hAnsi="Arial"/>
                <w:sz w:val="24"/>
              </w:rPr>
            </w:pPr>
          </w:p>
        </w:tc>
        <w:tc>
          <w:tcPr>
            <w:tcW w:w="6871" w:type="dxa"/>
            <w:shd w:val="clear" w:color="auto" w:fill="auto"/>
          </w:tcPr>
          <w:p w:rsidR="00965003" w:rsidRPr="004A2043" w:rsidRDefault="00965003" w:rsidP="004A2043">
            <w:pPr>
              <w:numPr>
                <w:ilvl w:val="2"/>
                <w:numId w:val="1"/>
              </w:numPr>
              <w:rPr>
                <w:rFonts w:ascii="Arial" w:hAnsi="Arial"/>
                <w:sz w:val="24"/>
              </w:rPr>
            </w:pPr>
            <w:r w:rsidRPr="004A2043">
              <w:rPr>
                <w:rFonts w:ascii="Arial" w:hAnsi="Arial"/>
                <w:sz w:val="24"/>
              </w:rPr>
              <w:t>Agglutination or hemolysis of the red cells is a positive test result.</w:t>
            </w:r>
          </w:p>
        </w:tc>
      </w:tr>
    </w:tbl>
    <w:p w:rsidR="00B3536B" w:rsidRDefault="00B3536B">
      <w:pPr>
        <w:ind w:left="1440"/>
        <w:rPr>
          <w:rFonts w:ascii="Arial" w:hAnsi="Arial"/>
          <w:sz w:val="24"/>
        </w:rPr>
      </w:pPr>
    </w:p>
    <w:p w:rsidR="001B447C" w:rsidRDefault="001B447C" w:rsidP="00965003">
      <w:pPr>
        <w:numPr>
          <w:ilvl w:val="0"/>
          <w:numId w:val="1"/>
        </w:numPr>
        <w:rPr>
          <w:rFonts w:ascii="Arial" w:hAnsi="Arial"/>
          <w:b/>
          <w:sz w:val="28"/>
        </w:rPr>
      </w:pPr>
      <w:r>
        <w:rPr>
          <w:rFonts w:ascii="Arial" w:hAnsi="Arial"/>
          <w:b/>
          <w:sz w:val="28"/>
        </w:rPr>
        <w:t>Reporting – N/A</w:t>
      </w:r>
    </w:p>
    <w:p w:rsidR="001B447C" w:rsidRDefault="001B447C">
      <w:pPr>
        <w:ind w:left="720"/>
        <w:rPr>
          <w:rFonts w:ascii="Arial" w:hAnsi="Arial"/>
          <w:sz w:val="24"/>
        </w:rPr>
      </w:pPr>
    </w:p>
    <w:p w:rsidR="001B447C" w:rsidRDefault="001B447C" w:rsidP="00965003">
      <w:pPr>
        <w:numPr>
          <w:ilvl w:val="0"/>
          <w:numId w:val="1"/>
        </w:numPr>
        <w:rPr>
          <w:rFonts w:ascii="Arial" w:hAnsi="Arial"/>
          <w:b/>
          <w:sz w:val="28"/>
        </w:rPr>
      </w:pPr>
      <w:r>
        <w:rPr>
          <w:rFonts w:ascii="Arial" w:hAnsi="Arial"/>
          <w:b/>
          <w:sz w:val="28"/>
        </w:rPr>
        <w:t>Procedural Notes</w:t>
      </w:r>
    </w:p>
    <w:p w:rsidR="001B447C" w:rsidRDefault="001B447C">
      <w:pPr>
        <w:rPr>
          <w:rFonts w:ascii="Arial" w:hAnsi="Arial"/>
          <w:sz w:val="24"/>
        </w:rPr>
      </w:pPr>
    </w:p>
    <w:p w:rsidR="001B447C"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Debris, fibrin or other artifacts associated with plasma or frozen specimens may cause a few unagglutinated cells to be trapped on the top or sides of the gel.  These tests should be interpreted as negative.  Plasma specimens previously frozen should be centrifuged prior to use.</w:t>
      </w:r>
    </w:p>
    <w:p w:rsidR="001B447C" w:rsidRDefault="001B447C">
      <w:pPr>
        <w:ind w:left="720"/>
        <w:rPr>
          <w:rFonts w:ascii="Arial" w:hAnsi="Arial"/>
          <w:sz w:val="24"/>
        </w:rPr>
      </w:pPr>
    </w:p>
    <w:p w:rsidR="001B447C"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 xml:space="preserve">When interpreting grade 2 reactions, consider the upper and lower position of agglutinated red cells in the gel.  Size of the red cell </w:t>
      </w:r>
      <w:r w:rsidR="00E312DF">
        <w:rPr>
          <w:rFonts w:ascii="Arial" w:hAnsi="Arial"/>
          <w:sz w:val="24"/>
        </w:rPr>
        <w:t>agglutinates</w:t>
      </w:r>
      <w:r>
        <w:rPr>
          <w:rFonts w:ascii="Arial" w:hAnsi="Arial"/>
          <w:sz w:val="24"/>
        </w:rPr>
        <w:t xml:space="preserve"> in the bottom of the microtube may vary.</w:t>
      </w:r>
    </w:p>
    <w:p w:rsidR="001B447C" w:rsidRDefault="001B447C">
      <w:pPr>
        <w:ind w:left="720"/>
        <w:rPr>
          <w:rFonts w:ascii="Arial" w:hAnsi="Arial"/>
          <w:sz w:val="24"/>
        </w:rPr>
      </w:pPr>
    </w:p>
    <w:p w:rsidR="00683810"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A grade 3 reaction appears as a thick group of agglutinates, or band, with some red cells dispersed below the predominant band in the upper half of the gel column.</w:t>
      </w:r>
    </w:p>
    <w:p w:rsidR="00683810" w:rsidRDefault="00683810" w:rsidP="00683810">
      <w:pPr>
        <w:pStyle w:val="ListParagraph"/>
        <w:rPr>
          <w:rFonts w:ascii="Arial" w:hAnsi="Arial"/>
          <w:sz w:val="24"/>
        </w:rPr>
      </w:pPr>
    </w:p>
    <w:p w:rsidR="001B447C" w:rsidRDefault="001B447C" w:rsidP="00683810">
      <w:pPr>
        <w:ind w:left="1418"/>
        <w:rPr>
          <w:rFonts w:ascii="Arial" w:hAnsi="Arial"/>
          <w:sz w:val="24"/>
        </w:rPr>
      </w:pPr>
      <w:r w:rsidRPr="00683810">
        <w:rPr>
          <w:rFonts w:ascii="Arial" w:hAnsi="Arial"/>
          <w:sz w:val="24"/>
        </w:rPr>
        <w:t xml:space="preserve">A grade 3 reaction may also be characterized by an even distribution of agglutinates in the upper portion of the gel.  </w:t>
      </w:r>
      <w:r>
        <w:rPr>
          <w:rFonts w:ascii="Arial" w:hAnsi="Arial"/>
          <w:sz w:val="24"/>
        </w:rPr>
        <w:t>Occasionally, a few unsensitized cells may migrate to the bottom of the microtube.</w:t>
      </w:r>
    </w:p>
    <w:p w:rsidR="001B447C" w:rsidRDefault="001B447C">
      <w:pPr>
        <w:rPr>
          <w:rFonts w:ascii="Arial" w:hAnsi="Arial"/>
          <w:sz w:val="24"/>
        </w:rPr>
      </w:pPr>
    </w:p>
    <w:p w:rsidR="001B447C" w:rsidRPr="00FF36B1"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Strong grade 4 agglutinations form a band of agglutinates and become trapped on or near the top of the gel.  Occasionally a few</w:t>
      </w:r>
      <w:r w:rsidR="00FF36B1">
        <w:rPr>
          <w:rFonts w:ascii="Arial" w:hAnsi="Arial"/>
          <w:sz w:val="24"/>
        </w:rPr>
        <w:t xml:space="preserve"> </w:t>
      </w:r>
      <w:r w:rsidRPr="00FF36B1">
        <w:rPr>
          <w:rFonts w:ascii="Arial" w:hAnsi="Arial"/>
          <w:sz w:val="24"/>
        </w:rPr>
        <w:t>unsensitized red cells may migrate to the bottom of the tube but the middle of the gel should remain free from agglutination.</w:t>
      </w:r>
    </w:p>
    <w:p w:rsidR="001B447C" w:rsidRDefault="001B447C">
      <w:pPr>
        <w:ind w:left="720"/>
        <w:rPr>
          <w:rFonts w:ascii="Arial" w:hAnsi="Arial"/>
          <w:sz w:val="24"/>
        </w:rPr>
      </w:pPr>
    </w:p>
    <w:p w:rsidR="00683810"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Red cells present in the gel and hemolysis in the liquid portion is usually due to a hemolyzed specimen.  In this case, hemolysis should not be reported as a positive test result.</w:t>
      </w:r>
    </w:p>
    <w:p w:rsidR="00683810" w:rsidRDefault="00683810" w:rsidP="00683810">
      <w:pPr>
        <w:pStyle w:val="ListParagraph"/>
        <w:rPr>
          <w:rFonts w:ascii="Arial" w:hAnsi="Arial"/>
          <w:sz w:val="24"/>
        </w:rPr>
      </w:pPr>
    </w:p>
    <w:p w:rsidR="001B447C" w:rsidRPr="00683810" w:rsidRDefault="001B447C" w:rsidP="00683810">
      <w:pPr>
        <w:ind w:left="1418"/>
        <w:rPr>
          <w:rFonts w:ascii="Arial" w:hAnsi="Arial"/>
          <w:sz w:val="24"/>
        </w:rPr>
      </w:pPr>
      <w:r w:rsidRPr="00683810">
        <w:rPr>
          <w:rFonts w:ascii="Arial" w:hAnsi="Arial"/>
          <w:sz w:val="24"/>
        </w:rPr>
        <w:t>If hemolysis occurs during centrifugation, the liquid portion above the gel will appear pink or red but there will be few or no cells in the gel.</w:t>
      </w:r>
    </w:p>
    <w:p w:rsidR="001B447C" w:rsidRDefault="001B447C">
      <w:pPr>
        <w:rPr>
          <w:rFonts w:ascii="Arial" w:hAnsi="Arial"/>
          <w:sz w:val="24"/>
        </w:rPr>
      </w:pPr>
    </w:p>
    <w:p w:rsidR="00683810"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Consider the following when interpreting a reaction as mixed field.</w:t>
      </w:r>
    </w:p>
    <w:p w:rsidR="00683810" w:rsidRDefault="00683810" w:rsidP="00683810">
      <w:pPr>
        <w:ind w:left="1843"/>
        <w:rPr>
          <w:rFonts w:ascii="Arial" w:hAnsi="Arial"/>
          <w:sz w:val="24"/>
        </w:rPr>
      </w:pPr>
    </w:p>
    <w:p w:rsidR="00683810" w:rsidRDefault="001B447C" w:rsidP="00683810">
      <w:pPr>
        <w:numPr>
          <w:ilvl w:val="2"/>
          <w:numId w:val="1"/>
        </w:numPr>
        <w:tabs>
          <w:tab w:val="clear" w:pos="720"/>
          <w:tab w:val="num" w:pos="2694"/>
        </w:tabs>
        <w:ind w:left="2694" w:hanging="851"/>
        <w:rPr>
          <w:rFonts w:ascii="Arial" w:hAnsi="Arial"/>
          <w:sz w:val="24"/>
        </w:rPr>
      </w:pPr>
      <w:r w:rsidRPr="00683810">
        <w:rPr>
          <w:rFonts w:ascii="Arial" w:hAnsi="Arial"/>
          <w:sz w:val="24"/>
        </w:rPr>
        <w:t xml:space="preserve">The </w:t>
      </w:r>
      <w:r w:rsidR="00117CC0" w:rsidRPr="00683810">
        <w:rPr>
          <w:rFonts w:ascii="Arial" w:hAnsi="Arial"/>
          <w:sz w:val="24"/>
        </w:rPr>
        <w:t>clinical history of the patient.</w:t>
      </w:r>
    </w:p>
    <w:p w:rsidR="001B447C" w:rsidRPr="00683810" w:rsidRDefault="001B447C" w:rsidP="00683810">
      <w:pPr>
        <w:numPr>
          <w:ilvl w:val="2"/>
          <w:numId w:val="1"/>
        </w:numPr>
        <w:tabs>
          <w:tab w:val="clear" w:pos="720"/>
          <w:tab w:val="num" w:pos="2694"/>
        </w:tabs>
        <w:ind w:left="2694" w:hanging="851"/>
        <w:rPr>
          <w:rFonts w:ascii="Arial" w:hAnsi="Arial"/>
          <w:sz w:val="24"/>
        </w:rPr>
      </w:pPr>
      <w:r w:rsidRPr="00683810">
        <w:rPr>
          <w:rFonts w:ascii="Arial" w:hAnsi="Arial"/>
          <w:sz w:val="24"/>
        </w:rPr>
        <w:t>Strong cold agglut</w:t>
      </w:r>
      <w:r w:rsidR="00683810">
        <w:rPr>
          <w:rFonts w:ascii="Arial" w:hAnsi="Arial"/>
          <w:sz w:val="24"/>
        </w:rPr>
        <w:t xml:space="preserve">inations may give a mixed field </w:t>
      </w:r>
      <w:r w:rsidR="00074929" w:rsidRPr="00683810">
        <w:rPr>
          <w:rFonts w:ascii="Arial" w:hAnsi="Arial"/>
          <w:sz w:val="24"/>
        </w:rPr>
        <w:t xml:space="preserve">appearance. </w:t>
      </w:r>
      <w:r w:rsidRPr="00683810">
        <w:rPr>
          <w:rFonts w:ascii="Arial" w:hAnsi="Arial"/>
          <w:sz w:val="24"/>
        </w:rPr>
        <w:t>These reactions are not truly mixed field and should be interpreted as positive.</w:t>
      </w:r>
    </w:p>
    <w:p w:rsidR="001B447C" w:rsidRDefault="001B447C">
      <w:pPr>
        <w:ind w:left="1440"/>
        <w:rPr>
          <w:rFonts w:ascii="Arial" w:hAnsi="Arial"/>
          <w:sz w:val="24"/>
        </w:rPr>
      </w:pPr>
    </w:p>
    <w:p w:rsidR="00683810"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Consider the following troubleshooting tips when reactions in gel microtubes are difficult to grade.</w:t>
      </w:r>
    </w:p>
    <w:p w:rsidR="00683810" w:rsidRDefault="00683810" w:rsidP="00683810">
      <w:pPr>
        <w:ind w:left="1418"/>
        <w:rPr>
          <w:rFonts w:ascii="Arial" w:hAnsi="Arial"/>
          <w:sz w:val="24"/>
        </w:rPr>
      </w:pPr>
    </w:p>
    <w:p w:rsidR="00683810" w:rsidRDefault="001B447C" w:rsidP="00683810">
      <w:pPr>
        <w:numPr>
          <w:ilvl w:val="2"/>
          <w:numId w:val="1"/>
        </w:numPr>
        <w:tabs>
          <w:tab w:val="clear" w:pos="720"/>
          <w:tab w:val="num" w:pos="2694"/>
        </w:tabs>
        <w:ind w:left="2694" w:hanging="851"/>
        <w:rPr>
          <w:rFonts w:ascii="Arial" w:hAnsi="Arial"/>
          <w:sz w:val="24"/>
        </w:rPr>
      </w:pPr>
      <w:r w:rsidRPr="00683810">
        <w:rPr>
          <w:rFonts w:ascii="Arial" w:hAnsi="Arial"/>
          <w:sz w:val="24"/>
        </w:rPr>
        <w:t>Rouleaux is a propert</w:t>
      </w:r>
      <w:r w:rsidR="00683810">
        <w:rPr>
          <w:rFonts w:ascii="Arial" w:hAnsi="Arial"/>
          <w:sz w:val="24"/>
        </w:rPr>
        <w:t>y of test plasma resulting in a</w:t>
      </w:r>
      <w:r w:rsidR="00074929" w:rsidRPr="00683810">
        <w:rPr>
          <w:rFonts w:ascii="Arial" w:hAnsi="Arial"/>
          <w:sz w:val="24"/>
        </w:rPr>
        <w:t xml:space="preserve"> </w:t>
      </w:r>
      <w:r w:rsidRPr="00683810">
        <w:rPr>
          <w:rFonts w:ascii="Arial" w:hAnsi="Arial"/>
          <w:sz w:val="24"/>
        </w:rPr>
        <w:t>characteristic p</w:t>
      </w:r>
      <w:r w:rsidR="00074929" w:rsidRPr="00683810">
        <w:rPr>
          <w:rFonts w:ascii="Arial" w:hAnsi="Arial"/>
          <w:sz w:val="24"/>
        </w:rPr>
        <w:t>attern of red cell aggregation.</w:t>
      </w:r>
      <w:r w:rsidRPr="00683810">
        <w:rPr>
          <w:rFonts w:ascii="Arial" w:hAnsi="Arial"/>
          <w:sz w:val="24"/>
        </w:rPr>
        <w:t xml:space="preserve"> It can occur if sufficient quantities of abnormal proteins are present in the test sample and may infrequently</w:t>
      </w:r>
      <w:r w:rsidR="00683810">
        <w:rPr>
          <w:rFonts w:ascii="Arial" w:hAnsi="Arial"/>
          <w:sz w:val="24"/>
        </w:rPr>
        <w:t xml:space="preserve"> cause difficulties in gel test </w:t>
      </w:r>
      <w:r w:rsidR="00074929" w:rsidRPr="00683810">
        <w:rPr>
          <w:rFonts w:ascii="Arial" w:hAnsi="Arial"/>
          <w:sz w:val="24"/>
        </w:rPr>
        <w:t>interpretation.</w:t>
      </w:r>
      <w:r w:rsidRPr="00683810">
        <w:rPr>
          <w:rFonts w:ascii="Arial" w:hAnsi="Arial"/>
          <w:sz w:val="24"/>
        </w:rPr>
        <w:t xml:space="preserve"> Rouleaux must be confirmed using tube hemagglutination methods and saline replacement performed when necessary.</w:t>
      </w:r>
    </w:p>
    <w:p w:rsidR="00683810" w:rsidRDefault="00683810" w:rsidP="00683810">
      <w:pPr>
        <w:ind w:left="2694"/>
        <w:rPr>
          <w:rFonts w:ascii="Arial" w:hAnsi="Arial"/>
          <w:sz w:val="24"/>
        </w:rPr>
      </w:pPr>
    </w:p>
    <w:p w:rsidR="00683810" w:rsidRDefault="001B447C" w:rsidP="00683810">
      <w:pPr>
        <w:numPr>
          <w:ilvl w:val="2"/>
          <w:numId w:val="1"/>
        </w:numPr>
        <w:tabs>
          <w:tab w:val="clear" w:pos="720"/>
          <w:tab w:val="num" w:pos="2694"/>
        </w:tabs>
        <w:ind w:left="2694" w:hanging="851"/>
        <w:rPr>
          <w:rFonts w:ascii="Arial" w:hAnsi="Arial"/>
          <w:sz w:val="24"/>
        </w:rPr>
      </w:pPr>
      <w:r w:rsidRPr="00683810">
        <w:rPr>
          <w:rFonts w:ascii="Arial" w:hAnsi="Arial"/>
          <w:sz w:val="24"/>
        </w:rPr>
        <w:t>Too few or too many cells i</w:t>
      </w:r>
      <w:r w:rsidR="00683810">
        <w:rPr>
          <w:rFonts w:ascii="Arial" w:hAnsi="Arial"/>
          <w:sz w:val="24"/>
        </w:rPr>
        <w:t xml:space="preserve">n the microtube may cause false </w:t>
      </w:r>
      <w:r w:rsidRPr="00683810">
        <w:rPr>
          <w:rFonts w:ascii="Arial" w:hAnsi="Arial"/>
          <w:sz w:val="24"/>
        </w:rPr>
        <w:t>positive or false negative reactions. Th</w:t>
      </w:r>
      <w:r w:rsidR="00117CC0" w:rsidRPr="00683810">
        <w:rPr>
          <w:rFonts w:ascii="Arial" w:hAnsi="Arial"/>
          <w:sz w:val="24"/>
        </w:rPr>
        <w:t>is</w:t>
      </w:r>
      <w:r w:rsidRPr="00683810">
        <w:rPr>
          <w:rFonts w:ascii="Arial" w:hAnsi="Arial"/>
          <w:sz w:val="24"/>
        </w:rPr>
        <w:t xml:space="preserve"> may be due to one or both of the following errors:</w:t>
      </w:r>
    </w:p>
    <w:p w:rsidR="00683810" w:rsidRDefault="00683810" w:rsidP="00683810">
      <w:pPr>
        <w:pStyle w:val="ListParagraph"/>
        <w:rPr>
          <w:rFonts w:ascii="Arial" w:hAnsi="Arial"/>
          <w:sz w:val="24"/>
        </w:rPr>
      </w:pPr>
    </w:p>
    <w:p w:rsidR="00683810" w:rsidRDefault="001B447C" w:rsidP="00683810">
      <w:pPr>
        <w:numPr>
          <w:ilvl w:val="0"/>
          <w:numId w:val="20"/>
        </w:numPr>
        <w:rPr>
          <w:rFonts w:ascii="Arial" w:hAnsi="Arial"/>
          <w:sz w:val="24"/>
        </w:rPr>
      </w:pPr>
      <w:r w:rsidRPr="00683810">
        <w:rPr>
          <w:rFonts w:ascii="Arial" w:hAnsi="Arial"/>
          <w:sz w:val="24"/>
        </w:rPr>
        <w:t>Improperly prepared cell suspension</w:t>
      </w:r>
    </w:p>
    <w:p w:rsidR="00683810" w:rsidRDefault="001B447C" w:rsidP="00683810">
      <w:pPr>
        <w:numPr>
          <w:ilvl w:val="0"/>
          <w:numId w:val="20"/>
        </w:numPr>
        <w:rPr>
          <w:rFonts w:ascii="Arial" w:hAnsi="Arial"/>
          <w:sz w:val="24"/>
        </w:rPr>
      </w:pPr>
      <w:r w:rsidRPr="00683810">
        <w:rPr>
          <w:rFonts w:ascii="Arial" w:hAnsi="Arial"/>
          <w:sz w:val="24"/>
        </w:rPr>
        <w:t>Adding the incorrect quantities of cells to the upper chamber.</w:t>
      </w:r>
    </w:p>
    <w:p w:rsidR="00683810" w:rsidRDefault="00683810" w:rsidP="00683810">
      <w:pPr>
        <w:ind w:left="2160"/>
        <w:rPr>
          <w:rFonts w:ascii="Arial" w:hAnsi="Arial"/>
          <w:sz w:val="24"/>
        </w:rPr>
      </w:pPr>
    </w:p>
    <w:p w:rsidR="001B447C" w:rsidRPr="00683810" w:rsidRDefault="00683810" w:rsidP="00683810">
      <w:pPr>
        <w:ind w:left="2160"/>
        <w:rPr>
          <w:rFonts w:ascii="Arial" w:hAnsi="Arial"/>
          <w:sz w:val="24"/>
        </w:rPr>
      </w:pPr>
      <w:r>
        <w:rPr>
          <w:rFonts w:ascii="Arial" w:hAnsi="Arial"/>
          <w:sz w:val="24"/>
        </w:rPr>
        <w:t xml:space="preserve">         </w:t>
      </w:r>
      <w:r w:rsidR="001B447C" w:rsidRPr="00683810">
        <w:rPr>
          <w:rFonts w:ascii="Arial" w:hAnsi="Arial"/>
          <w:sz w:val="24"/>
        </w:rPr>
        <w:t xml:space="preserve">In this case repeat the test(s) ensuring correct </w:t>
      </w:r>
      <w:r>
        <w:rPr>
          <w:rFonts w:ascii="Arial" w:hAnsi="Arial"/>
          <w:sz w:val="24"/>
        </w:rPr>
        <w:br/>
        <w:t xml:space="preserve">         </w:t>
      </w:r>
      <w:r w:rsidR="001B447C" w:rsidRPr="00683810">
        <w:rPr>
          <w:rFonts w:ascii="Arial" w:hAnsi="Arial"/>
          <w:sz w:val="24"/>
        </w:rPr>
        <w:t>quantities using new cell suspensions.</w:t>
      </w:r>
    </w:p>
    <w:p w:rsidR="00074929" w:rsidRDefault="00074929" w:rsidP="00117CC0">
      <w:pPr>
        <w:ind w:left="2160"/>
        <w:rPr>
          <w:rFonts w:ascii="Arial" w:hAnsi="Arial"/>
          <w:sz w:val="24"/>
        </w:rPr>
      </w:pPr>
    </w:p>
    <w:p w:rsidR="00683810" w:rsidRDefault="001B447C" w:rsidP="00683810">
      <w:pPr>
        <w:numPr>
          <w:ilvl w:val="2"/>
          <w:numId w:val="19"/>
        </w:numPr>
        <w:ind w:left="2694" w:hanging="851"/>
        <w:rPr>
          <w:rFonts w:ascii="Arial" w:hAnsi="Arial"/>
          <w:sz w:val="24"/>
        </w:rPr>
      </w:pPr>
      <w:r>
        <w:rPr>
          <w:rFonts w:ascii="Arial" w:hAnsi="Arial"/>
          <w:sz w:val="24"/>
        </w:rPr>
        <w:t>Insufficient centrifugation and/or centrifugation when the card(s) were not properly seated in the centrifuge holders may cause one or more of the following reactions:</w:t>
      </w:r>
    </w:p>
    <w:p w:rsidR="00683810" w:rsidRDefault="001B447C" w:rsidP="00683810">
      <w:pPr>
        <w:numPr>
          <w:ilvl w:val="0"/>
          <w:numId w:val="22"/>
        </w:numPr>
        <w:rPr>
          <w:rFonts w:ascii="Arial" w:hAnsi="Arial"/>
          <w:sz w:val="24"/>
        </w:rPr>
      </w:pPr>
      <w:r w:rsidRPr="00683810">
        <w:rPr>
          <w:rFonts w:ascii="Arial" w:hAnsi="Arial"/>
          <w:sz w:val="24"/>
        </w:rPr>
        <w:t>A line of cells streaming down one side of the microtube</w:t>
      </w:r>
    </w:p>
    <w:p w:rsidR="00683810" w:rsidRDefault="001B447C" w:rsidP="00683810">
      <w:pPr>
        <w:numPr>
          <w:ilvl w:val="0"/>
          <w:numId w:val="22"/>
        </w:numPr>
        <w:rPr>
          <w:rFonts w:ascii="Arial" w:hAnsi="Arial"/>
          <w:sz w:val="24"/>
        </w:rPr>
      </w:pPr>
      <w:r w:rsidRPr="00683810">
        <w:rPr>
          <w:rFonts w:ascii="Arial" w:hAnsi="Arial"/>
          <w:sz w:val="24"/>
        </w:rPr>
        <w:t xml:space="preserve">The red cell </w:t>
      </w:r>
      <w:r w:rsidR="00206267" w:rsidRPr="00683810">
        <w:rPr>
          <w:rFonts w:ascii="Arial" w:hAnsi="Arial"/>
          <w:sz w:val="24"/>
        </w:rPr>
        <w:t>agglutinate</w:t>
      </w:r>
      <w:r w:rsidRPr="00683810">
        <w:rPr>
          <w:rFonts w:ascii="Arial" w:hAnsi="Arial"/>
          <w:sz w:val="24"/>
        </w:rPr>
        <w:t xml:space="preserve"> shifted from the bottom of the microtube</w:t>
      </w:r>
    </w:p>
    <w:p w:rsidR="001B447C" w:rsidRPr="00683810" w:rsidRDefault="001B447C" w:rsidP="00683810">
      <w:pPr>
        <w:numPr>
          <w:ilvl w:val="0"/>
          <w:numId w:val="22"/>
        </w:numPr>
        <w:rPr>
          <w:rFonts w:ascii="Arial" w:hAnsi="Arial"/>
          <w:sz w:val="24"/>
        </w:rPr>
      </w:pPr>
      <w:r w:rsidRPr="00683810">
        <w:rPr>
          <w:rFonts w:ascii="Arial" w:hAnsi="Arial"/>
          <w:sz w:val="24"/>
        </w:rPr>
        <w:t>Unagglutinated cells observed throughout the gel (appearing pink or hazy) in all microtubes on the card.</w:t>
      </w:r>
    </w:p>
    <w:p w:rsidR="00683810" w:rsidRDefault="00683810">
      <w:pPr>
        <w:ind w:left="2160"/>
        <w:rPr>
          <w:rFonts w:ascii="Arial" w:hAnsi="Arial"/>
          <w:sz w:val="24"/>
        </w:rPr>
      </w:pPr>
    </w:p>
    <w:p w:rsidR="001B447C" w:rsidRDefault="00683810">
      <w:pPr>
        <w:ind w:left="2160"/>
        <w:rPr>
          <w:rFonts w:ascii="Arial" w:hAnsi="Arial"/>
          <w:sz w:val="24"/>
        </w:rPr>
      </w:pPr>
      <w:r>
        <w:rPr>
          <w:rFonts w:ascii="Arial" w:hAnsi="Arial"/>
          <w:sz w:val="24"/>
        </w:rPr>
        <w:t xml:space="preserve">         </w:t>
      </w:r>
      <w:r w:rsidR="001B447C">
        <w:rPr>
          <w:rFonts w:ascii="Arial" w:hAnsi="Arial"/>
          <w:sz w:val="24"/>
        </w:rPr>
        <w:t xml:space="preserve">In this case repeat the test(s) ensuring correct </w:t>
      </w:r>
      <w:r>
        <w:rPr>
          <w:rFonts w:ascii="Arial" w:hAnsi="Arial"/>
          <w:sz w:val="24"/>
        </w:rPr>
        <w:br/>
        <w:t xml:space="preserve">         </w:t>
      </w:r>
      <w:r w:rsidR="001B447C">
        <w:rPr>
          <w:rFonts w:ascii="Arial" w:hAnsi="Arial"/>
          <w:sz w:val="24"/>
        </w:rPr>
        <w:t>placement of the cards and centrifugation time.</w:t>
      </w:r>
    </w:p>
    <w:p w:rsidR="001B447C" w:rsidRDefault="001B447C">
      <w:pPr>
        <w:rPr>
          <w:rFonts w:ascii="Arial" w:hAnsi="Arial"/>
          <w:sz w:val="24"/>
        </w:rPr>
      </w:pPr>
    </w:p>
    <w:p w:rsidR="001B447C" w:rsidRDefault="001B447C" w:rsidP="00683810">
      <w:pPr>
        <w:numPr>
          <w:ilvl w:val="1"/>
          <w:numId w:val="19"/>
        </w:numPr>
        <w:tabs>
          <w:tab w:val="clear" w:pos="862"/>
          <w:tab w:val="left" w:pos="709"/>
          <w:tab w:val="num" w:pos="1418"/>
        </w:tabs>
        <w:ind w:left="1418" w:hanging="567"/>
        <w:rPr>
          <w:rFonts w:ascii="Arial" w:hAnsi="Arial"/>
          <w:sz w:val="24"/>
        </w:rPr>
      </w:pPr>
      <w:r>
        <w:rPr>
          <w:rFonts w:ascii="Arial" w:hAnsi="Arial"/>
          <w:sz w:val="24"/>
        </w:rPr>
        <w:t>The colo</w:t>
      </w:r>
      <w:r w:rsidR="00117CC0">
        <w:rPr>
          <w:rFonts w:ascii="Arial" w:hAnsi="Arial"/>
          <w:sz w:val="24"/>
        </w:rPr>
        <w:t>u</w:t>
      </w:r>
      <w:r>
        <w:rPr>
          <w:rFonts w:ascii="Arial" w:hAnsi="Arial"/>
          <w:sz w:val="24"/>
        </w:rPr>
        <w:t>r plate on page</w:t>
      </w:r>
      <w:r w:rsidR="00117CC0">
        <w:rPr>
          <w:rFonts w:ascii="Arial" w:hAnsi="Arial"/>
          <w:sz w:val="24"/>
        </w:rPr>
        <w:t xml:space="preserve"> </w:t>
      </w:r>
      <w:r w:rsidR="00206267">
        <w:rPr>
          <w:rFonts w:ascii="Arial" w:hAnsi="Arial"/>
          <w:sz w:val="24"/>
        </w:rPr>
        <w:t>6</w:t>
      </w:r>
      <w:r>
        <w:rPr>
          <w:rFonts w:ascii="Arial" w:hAnsi="Arial"/>
          <w:sz w:val="24"/>
        </w:rPr>
        <w:t xml:space="preserve"> </w:t>
      </w:r>
      <w:r w:rsidR="00C3460B">
        <w:rPr>
          <w:rFonts w:ascii="Arial" w:hAnsi="Arial"/>
          <w:sz w:val="24"/>
        </w:rPr>
        <w:t>of the MTS Int</w:t>
      </w:r>
      <w:r w:rsidR="00206267">
        <w:rPr>
          <w:rFonts w:ascii="Arial" w:hAnsi="Arial"/>
          <w:sz w:val="24"/>
        </w:rPr>
        <w:t>er</w:t>
      </w:r>
      <w:r w:rsidR="00C3460B">
        <w:rPr>
          <w:rFonts w:ascii="Arial" w:hAnsi="Arial"/>
          <w:sz w:val="24"/>
        </w:rPr>
        <w:t>pretation Guide</w:t>
      </w:r>
      <w:r w:rsidR="002A6E31">
        <w:rPr>
          <w:rFonts w:ascii="Arial" w:hAnsi="Arial"/>
          <w:sz w:val="24"/>
          <w:vertAlign w:val="superscript"/>
        </w:rPr>
        <w:t>9.2</w:t>
      </w:r>
      <w:r w:rsidR="00C3460B">
        <w:rPr>
          <w:rFonts w:ascii="Arial" w:hAnsi="Arial"/>
          <w:sz w:val="24"/>
        </w:rPr>
        <w:t xml:space="preserve"> </w:t>
      </w:r>
      <w:r w:rsidR="00074929">
        <w:rPr>
          <w:rFonts w:ascii="Arial" w:hAnsi="Arial"/>
          <w:sz w:val="24"/>
        </w:rPr>
        <w:t xml:space="preserve">may assist </w:t>
      </w:r>
      <w:r>
        <w:rPr>
          <w:rFonts w:ascii="Arial" w:hAnsi="Arial"/>
          <w:sz w:val="24"/>
        </w:rPr>
        <w:t>in the interpretation of agglutination reactions.</w:t>
      </w:r>
    </w:p>
    <w:p w:rsidR="00074929" w:rsidRDefault="00074929" w:rsidP="00074929">
      <w:pPr>
        <w:rPr>
          <w:rFonts w:ascii="Arial" w:hAnsi="Arial"/>
          <w:sz w:val="24"/>
        </w:rPr>
      </w:pPr>
    </w:p>
    <w:p w:rsidR="00683810" w:rsidRDefault="00683810" w:rsidP="00074929">
      <w:pPr>
        <w:rPr>
          <w:rFonts w:ascii="Arial" w:hAnsi="Arial"/>
          <w:sz w:val="24"/>
        </w:rPr>
      </w:pPr>
    </w:p>
    <w:p w:rsidR="00683810" w:rsidRDefault="00683810" w:rsidP="00074929">
      <w:pPr>
        <w:rPr>
          <w:rFonts w:ascii="Arial" w:hAnsi="Arial"/>
          <w:sz w:val="24"/>
        </w:rPr>
      </w:pPr>
    </w:p>
    <w:p w:rsidR="001B447C" w:rsidRDefault="001B447C" w:rsidP="00074929">
      <w:pPr>
        <w:numPr>
          <w:ilvl w:val="0"/>
          <w:numId w:val="1"/>
        </w:numPr>
        <w:rPr>
          <w:rFonts w:ascii="Arial" w:hAnsi="Arial"/>
          <w:b/>
          <w:sz w:val="28"/>
        </w:rPr>
      </w:pPr>
      <w:r>
        <w:rPr>
          <w:rFonts w:ascii="Arial" w:hAnsi="Arial"/>
          <w:b/>
          <w:sz w:val="28"/>
        </w:rPr>
        <w:t>References</w:t>
      </w:r>
    </w:p>
    <w:p w:rsidR="001B447C" w:rsidRDefault="001B447C">
      <w:pPr>
        <w:rPr>
          <w:rFonts w:ascii="Arial" w:hAnsi="Arial"/>
          <w:sz w:val="24"/>
        </w:rPr>
      </w:pPr>
    </w:p>
    <w:p w:rsidR="001B447C"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ID-Micro Typing System.  Question and Answer Guide.  Ortho Diagnostics.  January 1996.</w:t>
      </w:r>
    </w:p>
    <w:p w:rsidR="001B447C" w:rsidRDefault="001B447C">
      <w:pPr>
        <w:ind w:left="720"/>
        <w:rPr>
          <w:rFonts w:ascii="Arial" w:hAnsi="Arial"/>
          <w:sz w:val="24"/>
        </w:rPr>
      </w:pPr>
    </w:p>
    <w:p w:rsidR="001B447C"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 xml:space="preserve">ID-Micro Typing System. Interpretation Guide.  Ortho Diagnostics.  </w:t>
      </w:r>
      <w:r w:rsidR="008615F7">
        <w:rPr>
          <w:rFonts w:ascii="Arial" w:hAnsi="Arial"/>
          <w:sz w:val="24"/>
        </w:rPr>
        <w:t>June 2010</w:t>
      </w:r>
    </w:p>
    <w:p w:rsidR="001B447C" w:rsidRDefault="001B447C">
      <w:pPr>
        <w:ind w:left="720"/>
        <w:rPr>
          <w:rFonts w:ascii="Arial" w:hAnsi="Arial"/>
          <w:sz w:val="24"/>
        </w:rPr>
      </w:pPr>
    </w:p>
    <w:p w:rsidR="001B447C"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ID-Micro Typing System.  Procedure manual.  Ortho Diagnostics.  January 1996.</w:t>
      </w:r>
    </w:p>
    <w:p w:rsidR="001B447C" w:rsidRDefault="001B447C">
      <w:pPr>
        <w:ind w:left="720"/>
        <w:rPr>
          <w:rFonts w:ascii="Arial" w:hAnsi="Arial"/>
          <w:sz w:val="24"/>
        </w:rPr>
      </w:pPr>
    </w:p>
    <w:p w:rsidR="001B447C" w:rsidRDefault="001B447C" w:rsidP="00683810">
      <w:pPr>
        <w:numPr>
          <w:ilvl w:val="1"/>
          <w:numId w:val="1"/>
        </w:numPr>
        <w:tabs>
          <w:tab w:val="clear" w:pos="720"/>
          <w:tab w:val="num" w:pos="1418"/>
        </w:tabs>
        <w:ind w:left="1418" w:hanging="567"/>
        <w:rPr>
          <w:rFonts w:ascii="Arial" w:hAnsi="Arial"/>
          <w:sz w:val="24"/>
        </w:rPr>
      </w:pPr>
      <w:r>
        <w:rPr>
          <w:rFonts w:ascii="Arial" w:hAnsi="Arial"/>
          <w:sz w:val="24"/>
        </w:rPr>
        <w:t xml:space="preserve">ID-Micro Typing System.  Implementation guide.  Ortho Diagnostics. </w:t>
      </w:r>
      <w:r w:rsidR="008615F7">
        <w:rPr>
          <w:rFonts w:ascii="Arial" w:hAnsi="Arial"/>
          <w:sz w:val="24"/>
        </w:rPr>
        <w:t xml:space="preserve"> May 2010</w:t>
      </w:r>
    </w:p>
    <w:p w:rsidR="00A5753E" w:rsidRDefault="00A5753E" w:rsidP="00A5753E">
      <w:pPr>
        <w:rPr>
          <w:rFonts w:ascii="Arial" w:hAnsi="Arial"/>
          <w:sz w:val="24"/>
        </w:rPr>
      </w:pPr>
    </w:p>
    <w:p w:rsidR="00A5753E" w:rsidRDefault="00A5753E" w:rsidP="00074929">
      <w:pPr>
        <w:numPr>
          <w:ilvl w:val="0"/>
          <w:numId w:val="1"/>
        </w:numPr>
        <w:rPr>
          <w:rFonts w:ascii="Arial" w:hAnsi="Arial"/>
          <w:b/>
          <w:sz w:val="28"/>
        </w:rPr>
      </w:pPr>
      <w:r w:rsidRPr="00A5753E">
        <w:rPr>
          <w:rFonts w:ascii="Arial" w:hAnsi="Arial"/>
          <w:b/>
          <w:sz w:val="28"/>
        </w:rPr>
        <w:t>Revision History</w:t>
      </w:r>
    </w:p>
    <w:p w:rsidR="00A5753E" w:rsidRDefault="00A5753E" w:rsidP="00A5753E">
      <w:pPr>
        <w:ind w:left="720"/>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04"/>
      </w:tblGrid>
      <w:tr w:rsidR="00A5753E" w:rsidRPr="00B446C6" w:rsidTr="0031531B">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A5753E" w:rsidRPr="003465AA" w:rsidRDefault="00A5753E" w:rsidP="00B446C6">
            <w:pPr>
              <w:pStyle w:val="Header"/>
              <w:tabs>
                <w:tab w:val="left" w:pos="720"/>
              </w:tabs>
              <w:jc w:val="center"/>
              <w:rPr>
                <w:rFonts w:ascii="Arial" w:hAnsi="Arial" w:cs="Arial"/>
                <w:b/>
                <w:sz w:val="22"/>
              </w:rPr>
            </w:pPr>
            <w:r w:rsidRPr="003465AA">
              <w:rPr>
                <w:rFonts w:ascii="Arial" w:hAnsi="Arial" w:cs="Arial"/>
                <w:b/>
                <w:sz w:val="22"/>
              </w:rPr>
              <w:t>Revision Date</w:t>
            </w:r>
          </w:p>
        </w:tc>
        <w:tc>
          <w:tcPr>
            <w:tcW w:w="5204" w:type="dxa"/>
            <w:tcBorders>
              <w:top w:val="single" w:sz="4" w:space="0" w:color="auto"/>
              <w:left w:val="single" w:sz="4" w:space="0" w:color="auto"/>
              <w:bottom w:val="single" w:sz="4" w:space="0" w:color="auto"/>
              <w:right w:val="single" w:sz="4" w:space="0" w:color="auto"/>
            </w:tcBorders>
            <w:shd w:val="clear" w:color="auto" w:fill="D9D9D9"/>
            <w:hideMark/>
          </w:tcPr>
          <w:p w:rsidR="00A5753E" w:rsidRPr="003465AA" w:rsidRDefault="00A5753E" w:rsidP="00B446C6">
            <w:pPr>
              <w:pStyle w:val="Header"/>
              <w:tabs>
                <w:tab w:val="left" w:pos="720"/>
              </w:tabs>
              <w:jc w:val="center"/>
              <w:rPr>
                <w:rFonts w:ascii="Arial" w:hAnsi="Arial" w:cs="Arial"/>
                <w:b/>
                <w:sz w:val="22"/>
              </w:rPr>
            </w:pPr>
            <w:r w:rsidRPr="003465AA">
              <w:rPr>
                <w:rFonts w:ascii="Arial" w:hAnsi="Arial" w:cs="Arial"/>
                <w:b/>
                <w:sz w:val="22"/>
              </w:rPr>
              <w:t>Summary of Revision</w:t>
            </w:r>
          </w:p>
        </w:tc>
      </w:tr>
      <w:tr w:rsidR="00A5753E" w:rsidRPr="00B446C6" w:rsidTr="0031531B">
        <w:tc>
          <w:tcPr>
            <w:tcW w:w="3652" w:type="dxa"/>
            <w:tcBorders>
              <w:top w:val="single" w:sz="4" w:space="0" w:color="auto"/>
              <w:left w:val="single" w:sz="4" w:space="0" w:color="auto"/>
              <w:bottom w:val="single" w:sz="4" w:space="0" w:color="auto"/>
              <w:right w:val="single" w:sz="4" w:space="0" w:color="auto"/>
            </w:tcBorders>
            <w:shd w:val="clear" w:color="auto" w:fill="auto"/>
          </w:tcPr>
          <w:p w:rsidR="00A5753E" w:rsidRPr="003465AA" w:rsidRDefault="00FF36B1" w:rsidP="00B446C6">
            <w:pPr>
              <w:pStyle w:val="Header"/>
              <w:tabs>
                <w:tab w:val="left" w:pos="720"/>
              </w:tabs>
              <w:rPr>
                <w:rFonts w:ascii="Arial" w:hAnsi="Arial" w:cs="Arial"/>
                <w:sz w:val="22"/>
              </w:rPr>
            </w:pPr>
            <w:r w:rsidRPr="003465AA">
              <w:rPr>
                <w:rFonts w:ascii="Arial" w:hAnsi="Arial" w:cs="Arial"/>
                <w:sz w:val="22"/>
              </w:rPr>
              <w:t>April 30, 2014</w:t>
            </w: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FF36B1" w:rsidRPr="003465AA" w:rsidRDefault="00FF36B1" w:rsidP="00FF36B1">
            <w:pPr>
              <w:numPr>
                <w:ilvl w:val="0"/>
                <w:numId w:val="18"/>
              </w:numPr>
              <w:rPr>
                <w:rFonts w:ascii="Arial" w:hAnsi="Arial"/>
                <w:sz w:val="22"/>
                <w:szCs w:val="24"/>
              </w:rPr>
            </w:pPr>
            <w:r w:rsidRPr="003465AA">
              <w:rPr>
                <w:rFonts w:ascii="Arial" w:hAnsi="Arial"/>
                <w:sz w:val="22"/>
                <w:szCs w:val="24"/>
              </w:rPr>
              <w:t>Revised name of manual</w:t>
            </w:r>
          </w:p>
          <w:p w:rsidR="00FF36B1" w:rsidRPr="003465AA" w:rsidRDefault="00244CBB" w:rsidP="00FF36B1">
            <w:pPr>
              <w:numPr>
                <w:ilvl w:val="0"/>
                <w:numId w:val="18"/>
              </w:numPr>
              <w:rPr>
                <w:rFonts w:ascii="Arial" w:hAnsi="Arial"/>
                <w:sz w:val="22"/>
                <w:szCs w:val="24"/>
              </w:rPr>
            </w:pPr>
            <w:r w:rsidRPr="003465AA">
              <w:rPr>
                <w:rFonts w:ascii="Arial" w:hAnsi="Arial"/>
                <w:sz w:val="22"/>
                <w:szCs w:val="24"/>
              </w:rPr>
              <w:t>Changed</w:t>
            </w:r>
            <w:r w:rsidR="00FF36B1" w:rsidRPr="003465AA">
              <w:rPr>
                <w:rFonts w:ascii="Arial" w:hAnsi="Arial"/>
                <w:sz w:val="22"/>
                <w:szCs w:val="24"/>
              </w:rPr>
              <w:t xml:space="preserve"> document number from PA.007 to GM.001</w:t>
            </w:r>
          </w:p>
          <w:p w:rsidR="00FF36B1" w:rsidRPr="003465AA" w:rsidRDefault="00FF36B1" w:rsidP="00FF36B1">
            <w:pPr>
              <w:numPr>
                <w:ilvl w:val="0"/>
                <w:numId w:val="18"/>
              </w:numPr>
              <w:rPr>
                <w:rFonts w:ascii="Arial" w:hAnsi="Arial"/>
                <w:sz w:val="22"/>
                <w:szCs w:val="24"/>
              </w:rPr>
            </w:pPr>
            <w:r w:rsidRPr="003465AA">
              <w:rPr>
                <w:rFonts w:ascii="Arial" w:hAnsi="Arial"/>
                <w:sz w:val="22"/>
                <w:szCs w:val="24"/>
              </w:rPr>
              <w:t>Revised and renumbered section 6.0</w:t>
            </w:r>
          </w:p>
          <w:p w:rsidR="00FF36B1" w:rsidRPr="003465AA" w:rsidRDefault="00FF36B1" w:rsidP="00FF36B1">
            <w:pPr>
              <w:numPr>
                <w:ilvl w:val="0"/>
                <w:numId w:val="18"/>
              </w:numPr>
              <w:rPr>
                <w:rFonts w:ascii="Arial" w:hAnsi="Arial"/>
                <w:sz w:val="22"/>
                <w:szCs w:val="24"/>
              </w:rPr>
            </w:pPr>
            <w:r w:rsidRPr="003465AA">
              <w:rPr>
                <w:rFonts w:ascii="Arial" w:hAnsi="Arial"/>
                <w:sz w:val="22"/>
                <w:szCs w:val="24"/>
              </w:rPr>
              <w:t>Revised wording in section 8.2 to include “size of the red cell agglutinates in the bottom of the microtube may vary.”</w:t>
            </w:r>
          </w:p>
          <w:p w:rsidR="007F2434" w:rsidRPr="003465AA" w:rsidRDefault="00FF36B1" w:rsidP="007F2434">
            <w:pPr>
              <w:numPr>
                <w:ilvl w:val="0"/>
                <w:numId w:val="18"/>
              </w:numPr>
              <w:rPr>
                <w:rFonts w:ascii="Arial" w:hAnsi="Arial"/>
                <w:sz w:val="22"/>
                <w:szCs w:val="24"/>
              </w:rPr>
            </w:pPr>
            <w:r w:rsidRPr="003465AA">
              <w:rPr>
                <w:rFonts w:ascii="Arial" w:hAnsi="Arial"/>
                <w:sz w:val="22"/>
                <w:szCs w:val="24"/>
              </w:rPr>
              <w:t xml:space="preserve">Revised wording in section 8.8 to specify “on page 6 of the MTS Interpretation Guide </w:t>
            </w:r>
            <w:r w:rsidRPr="003465AA">
              <w:rPr>
                <w:rFonts w:ascii="Arial" w:hAnsi="Arial"/>
                <w:sz w:val="22"/>
                <w:szCs w:val="24"/>
                <w:vertAlign w:val="superscript"/>
              </w:rPr>
              <w:t>9.2</w:t>
            </w:r>
            <w:r w:rsidRPr="003465AA">
              <w:rPr>
                <w:rFonts w:ascii="Arial" w:hAnsi="Arial"/>
                <w:sz w:val="22"/>
                <w:szCs w:val="24"/>
              </w:rPr>
              <w:t>”</w:t>
            </w:r>
          </w:p>
          <w:p w:rsidR="00A5753E" w:rsidRPr="003465AA" w:rsidRDefault="00FF36B1" w:rsidP="007F2434">
            <w:pPr>
              <w:numPr>
                <w:ilvl w:val="0"/>
                <w:numId w:val="18"/>
              </w:numPr>
              <w:rPr>
                <w:rFonts w:ascii="Arial" w:hAnsi="Arial"/>
                <w:sz w:val="22"/>
                <w:szCs w:val="24"/>
              </w:rPr>
            </w:pPr>
            <w:r w:rsidRPr="003465AA">
              <w:rPr>
                <w:rFonts w:ascii="Arial" w:hAnsi="Arial"/>
                <w:sz w:val="22"/>
                <w:szCs w:val="24"/>
              </w:rPr>
              <w:t>Updated list of references to include the most recent editions</w:t>
            </w:r>
          </w:p>
        </w:tc>
      </w:tr>
    </w:tbl>
    <w:p w:rsidR="00A5753E" w:rsidRPr="00A5753E" w:rsidRDefault="00A5753E" w:rsidP="00A5753E">
      <w:pPr>
        <w:ind w:left="720"/>
        <w:rPr>
          <w:rFonts w:ascii="Arial" w:hAnsi="Arial"/>
          <w:b/>
          <w:sz w:val="28"/>
        </w:rPr>
      </w:pPr>
    </w:p>
    <w:sectPr w:rsidR="00A5753E" w:rsidRPr="00A5753E">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48C" w:rsidRDefault="006C648C">
      <w:r>
        <w:separator/>
      </w:r>
    </w:p>
  </w:endnote>
  <w:endnote w:type="continuationSeparator" w:id="0">
    <w:p w:rsidR="006C648C" w:rsidRDefault="006C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B447C">
      <w:trPr>
        <w:trHeight w:val="720"/>
      </w:trPr>
      <w:tc>
        <w:tcPr>
          <w:tcW w:w="1368" w:type="dxa"/>
        </w:tcPr>
        <w:p w:rsidR="001B447C" w:rsidRDefault="001B447C">
          <w:pPr>
            <w:pStyle w:val="Footer"/>
            <w:jc w:val="center"/>
            <w:rPr>
              <w:sz w:val="8"/>
            </w:rPr>
          </w:pPr>
        </w:p>
        <w:p w:rsidR="001B447C" w:rsidRDefault="00095290">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1B447C" w:rsidRDefault="001B447C">
          <w:pPr>
            <w:pStyle w:val="Footer"/>
            <w:jc w:val="center"/>
            <w:rPr>
              <w:rFonts w:ascii="Arial" w:hAnsi="Arial"/>
              <w:sz w:val="18"/>
            </w:rPr>
          </w:pPr>
        </w:p>
        <w:p w:rsidR="00117CC0" w:rsidRDefault="00117CC0">
          <w:pPr>
            <w:pStyle w:val="Footer"/>
            <w:jc w:val="center"/>
            <w:rPr>
              <w:rFonts w:ascii="Arial" w:hAnsi="Arial"/>
              <w:sz w:val="18"/>
            </w:rPr>
          </w:pPr>
          <w:smartTag w:uri="urn:schemas-microsoft-com:office:smarttags" w:element="State">
            <w:smartTag w:uri="urn:schemas-microsoft-com:office:smarttags" w:element="PlaceType">
              <w:r>
                <w:rPr>
                  <w:rFonts w:ascii="Arial" w:hAnsi="Arial"/>
                  <w:sz w:val="18"/>
                </w:rPr>
                <w:t>Ontario</w:t>
              </w:r>
            </w:smartTag>
          </w:smartTag>
          <w:r>
            <w:rPr>
              <w:rFonts w:ascii="Arial" w:hAnsi="Arial"/>
              <w:sz w:val="18"/>
            </w:rPr>
            <w:t xml:space="preserve"> Regional Blood Coordinating Network</w:t>
          </w:r>
        </w:p>
        <w:p w:rsidR="001B447C" w:rsidRDefault="002A6E31">
          <w:pPr>
            <w:pStyle w:val="Footer"/>
            <w:jc w:val="center"/>
            <w:rPr>
              <w:rFonts w:ascii="Arial" w:hAnsi="Arial"/>
              <w:sz w:val="18"/>
            </w:rPr>
          </w:pPr>
          <w:r>
            <w:rPr>
              <w:rFonts w:ascii="Arial" w:hAnsi="Arial"/>
              <w:sz w:val="18"/>
            </w:rPr>
            <w:t>Transfusion Technical Resource Manual</w:t>
          </w:r>
        </w:p>
        <w:p w:rsidR="001B447C" w:rsidRDefault="001B447C">
          <w:pPr>
            <w:pStyle w:val="Footer"/>
            <w:jc w:val="center"/>
            <w:rPr>
              <w:rFonts w:ascii="Arial" w:hAnsi="Arial"/>
              <w:sz w:val="18"/>
            </w:rPr>
          </w:pPr>
        </w:p>
      </w:tc>
      <w:tc>
        <w:tcPr>
          <w:tcW w:w="1494" w:type="dxa"/>
        </w:tcPr>
        <w:p w:rsidR="001B447C" w:rsidRDefault="001B447C">
          <w:pPr>
            <w:pStyle w:val="Footer"/>
            <w:jc w:val="right"/>
            <w:rPr>
              <w:rFonts w:ascii="Arial" w:hAnsi="Arial"/>
              <w:sz w:val="18"/>
            </w:rPr>
          </w:pPr>
        </w:p>
        <w:p w:rsidR="001B447C" w:rsidRDefault="002A6E31">
          <w:pPr>
            <w:pStyle w:val="Footer"/>
            <w:jc w:val="right"/>
            <w:rPr>
              <w:rFonts w:ascii="Arial" w:hAnsi="Arial"/>
              <w:sz w:val="18"/>
            </w:rPr>
          </w:pPr>
          <w:r>
            <w:rPr>
              <w:rFonts w:ascii="Arial" w:hAnsi="Arial"/>
              <w:sz w:val="18"/>
            </w:rPr>
            <w:t>GM.001</w:t>
          </w:r>
          <w:r w:rsidR="001B447C">
            <w:rPr>
              <w:rFonts w:ascii="Arial" w:hAnsi="Arial"/>
              <w:sz w:val="18"/>
            </w:rPr>
            <w:br/>
          </w:r>
        </w:p>
        <w:p w:rsidR="001B447C" w:rsidRDefault="001B447C">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32572">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32572">
            <w:rPr>
              <w:rFonts w:ascii="Arial" w:hAnsi="Arial"/>
              <w:noProof/>
              <w:snapToGrid w:val="0"/>
              <w:sz w:val="18"/>
            </w:rPr>
            <w:t>5</w:t>
          </w:r>
          <w:r>
            <w:rPr>
              <w:rFonts w:ascii="Arial" w:hAnsi="Arial"/>
              <w:snapToGrid w:val="0"/>
              <w:sz w:val="18"/>
            </w:rPr>
            <w:fldChar w:fldCharType="end"/>
          </w:r>
        </w:p>
      </w:tc>
    </w:tr>
  </w:tbl>
  <w:p w:rsidR="001B447C" w:rsidRDefault="001B4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B447C">
      <w:trPr>
        <w:trHeight w:val="720"/>
      </w:trPr>
      <w:tc>
        <w:tcPr>
          <w:tcW w:w="1368" w:type="dxa"/>
        </w:tcPr>
        <w:p w:rsidR="001B447C" w:rsidRDefault="001B447C">
          <w:pPr>
            <w:pStyle w:val="Footer"/>
            <w:jc w:val="center"/>
            <w:rPr>
              <w:rFonts w:ascii="Verdana" w:hAnsi="Verdana"/>
              <w:sz w:val="8"/>
            </w:rPr>
          </w:pPr>
        </w:p>
        <w:p w:rsidR="001B447C" w:rsidRDefault="00095290">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1B447C" w:rsidRDefault="001B447C">
          <w:pPr>
            <w:pStyle w:val="Footer"/>
            <w:jc w:val="center"/>
            <w:rPr>
              <w:rFonts w:ascii="Arial" w:hAnsi="Arial"/>
              <w:sz w:val="18"/>
            </w:rPr>
          </w:pPr>
        </w:p>
        <w:p w:rsidR="00117CC0" w:rsidRDefault="00117CC0">
          <w:pPr>
            <w:pStyle w:val="Footer"/>
            <w:jc w:val="center"/>
            <w:rPr>
              <w:rFonts w:ascii="Arial" w:hAnsi="Arial"/>
              <w:sz w:val="18"/>
            </w:rPr>
          </w:pPr>
          <w:smartTag w:uri="urn:schemas-microsoft-com:office:smarttags" w:element="State">
            <w:smartTag w:uri="urn:schemas-microsoft-com:office:smarttags" w:element="PlaceType">
              <w:r>
                <w:rPr>
                  <w:rFonts w:ascii="Arial" w:hAnsi="Arial"/>
                  <w:sz w:val="18"/>
                </w:rPr>
                <w:t>Ontario</w:t>
              </w:r>
            </w:smartTag>
          </w:smartTag>
          <w:r>
            <w:rPr>
              <w:rFonts w:ascii="Arial" w:hAnsi="Arial"/>
              <w:sz w:val="18"/>
            </w:rPr>
            <w:t xml:space="preserve"> Regional Blood Coordinating Network</w:t>
          </w:r>
        </w:p>
        <w:p w:rsidR="001B447C" w:rsidRDefault="002A6E31">
          <w:pPr>
            <w:pStyle w:val="Footer"/>
            <w:jc w:val="center"/>
            <w:rPr>
              <w:rFonts w:ascii="Arial" w:hAnsi="Arial"/>
              <w:sz w:val="18"/>
            </w:rPr>
          </w:pPr>
          <w:r>
            <w:rPr>
              <w:rFonts w:ascii="Arial" w:hAnsi="Arial"/>
              <w:sz w:val="18"/>
            </w:rPr>
            <w:t>Transfusion Technical Resource Manual</w:t>
          </w:r>
        </w:p>
        <w:p w:rsidR="001B447C" w:rsidRDefault="001B447C">
          <w:pPr>
            <w:pStyle w:val="Footer"/>
            <w:jc w:val="center"/>
            <w:rPr>
              <w:rFonts w:ascii="Arial" w:hAnsi="Arial"/>
              <w:sz w:val="18"/>
            </w:rPr>
          </w:pPr>
        </w:p>
      </w:tc>
      <w:tc>
        <w:tcPr>
          <w:tcW w:w="1494" w:type="dxa"/>
        </w:tcPr>
        <w:p w:rsidR="001B447C" w:rsidRDefault="001B447C">
          <w:pPr>
            <w:pStyle w:val="Footer"/>
            <w:jc w:val="right"/>
            <w:rPr>
              <w:rFonts w:ascii="Arial" w:hAnsi="Arial"/>
              <w:sz w:val="18"/>
            </w:rPr>
          </w:pPr>
        </w:p>
        <w:p w:rsidR="001B447C" w:rsidRDefault="002A6E31">
          <w:pPr>
            <w:pStyle w:val="Footer"/>
            <w:jc w:val="right"/>
            <w:rPr>
              <w:rFonts w:ascii="Arial" w:hAnsi="Arial"/>
              <w:sz w:val="18"/>
            </w:rPr>
          </w:pPr>
          <w:r>
            <w:rPr>
              <w:rFonts w:ascii="Arial" w:hAnsi="Arial"/>
              <w:sz w:val="18"/>
            </w:rPr>
            <w:t>GM.001</w:t>
          </w:r>
          <w:r w:rsidR="001B447C">
            <w:rPr>
              <w:rFonts w:ascii="Arial" w:hAnsi="Arial"/>
              <w:sz w:val="18"/>
            </w:rPr>
            <w:br/>
          </w:r>
        </w:p>
        <w:p w:rsidR="001B447C" w:rsidRDefault="001B447C">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32572">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32572">
            <w:rPr>
              <w:rFonts w:ascii="Arial" w:hAnsi="Arial"/>
              <w:noProof/>
              <w:snapToGrid w:val="0"/>
              <w:sz w:val="18"/>
            </w:rPr>
            <w:t>1</w:t>
          </w:r>
          <w:r>
            <w:rPr>
              <w:rFonts w:ascii="Arial" w:hAnsi="Arial"/>
              <w:snapToGrid w:val="0"/>
              <w:sz w:val="18"/>
            </w:rPr>
            <w:fldChar w:fldCharType="end"/>
          </w:r>
        </w:p>
      </w:tc>
    </w:tr>
  </w:tbl>
  <w:p w:rsidR="001B447C" w:rsidRDefault="001B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48C" w:rsidRDefault="006C648C">
      <w:r>
        <w:separator/>
      </w:r>
    </w:p>
  </w:footnote>
  <w:footnote w:type="continuationSeparator" w:id="0">
    <w:p w:rsidR="006C648C" w:rsidRDefault="006C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7C" w:rsidRDefault="001B447C">
    <w:pPr>
      <w:pStyle w:val="Header"/>
      <w:jc w:val="center"/>
      <w:rPr>
        <w:rFonts w:ascii="Arial" w:hAnsi="Arial"/>
        <w:b/>
        <w:sz w:val="28"/>
      </w:rPr>
    </w:pPr>
    <w:smartTag w:uri="urn:schemas-microsoft-com:office:smarttags" w:element="City">
      <w:smartTag w:uri="urn:schemas-microsoft-com:office:smarttags" w:element="PlaceType">
        <w:r>
          <w:rPr>
            <w:rFonts w:ascii="Arial" w:hAnsi="Arial"/>
            <w:b/>
            <w:sz w:val="28"/>
          </w:rPr>
          <w:t>Reading</w:t>
        </w:r>
      </w:smartTag>
    </w:smartTag>
    <w:r>
      <w:rPr>
        <w:rFonts w:ascii="Arial" w:hAnsi="Arial"/>
        <w:b/>
        <w:sz w:val="28"/>
      </w:rPr>
      <w:t xml:space="preserve"> and Recording Gel Reactions Using MTS</w:t>
    </w:r>
    <w:r>
      <w:rPr>
        <w:rFonts w:ascii="Arial" w:hAnsi="Arial"/>
        <w:b/>
        <w:sz w:val="28"/>
      </w:rPr>
      <w:sym w:font="Symbol" w:char="F0D4"/>
    </w:r>
    <w:r>
      <w:rPr>
        <w:rFonts w:ascii="Arial" w:hAnsi="Arial"/>
        <w:b/>
        <w:sz w:val="28"/>
      </w:rPr>
      <w:t xml:space="preserve"> Columns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7C" w:rsidRDefault="00095290">
    <w:pPr>
      <w:pStyle w:val="Header"/>
      <w:tabs>
        <w:tab w:val="clear" w:pos="8640"/>
        <w:tab w:val="left" w:pos="4783"/>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1B447C" w:rsidRDefault="001B447C">
    <w:pPr>
      <w:pStyle w:val="Header"/>
      <w:tabs>
        <w:tab w:val="clear" w:pos="8640"/>
        <w:tab w:val="left" w:pos="4783"/>
      </w:tabs>
      <w:rPr>
        <w:rFonts w:ascii="Arial" w:hAnsi="Arial" w:cs="Arial"/>
        <w:b/>
        <w:bCs/>
        <w:sz w:val="22"/>
      </w:rPr>
    </w:pPr>
  </w:p>
  <w:p w:rsidR="001B447C" w:rsidRDefault="00965003">
    <w:pPr>
      <w:pStyle w:val="Header"/>
      <w:jc w:val="center"/>
      <w:rPr>
        <w:rFonts w:ascii="Arial" w:hAnsi="Arial" w:cs="Arial"/>
        <w:b/>
        <w:bCs/>
        <w:sz w:val="22"/>
      </w:rPr>
    </w:pPr>
    <w:r>
      <w:rPr>
        <w:rFonts w:ascii="Arial" w:hAnsi="Arial" w:cs="Arial"/>
        <w:b/>
        <w:bCs/>
        <w:sz w:val="22"/>
      </w:rPr>
      <w:t>Ontario Regional Blood Coordinating Network</w:t>
    </w:r>
  </w:p>
  <w:p w:rsidR="00965003" w:rsidRDefault="00965003">
    <w:pPr>
      <w:pStyle w:val="Header"/>
      <w:jc w:val="center"/>
      <w:rPr>
        <w:rFonts w:ascii="Arial" w:hAnsi="Arial" w:cs="Arial"/>
        <w:b/>
        <w:bCs/>
        <w:sz w:val="22"/>
      </w:rPr>
    </w:pPr>
    <w:r>
      <w:rPr>
        <w:rFonts w:ascii="Arial" w:hAnsi="Arial" w:cs="Arial"/>
        <w:b/>
        <w:bCs/>
        <w:sz w:val="22"/>
      </w:rPr>
      <w:t>Transfusion Technical Resource Manual</w:t>
    </w:r>
  </w:p>
  <w:p w:rsidR="001B447C" w:rsidRDefault="001B447C">
    <w:pPr>
      <w:pStyle w:val="Header"/>
      <w:jc w:val="center"/>
      <w:rPr>
        <w:rFonts w:ascii="Arial" w:hAnsi="Arial" w:cs="Arial"/>
        <w:b/>
        <w:bCs/>
        <w:sz w:val="22"/>
      </w:rPr>
    </w:pPr>
  </w:p>
  <w:p w:rsidR="001B447C" w:rsidRDefault="001B447C">
    <w:pPr>
      <w:pStyle w:val="Header"/>
      <w:jc w:val="center"/>
      <w:rPr>
        <w:rFonts w:ascii="Arial" w:hAnsi="Arial"/>
        <w:b/>
        <w:sz w:val="28"/>
      </w:rPr>
    </w:pPr>
    <w:smartTag w:uri="urn:schemas-microsoft-com:office:smarttags" w:element="City">
      <w:smartTag w:uri="urn:schemas-microsoft-com:office:smarttags" w:element="PlaceType">
        <w:r>
          <w:rPr>
            <w:rFonts w:ascii="Arial" w:hAnsi="Arial"/>
            <w:b/>
            <w:sz w:val="28"/>
          </w:rPr>
          <w:t>Reading</w:t>
        </w:r>
      </w:smartTag>
    </w:smartTag>
    <w:r>
      <w:rPr>
        <w:rFonts w:ascii="Arial" w:hAnsi="Arial"/>
        <w:b/>
        <w:sz w:val="28"/>
      </w:rPr>
      <w:t xml:space="preserve"> and Recording Gel Reactions Using MTS</w:t>
    </w:r>
    <w:r>
      <w:rPr>
        <w:rFonts w:ascii="Arial" w:hAnsi="Arial"/>
        <w:b/>
        <w:sz w:val="28"/>
      </w:rPr>
      <w:sym w:font="Symbol" w:char="F0D4"/>
    </w:r>
    <w:r>
      <w:rPr>
        <w:rFonts w:ascii="Arial" w:hAnsi="Arial"/>
        <w:b/>
        <w:sz w:val="28"/>
      </w:rPr>
      <w:t xml:space="preserve"> Columns</w:t>
    </w:r>
  </w:p>
  <w:p w:rsidR="001B447C" w:rsidRDefault="001B447C">
    <w:pPr>
      <w:pStyle w:val="Header"/>
      <w:jc w:val="center"/>
      <w:rPr>
        <w:rFonts w:ascii="Arial" w:hAnsi="Arial"/>
        <w:b/>
        <w:sz w:val="28"/>
      </w:rPr>
    </w:pPr>
  </w:p>
  <w:p w:rsidR="001B447C" w:rsidRDefault="001B447C">
    <w:pPr>
      <w:pStyle w:val="Header"/>
      <w:jc w:val="center"/>
      <w:rPr>
        <w:rFonts w:ascii="Arial" w:hAnsi="Arial" w:cs="Arial"/>
        <w:b/>
        <w:bCs/>
      </w:rPr>
    </w:pPr>
    <w:r>
      <w:rPr>
        <w:rFonts w:ascii="Arial" w:hAnsi="Arial" w:cs="Arial"/>
        <w:b/>
        <w:bCs/>
      </w:rPr>
      <w:tab/>
    </w:r>
    <w:r w:rsidR="00095290">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71B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1B447C">
      <w:tc>
        <w:tcPr>
          <w:tcW w:w="4428" w:type="dxa"/>
        </w:tcPr>
        <w:p w:rsidR="001B447C" w:rsidRDefault="001B447C">
          <w:pPr>
            <w:pStyle w:val="Header"/>
            <w:rPr>
              <w:rFonts w:ascii="Arial" w:hAnsi="Arial" w:cs="Arial"/>
            </w:rPr>
          </w:pPr>
          <w:r>
            <w:rPr>
              <w:rFonts w:ascii="Arial" w:hAnsi="Arial" w:cs="Arial"/>
            </w:rPr>
            <w:t>Approved By:</w:t>
          </w:r>
          <w:r w:rsidR="00E32732">
            <w:rPr>
              <w:rFonts w:ascii="Arial" w:hAnsi="Arial" w:cs="Arial"/>
            </w:rPr>
            <w:t xml:space="preserve">  </w:t>
          </w:r>
        </w:p>
      </w:tc>
      <w:tc>
        <w:tcPr>
          <w:tcW w:w="4428" w:type="dxa"/>
        </w:tcPr>
        <w:p w:rsidR="001B447C" w:rsidRDefault="001B447C">
          <w:pPr>
            <w:pStyle w:val="Header"/>
            <w:rPr>
              <w:rFonts w:ascii="Arial" w:hAnsi="Arial" w:cs="Arial"/>
            </w:rPr>
          </w:pPr>
          <w:r>
            <w:rPr>
              <w:rFonts w:ascii="Arial" w:hAnsi="Arial" w:cs="Arial"/>
            </w:rPr>
            <w:t>Document No:</w:t>
          </w:r>
          <w:r w:rsidR="002A6E31">
            <w:rPr>
              <w:rFonts w:ascii="Arial" w:hAnsi="Arial" w:cs="Arial"/>
            </w:rPr>
            <w:t>GM.001</w:t>
          </w:r>
        </w:p>
      </w:tc>
    </w:tr>
    <w:tr w:rsidR="001B447C">
      <w:tc>
        <w:tcPr>
          <w:tcW w:w="4428" w:type="dxa"/>
        </w:tcPr>
        <w:p w:rsidR="001B447C" w:rsidRDefault="001B447C">
          <w:pPr>
            <w:pStyle w:val="Header"/>
            <w:rPr>
              <w:rFonts w:ascii="Arial" w:hAnsi="Arial" w:cs="Arial"/>
            </w:rPr>
          </w:pPr>
          <w:r>
            <w:rPr>
              <w:rFonts w:ascii="Arial" w:hAnsi="Arial" w:cs="Arial"/>
            </w:rPr>
            <w:t>Date Issued:  2004/04/05</w:t>
          </w:r>
        </w:p>
      </w:tc>
      <w:tc>
        <w:tcPr>
          <w:tcW w:w="4428" w:type="dxa"/>
        </w:tcPr>
        <w:p w:rsidR="001B447C" w:rsidRDefault="001B447C">
          <w:pPr>
            <w:pStyle w:val="Header"/>
            <w:rPr>
              <w:rFonts w:ascii="Arial" w:hAnsi="Arial" w:cs="Arial"/>
            </w:rPr>
          </w:pPr>
          <w:r>
            <w:rPr>
              <w:rFonts w:ascii="Arial" w:hAnsi="Arial" w:cs="Arial"/>
            </w:rPr>
            <w:t xml:space="preserve">Category:  </w:t>
          </w:r>
          <w:r w:rsidR="002A6E31">
            <w:rPr>
              <w:rFonts w:ascii="Arial" w:hAnsi="Arial" w:cs="Arial"/>
            </w:rPr>
            <w:t>Gel Methods</w:t>
          </w:r>
        </w:p>
      </w:tc>
    </w:tr>
    <w:tr w:rsidR="001B447C">
      <w:tc>
        <w:tcPr>
          <w:tcW w:w="4428" w:type="dxa"/>
        </w:tcPr>
        <w:p w:rsidR="001B447C" w:rsidRDefault="001B447C" w:rsidP="00FF36B1">
          <w:pPr>
            <w:pStyle w:val="Header"/>
            <w:rPr>
              <w:rFonts w:ascii="Arial" w:hAnsi="Arial" w:cs="Arial"/>
            </w:rPr>
          </w:pPr>
          <w:r>
            <w:rPr>
              <w:rFonts w:ascii="Arial" w:hAnsi="Arial" w:cs="Arial"/>
            </w:rPr>
            <w:t>Date Revised:</w:t>
          </w:r>
          <w:r w:rsidR="00117CC0">
            <w:rPr>
              <w:rFonts w:ascii="Arial" w:hAnsi="Arial" w:cs="Arial"/>
            </w:rPr>
            <w:t xml:space="preserve">  2009/09/01</w:t>
          </w:r>
          <w:r w:rsidR="00FF36B1">
            <w:rPr>
              <w:rFonts w:ascii="Arial" w:hAnsi="Arial" w:cs="Arial"/>
            </w:rPr>
            <w:t>; 2014/04</w:t>
          </w:r>
          <w:r w:rsidR="002A6E31">
            <w:rPr>
              <w:rFonts w:ascii="Arial" w:hAnsi="Arial" w:cs="Arial"/>
            </w:rPr>
            <w:t>/3</w:t>
          </w:r>
          <w:r w:rsidR="00FF36B1">
            <w:rPr>
              <w:rFonts w:ascii="Arial" w:hAnsi="Arial" w:cs="Arial"/>
            </w:rPr>
            <w:t>0</w:t>
          </w:r>
        </w:p>
      </w:tc>
      <w:tc>
        <w:tcPr>
          <w:tcW w:w="4428" w:type="dxa"/>
        </w:tcPr>
        <w:p w:rsidR="001B447C" w:rsidRDefault="001B447C">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32572">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732572">
            <w:rPr>
              <w:rFonts w:ascii="Arial" w:hAnsi="Arial" w:cs="Arial"/>
              <w:noProof/>
            </w:rPr>
            <w:t>1</w:t>
          </w:r>
          <w:r>
            <w:rPr>
              <w:rFonts w:ascii="Arial" w:hAnsi="Arial" w:cs="Arial"/>
            </w:rPr>
            <w:fldChar w:fldCharType="end"/>
          </w:r>
        </w:p>
      </w:tc>
    </w:tr>
  </w:tbl>
  <w:p w:rsidR="001B447C" w:rsidRDefault="00095290">
    <w:pPr>
      <w:pStyle w:val="Heade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EE8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1B447C">
      <w:rPr>
        <w:rFonts w:ascii="Arial" w:hAnsi="Arial" w:cs="Arial"/>
      </w:rPr>
      <w:tab/>
    </w:r>
  </w:p>
  <w:p w:rsidR="001B447C" w:rsidRDefault="001B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EE5"/>
    <w:multiLevelType w:val="hybridMultilevel"/>
    <w:tmpl w:val="4E70A3CC"/>
    <w:lvl w:ilvl="0" w:tplc="218EA480">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A23ADF"/>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B903ED"/>
    <w:multiLevelType w:val="hybridMultilevel"/>
    <w:tmpl w:val="AA1A2570"/>
    <w:lvl w:ilvl="0" w:tplc="10090001">
      <w:start w:val="1"/>
      <w:numFmt w:val="bullet"/>
      <w:lvlText w:val=""/>
      <w:lvlJc w:val="left"/>
      <w:pPr>
        <w:ind w:left="3414" w:hanging="360"/>
      </w:pPr>
      <w:rPr>
        <w:rFonts w:ascii="Symbol" w:hAnsi="Symbol" w:hint="default"/>
      </w:rPr>
    </w:lvl>
    <w:lvl w:ilvl="1" w:tplc="10090003" w:tentative="1">
      <w:start w:val="1"/>
      <w:numFmt w:val="bullet"/>
      <w:lvlText w:val="o"/>
      <w:lvlJc w:val="left"/>
      <w:pPr>
        <w:ind w:left="4134" w:hanging="360"/>
      </w:pPr>
      <w:rPr>
        <w:rFonts w:ascii="Courier New" w:hAnsi="Courier New" w:cs="Courier New" w:hint="default"/>
      </w:rPr>
    </w:lvl>
    <w:lvl w:ilvl="2" w:tplc="10090005" w:tentative="1">
      <w:start w:val="1"/>
      <w:numFmt w:val="bullet"/>
      <w:lvlText w:val=""/>
      <w:lvlJc w:val="left"/>
      <w:pPr>
        <w:ind w:left="4854" w:hanging="360"/>
      </w:pPr>
      <w:rPr>
        <w:rFonts w:ascii="Wingdings" w:hAnsi="Wingdings" w:hint="default"/>
      </w:rPr>
    </w:lvl>
    <w:lvl w:ilvl="3" w:tplc="10090001" w:tentative="1">
      <w:start w:val="1"/>
      <w:numFmt w:val="bullet"/>
      <w:lvlText w:val=""/>
      <w:lvlJc w:val="left"/>
      <w:pPr>
        <w:ind w:left="5574" w:hanging="360"/>
      </w:pPr>
      <w:rPr>
        <w:rFonts w:ascii="Symbol" w:hAnsi="Symbol" w:hint="default"/>
      </w:rPr>
    </w:lvl>
    <w:lvl w:ilvl="4" w:tplc="10090003" w:tentative="1">
      <w:start w:val="1"/>
      <w:numFmt w:val="bullet"/>
      <w:lvlText w:val="o"/>
      <w:lvlJc w:val="left"/>
      <w:pPr>
        <w:ind w:left="6294" w:hanging="360"/>
      </w:pPr>
      <w:rPr>
        <w:rFonts w:ascii="Courier New" w:hAnsi="Courier New" w:cs="Courier New" w:hint="default"/>
      </w:rPr>
    </w:lvl>
    <w:lvl w:ilvl="5" w:tplc="10090005" w:tentative="1">
      <w:start w:val="1"/>
      <w:numFmt w:val="bullet"/>
      <w:lvlText w:val=""/>
      <w:lvlJc w:val="left"/>
      <w:pPr>
        <w:ind w:left="7014" w:hanging="360"/>
      </w:pPr>
      <w:rPr>
        <w:rFonts w:ascii="Wingdings" w:hAnsi="Wingdings" w:hint="default"/>
      </w:rPr>
    </w:lvl>
    <w:lvl w:ilvl="6" w:tplc="10090001" w:tentative="1">
      <w:start w:val="1"/>
      <w:numFmt w:val="bullet"/>
      <w:lvlText w:val=""/>
      <w:lvlJc w:val="left"/>
      <w:pPr>
        <w:ind w:left="7734" w:hanging="360"/>
      </w:pPr>
      <w:rPr>
        <w:rFonts w:ascii="Symbol" w:hAnsi="Symbol" w:hint="default"/>
      </w:rPr>
    </w:lvl>
    <w:lvl w:ilvl="7" w:tplc="10090003" w:tentative="1">
      <w:start w:val="1"/>
      <w:numFmt w:val="bullet"/>
      <w:lvlText w:val="o"/>
      <w:lvlJc w:val="left"/>
      <w:pPr>
        <w:ind w:left="8454" w:hanging="360"/>
      </w:pPr>
      <w:rPr>
        <w:rFonts w:ascii="Courier New" w:hAnsi="Courier New" w:cs="Courier New" w:hint="default"/>
      </w:rPr>
    </w:lvl>
    <w:lvl w:ilvl="8" w:tplc="10090005" w:tentative="1">
      <w:start w:val="1"/>
      <w:numFmt w:val="bullet"/>
      <w:lvlText w:val=""/>
      <w:lvlJc w:val="left"/>
      <w:pPr>
        <w:ind w:left="9174" w:hanging="360"/>
      </w:pPr>
      <w:rPr>
        <w:rFonts w:ascii="Wingdings" w:hAnsi="Wingdings" w:hint="default"/>
      </w:rPr>
    </w:lvl>
  </w:abstractNum>
  <w:abstractNum w:abstractNumId="3" w15:restartNumberingAfterBreak="0">
    <w:nsid w:val="04943E33"/>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801CAB"/>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BD2370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12376FE0"/>
    <w:multiLevelType w:val="hybridMultilevel"/>
    <w:tmpl w:val="77BA7C7A"/>
    <w:lvl w:ilvl="0" w:tplc="10090001">
      <w:start w:val="1"/>
      <w:numFmt w:val="bullet"/>
      <w:lvlText w:val=""/>
      <w:lvlJc w:val="left"/>
      <w:pPr>
        <w:ind w:left="3414" w:hanging="360"/>
      </w:pPr>
      <w:rPr>
        <w:rFonts w:ascii="Symbol" w:hAnsi="Symbol" w:hint="default"/>
      </w:rPr>
    </w:lvl>
    <w:lvl w:ilvl="1" w:tplc="10090003" w:tentative="1">
      <w:start w:val="1"/>
      <w:numFmt w:val="bullet"/>
      <w:lvlText w:val="o"/>
      <w:lvlJc w:val="left"/>
      <w:pPr>
        <w:ind w:left="4134" w:hanging="360"/>
      </w:pPr>
      <w:rPr>
        <w:rFonts w:ascii="Courier New" w:hAnsi="Courier New" w:cs="Courier New" w:hint="default"/>
      </w:rPr>
    </w:lvl>
    <w:lvl w:ilvl="2" w:tplc="10090005" w:tentative="1">
      <w:start w:val="1"/>
      <w:numFmt w:val="bullet"/>
      <w:lvlText w:val=""/>
      <w:lvlJc w:val="left"/>
      <w:pPr>
        <w:ind w:left="4854" w:hanging="360"/>
      </w:pPr>
      <w:rPr>
        <w:rFonts w:ascii="Wingdings" w:hAnsi="Wingdings" w:hint="default"/>
      </w:rPr>
    </w:lvl>
    <w:lvl w:ilvl="3" w:tplc="10090001" w:tentative="1">
      <w:start w:val="1"/>
      <w:numFmt w:val="bullet"/>
      <w:lvlText w:val=""/>
      <w:lvlJc w:val="left"/>
      <w:pPr>
        <w:ind w:left="5574" w:hanging="360"/>
      </w:pPr>
      <w:rPr>
        <w:rFonts w:ascii="Symbol" w:hAnsi="Symbol" w:hint="default"/>
      </w:rPr>
    </w:lvl>
    <w:lvl w:ilvl="4" w:tplc="10090003" w:tentative="1">
      <w:start w:val="1"/>
      <w:numFmt w:val="bullet"/>
      <w:lvlText w:val="o"/>
      <w:lvlJc w:val="left"/>
      <w:pPr>
        <w:ind w:left="6294" w:hanging="360"/>
      </w:pPr>
      <w:rPr>
        <w:rFonts w:ascii="Courier New" w:hAnsi="Courier New" w:cs="Courier New" w:hint="default"/>
      </w:rPr>
    </w:lvl>
    <w:lvl w:ilvl="5" w:tplc="10090005" w:tentative="1">
      <w:start w:val="1"/>
      <w:numFmt w:val="bullet"/>
      <w:lvlText w:val=""/>
      <w:lvlJc w:val="left"/>
      <w:pPr>
        <w:ind w:left="7014" w:hanging="360"/>
      </w:pPr>
      <w:rPr>
        <w:rFonts w:ascii="Wingdings" w:hAnsi="Wingdings" w:hint="default"/>
      </w:rPr>
    </w:lvl>
    <w:lvl w:ilvl="6" w:tplc="10090001" w:tentative="1">
      <w:start w:val="1"/>
      <w:numFmt w:val="bullet"/>
      <w:lvlText w:val=""/>
      <w:lvlJc w:val="left"/>
      <w:pPr>
        <w:ind w:left="7734" w:hanging="360"/>
      </w:pPr>
      <w:rPr>
        <w:rFonts w:ascii="Symbol" w:hAnsi="Symbol" w:hint="default"/>
      </w:rPr>
    </w:lvl>
    <w:lvl w:ilvl="7" w:tplc="10090003" w:tentative="1">
      <w:start w:val="1"/>
      <w:numFmt w:val="bullet"/>
      <w:lvlText w:val="o"/>
      <w:lvlJc w:val="left"/>
      <w:pPr>
        <w:ind w:left="8454" w:hanging="360"/>
      </w:pPr>
      <w:rPr>
        <w:rFonts w:ascii="Courier New" w:hAnsi="Courier New" w:cs="Courier New" w:hint="default"/>
      </w:rPr>
    </w:lvl>
    <w:lvl w:ilvl="8" w:tplc="10090005" w:tentative="1">
      <w:start w:val="1"/>
      <w:numFmt w:val="bullet"/>
      <w:lvlText w:val=""/>
      <w:lvlJc w:val="left"/>
      <w:pPr>
        <w:ind w:left="9174" w:hanging="360"/>
      </w:pPr>
      <w:rPr>
        <w:rFonts w:ascii="Wingdings" w:hAnsi="Wingdings" w:hint="default"/>
      </w:rPr>
    </w:lvl>
  </w:abstractNum>
  <w:abstractNum w:abstractNumId="7" w15:restartNumberingAfterBreak="0">
    <w:nsid w:val="14DC7609"/>
    <w:multiLevelType w:val="multilevel"/>
    <w:tmpl w:val="3F24D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430"/>
        </w:tabs>
        <w:ind w:left="1430" w:hanging="720"/>
      </w:pPr>
      <w:rPr>
        <w:rFonts w:hint="default"/>
      </w:rPr>
    </w:lvl>
    <w:lvl w:ilvl="6">
      <w:start w:val="1"/>
      <w:numFmt w:val="decimal"/>
      <w:lvlText w:val="%1.%2.%3.%4.%5.%6.%7"/>
      <w:lvlJc w:val="left"/>
      <w:pPr>
        <w:tabs>
          <w:tab w:val="num" w:pos="1572"/>
        </w:tabs>
        <w:ind w:left="1572" w:hanging="720"/>
      </w:pPr>
      <w:rPr>
        <w:rFonts w:hint="default"/>
      </w:rPr>
    </w:lvl>
    <w:lvl w:ilvl="7">
      <w:start w:val="1"/>
      <w:numFmt w:val="decimal"/>
      <w:lvlText w:val="%1.%2.%3.%4.%5.%6.%7.%8"/>
      <w:lvlJc w:val="left"/>
      <w:pPr>
        <w:tabs>
          <w:tab w:val="num" w:pos="1714"/>
        </w:tabs>
        <w:ind w:left="1714" w:hanging="720"/>
      </w:pPr>
      <w:rPr>
        <w:rFonts w:hint="default"/>
      </w:rPr>
    </w:lvl>
    <w:lvl w:ilvl="8">
      <w:start w:val="1"/>
      <w:numFmt w:val="decimal"/>
      <w:lvlText w:val="%1.%2.%3.%4.%5.%6.%7.%8.%9"/>
      <w:lvlJc w:val="left"/>
      <w:pPr>
        <w:tabs>
          <w:tab w:val="num" w:pos="1856"/>
        </w:tabs>
        <w:ind w:left="1856" w:hanging="720"/>
      </w:pPr>
      <w:rPr>
        <w:rFonts w:hint="default"/>
      </w:rPr>
    </w:lvl>
  </w:abstractNum>
  <w:abstractNum w:abstractNumId="8" w15:restartNumberingAfterBreak="0">
    <w:nsid w:val="19917674"/>
    <w:multiLevelType w:val="singleLevel"/>
    <w:tmpl w:val="21761CBE"/>
    <w:lvl w:ilvl="0">
      <w:numFmt w:val="bullet"/>
      <w:lvlText w:val=""/>
      <w:lvlJc w:val="left"/>
      <w:pPr>
        <w:tabs>
          <w:tab w:val="num" w:pos="2160"/>
        </w:tabs>
        <w:ind w:left="2160" w:hanging="720"/>
      </w:pPr>
      <w:rPr>
        <w:rFonts w:ascii="Symbol" w:hAnsi="Symbol" w:hint="default"/>
      </w:rPr>
    </w:lvl>
  </w:abstractNum>
  <w:abstractNum w:abstractNumId="9" w15:restartNumberingAfterBreak="0">
    <w:nsid w:val="1E48763D"/>
    <w:multiLevelType w:val="multilevel"/>
    <w:tmpl w:val="AE0ED6E8"/>
    <w:lvl w:ilvl="0">
      <w:start w:val="8"/>
      <w:numFmt w:val="decimal"/>
      <w:lvlText w:val="%1"/>
      <w:lvlJc w:val="left"/>
      <w:pPr>
        <w:ind w:left="720" w:hanging="720"/>
      </w:pPr>
      <w:rPr>
        <w:rFonts w:hint="default"/>
      </w:rPr>
    </w:lvl>
    <w:lvl w:ilvl="1">
      <w:start w:val="7"/>
      <w:numFmt w:val="decimal"/>
      <w:lvlText w:val="%1.%2"/>
      <w:lvlJc w:val="left"/>
      <w:pPr>
        <w:tabs>
          <w:tab w:val="num" w:pos="862"/>
        </w:tabs>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572" w:hanging="720"/>
      </w:pPr>
      <w:rPr>
        <w:rFonts w:hint="default"/>
      </w:rPr>
    </w:lvl>
    <w:lvl w:ilvl="7">
      <w:start w:val="1"/>
      <w:numFmt w:val="decimal"/>
      <w:lvlText w:val="%1.%2.%3.%4.%5.%6.%7.%8"/>
      <w:lvlJc w:val="left"/>
      <w:pPr>
        <w:ind w:left="1714" w:hanging="720"/>
      </w:pPr>
      <w:rPr>
        <w:rFonts w:hint="default"/>
      </w:rPr>
    </w:lvl>
    <w:lvl w:ilvl="8">
      <w:start w:val="1"/>
      <w:numFmt w:val="decimal"/>
      <w:lvlText w:val="%1.%2.%3.%4.%5.%6.%7.%8.%9"/>
      <w:lvlJc w:val="left"/>
      <w:pPr>
        <w:ind w:left="1856" w:hanging="720"/>
      </w:pPr>
      <w:rPr>
        <w:rFonts w:hint="default"/>
      </w:rPr>
    </w:lvl>
  </w:abstractNum>
  <w:abstractNum w:abstractNumId="10" w15:restartNumberingAfterBreak="0">
    <w:nsid w:val="269A1AEC"/>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B258DE"/>
    <w:multiLevelType w:val="hybridMultilevel"/>
    <w:tmpl w:val="2C5E6522"/>
    <w:lvl w:ilvl="0" w:tplc="10090001">
      <w:start w:val="1"/>
      <w:numFmt w:val="bullet"/>
      <w:lvlText w:val=""/>
      <w:lvlJc w:val="left"/>
      <w:pPr>
        <w:ind w:left="3338" w:hanging="360"/>
      </w:pPr>
      <w:rPr>
        <w:rFonts w:ascii="Symbol" w:hAnsi="Symbol" w:hint="default"/>
      </w:rPr>
    </w:lvl>
    <w:lvl w:ilvl="1" w:tplc="10090003" w:tentative="1">
      <w:start w:val="1"/>
      <w:numFmt w:val="bullet"/>
      <w:lvlText w:val="o"/>
      <w:lvlJc w:val="left"/>
      <w:pPr>
        <w:ind w:left="4058" w:hanging="360"/>
      </w:pPr>
      <w:rPr>
        <w:rFonts w:ascii="Courier New" w:hAnsi="Courier New" w:cs="Courier New" w:hint="default"/>
      </w:rPr>
    </w:lvl>
    <w:lvl w:ilvl="2" w:tplc="10090005" w:tentative="1">
      <w:start w:val="1"/>
      <w:numFmt w:val="bullet"/>
      <w:lvlText w:val=""/>
      <w:lvlJc w:val="left"/>
      <w:pPr>
        <w:ind w:left="4778" w:hanging="360"/>
      </w:pPr>
      <w:rPr>
        <w:rFonts w:ascii="Wingdings" w:hAnsi="Wingdings" w:hint="default"/>
      </w:rPr>
    </w:lvl>
    <w:lvl w:ilvl="3" w:tplc="10090001" w:tentative="1">
      <w:start w:val="1"/>
      <w:numFmt w:val="bullet"/>
      <w:lvlText w:val=""/>
      <w:lvlJc w:val="left"/>
      <w:pPr>
        <w:ind w:left="5498" w:hanging="360"/>
      </w:pPr>
      <w:rPr>
        <w:rFonts w:ascii="Symbol" w:hAnsi="Symbol" w:hint="default"/>
      </w:rPr>
    </w:lvl>
    <w:lvl w:ilvl="4" w:tplc="10090003" w:tentative="1">
      <w:start w:val="1"/>
      <w:numFmt w:val="bullet"/>
      <w:lvlText w:val="o"/>
      <w:lvlJc w:val="left"/>
      <w:pPr>
        <w:ind w:left="6218" w:hanging="360"/>
      </w:pPr>
      <w:rPr>
        <w:rFonts w:ascii="Courier New" w:hAnsi="Courier New" w:cs="Courier New" w:hint="default"/>
      </w:rPr>
    </w:lvl>
    <w:lvl w:ilvl="5" w:tplc="10090005" w:tentative="1">
      <w:start w:val="1"/>
      <w:numFmt w:val="bullet"/>
      <w:lvlText w:val=""/>
      <w:lvlJc w:val="left"/>
      <w:pPr>
        <w:ind w:left="6938" w:hanging="360"/>
      </w:pPr>
      <w:rPr>
        <w:rFonts w:ascii="Wingdings" w:hAnsi="Wingdings" w:hint="default"/>
      </w:rPr>
    </w:lvl>
    <w:lvl w:ilvl="6" w:tplc="10090001" w:tentative="1">
      <w:start w:val="1"/>
      <w:numFmt w:val="bullet"/>
      <w:lvlText w:val=""/>
      <w:lvlJc w:val="left"/>
      <w:pPr>
        <w:ind w:left="7658" w:hanging="360"/>
      </w:pPr>
      <w:rPr>
        <w:rFonts w:ascii="Symbol" w:hAnsi="Symbol" w:hint="default"/>
      </w:rPr>
    </w:lvl>
    <w:lvl w:ilvl="7" w:tplc="10090003" w:tentative="1">
      <w:start w:val="1"/>
      <w:numFmt w:val="bullet"/>
      <w:lvlText w:val="o"/>
      <w:lvlJc w:val="left"/>
      <w:pPr>
        <w:ind w:left="8378" w:hanging="360"/>
      </w:pPr>
      <w:rPr>
        <w:rFonts w:ascii="Courier New" w:hAnsi="Courier New" w:cs="Courier New" w:hint="default"/>
      </w:rPr>
    </w:lvl>
    <w:lvl w:ilvl="8" w:tplc="10090005" w:tentative="1">
      <w:start w:val="1"/>
      <w:numFmt w:val="bullet"/>
      <w:lvlText w:val=""/>
      <w:lvlJc w:val="left"/>
      <w:pPr>
        <w:ind w:left="9098" w:hanging="360"/>
      </w:pPr>
      <w:rPr>
        <w:rFonts w:ascii="Wingdings" w:hAnsi="Wingdings" w:hint="default"/>
      </w:rPr>
    </w:lvl>
  </w:abstractNum>
  <w:abstractNum w:abstractNumId="12" w15:restartNumberingAfterBreak="0">
    <w:nsid w:val="314D09CB"/>
    <w:multiLevelType w:val="multilevel"/>
    <w:tmpl w:val="135AD36A"/>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3D094DED"/>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3CD5D88"/>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129631A"/>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6EC67E6"/>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65F256B"/>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68600DC"/>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B86380A"/>
    <w:multiLevelType w:val="singleLevel"/>
    <w:tmpl w:val="6B3A1032"/>
    <w:lvl w:ilvl="0">
      <w:start w:val="1"/>
      <w:numFmt w:val="bullet"/>
      <w:lvlText w:val=""/>
      <w:lvlJc w:val="left"/>
      <w:pPr>
        <w:tabs>
          <w:tab w:val="num" w:pos="3054"/>
        </w:tabs>
        <w:ind w:left="3054" w:hanging="360"/>
      </w:pPr>
      <w:rPr>
        <w:rFonts w:ascii="Symbol" w:hAnsi="Symbol" w:hint="default"/>
        <w:b w:val="0"/>
        <w:i w:val="0"/>
        <w:sz w:val="24"/>
      </w:rPr>
    </w:lvl>
  </w:abstractNum>
  <w:abstractNum w:abstractNumId="20" w15:restartNumberingAfterBreak="0">
    <w:nsid w:val="71870FA2"/>
    <w:multiLevelType w:val="multilevel"/>
    <w:tmpl w:val="EB7EDD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F605C1B"/>
    <w:multiLevelType w:val="hybridMultilevel"/>
    <w:tmpl w:val="9612C7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5"/>
  </w:num>
  <w:num w:numId="5">
    <w:abstractNumId w:val="20"/>
  </w:num>
  <w:num w:numId="6">
    <w:abstractNumId w:val="8"/>
  </w:num>
  <w:num w:numId="7">
    <w:abstractNumId w:val="14"/>
  </w:num>
  <w:num w:numId="8">
    <w:abstractNumId w:val="1"/>
  </w:num>
  <w:num w:numId="9">
    <w:abstractNumId w:val="13"/>
  </w:num>
  <w:num w:numId="10">
    <w:abstractNumId w:val="17"/>
  </w:num>
  <w:num w:numId="11">
    <w:abstractNumId w:val="10"/>
  </w:num>
  <w:num w:numId="12">
    <w:abstractNumId w:val="15"/>
  </w:num>
  <w:num w:numId="13">
    <w:abstractNumId w:val="3"/>
  </w:num>
  <w:num w:numId="14">
    <w:abstractNumId w:val="18"/>
  </w:num>
  <w:num w:numId="15">
    <w:abstractNumId w:val="16"/>
  </w:num>
  <w:num w:numId="16">
    <w:abstractNumId w:val="4"/>
  </w:num>
  <w:num w:numId="17">
    <w:abstractNumId w:val="21"/>
  </w:num>
  <w:num w:numId="18">
    <w:abstractNumId w:val="0"/>
  </w:num>
  <w:num w:numId="19">
    <w:abstractNumId w:val="9"/>
  </w:num>
  <w:num w:numId="20">
    <w:abstractNumId w:val="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7C"/>
    <w:rsid w:val="00057086"/>
    <w:rsid w:val="00074929"/>
    <w:rsid w:val="00095290"/>
    <w:rsid w:val="000C371C"/>
    <w:rsid w:val="00117CC0"/>
    <w:rsid w:val="0013373A"/>
    <w:rsid w:val="00180742"/>
    <w:rsid w:val="001A7C03"/>
    <w:rsid w:val="001B447C"/>
    <w:rsid w:val="00206267"/>
    <w:rsid w:val="002211D6"/>
    <w:rsid w:val="00244CBB"/>
    <w:rsid w:val="0028239C"/>
    <w:rsid w:val="002A6E31"/>
    <w:rsid w:val="0031531B"/>
    <w:rsid w:val="003465AA"/>
    <w:rsid w:val="003E24A8"/>
    <w:rsid w:val="003E24E1"/>
    <w:rsid w:val="004A0AA1"/>
    <w:rsid w:val="004A2043"/>
    <w:rsid w:val="004F2920"/>
    <w:rsid w:val="004F33BE"/>
    <w:rsid w:val="00510621"/>
    <w:rsid w:val="005152FE"/>
    <w:rsid w:val="00683810"/>
    <w:rsid w:val="006C648C"/>
    <w:rsid w:val="006D7479"/>
    <w:rsid w:val="006E0863"/>
    <w:rsid w:val="007024B5"/>
    <w:rsid w:val="007231EA"/>
    <w:rsid w:val="00732572"/>
    <w:rsid w:val="007F2434"/>
    <w:rsid w:val="00800CA4"/>
    <w:rsid w:val="0083395A"/>
    <w:rsid w:val="00853E52"/>
    <w:rsid w:val="008615F7"/>
    <w:rsid w:val="00936A14"/>
    <w:rsid w:val="00965003"/>
    <w:rsid w:val="009D7A58"/>
    <w:rsid w:val="009E2127"/>
    <w:rsid w:val="00A5753E"/>
    <w:rsid w:val="00B3536B"/>
    <w:rsid w:val="00B446C6"/>
    <w:rsid w:val="00C3460B"/>
    <w:rsid w:val="00C542DC"/>
    <w:rsid w:val="00CB16BB"/>
    <w:rsid w:val="00D650FD"/>
    <w:rsid w:val="00DD5636"/>
    <w:rsid w:val="00E312DF"/>
    <w:rsid w:val="00E32732"/>
    <w:rsid w:val="00F25E67"/>
    <w:rsid w:val="00F824FF"/>
    <w:rsid w:val="00FF3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AE0B5763-7EA9-426B-83EF-CB198196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2"/>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2"/>
      </w:numPr>
      <w:spacing w:after="240"/>
      <w:outlineLvl w:val="2"/>
    </w:pPr>
    <w:rPr>
      <w:rFonts w:ascii="Georgia" w:hAnsi="Georgia"/>
      <w:kern w:val="24"/>
      <w:sz w:val="24"/>
    </w:rPr>
  </w:style>
  <w:style w:type="paragraph" w:styleId="Heading4">
    <w:name w:val="heading 4"/>
    <w:basedOn w:val="Normal"/>
    <w:next w:val="Normal"/>
    <w:qFormat/>
    <w:pPr>
      <w:keepNext/>
      <w:numPr>
        <w:ilvl w:val="3"/>
        <w:numId w:val="2"/>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2"/>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2"/>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9">
    <w:name w:val="heading 9"/>
    <w:basedOn w:val="Normal"/>
    <w:next w:val="Normal"/>
    <w:qFormat/>
    <w:pPr>
      <w:keepNext/>
      <w:jc w:val="center"/>
      <w:outlineLvl w:val="8"/>
    </w:pPr>
    <w:rPr>
      <w:rFonts w:ascii="Georgia" w:hAnsi="Georgia"/>
      <w:b/>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824FF"/>
    <w:rPr>
      <w:rFonts w:ascii="Tahoma" w:hAnsi="Tahoma"/>
      <w:sz w:val="16"/>
      <w:szCs w:val="16"/>
    </w:rPr>
  </w:style>
  <w:style w:type="character" w:customStyle="1" w:styleId="BalloonTextChar">
    <w:name w:val="Balloon Text Char"/>
    <w:link w:val="BalloonText"/>
    <w:uiPriority w:val="99"/>
    <w:semiHidden/>
    <w:rsid w:val="00F824FF"/>
    <w:rPr>
      <w:rFonts w:ascii="Tahoma" w:hAnsi="Tahoma" w:cs="Tahoma"/>
      <w:sz w:val="16"/>
      <w:szCs w:val="16"/>
      <w:lang w:val="en-US" w:eastAsia="en-US"/>
    </w:rPr>
  </w:style>
  <w:style w:type="character" w:styleId="CommentReference">
    <w:name w:val="annotation reference"/>
    <w:uiPriority w:val="99"/>
    <w:semiHidden/>
    <w:unhideWhenUsed/>
    <w:rsid w:val="00206267"/>
    <w:rPr>
      <w:sz w:val="16"/>
      <w:szCs w:val="16"/>
    </w:rPr>
  </w:style>
  <w:style w:type="paragraph" w:styleId="CommentText">
    <w:name w:val="annotation text"/>
    <w:basedOn w:val="Normal"/>
    <w:link w:val="CommentTextChar"/>
    <w:uiPriority w:val="99"/>
    <w:semiHidden/>
    <w:unhideWhenUsed/>
    <w:rsid w:val="00206267"/>
  </w:style>
  <w:style w:type="character" w:customStyle="1" w:styleId="CommentTextChar">
    <w:name w:val="Comment Text Char"/>
    <w:link w:val="CommentText"/>
    <w:uiPriority w:val="99"/>
    <w:semiHidden/>
    <w:rsid w:val="00206267"/>
    <w:rPr>
      <w:lang w:val="en-US" w:eastAsia="en-US"/>
    </w:rPr>
  </w:style>
  <w:style w:type="paragraph" w:styleId="CommentSubject">
    <w:name w:val="annotation subject"/>
    <w:basedOn w:val="CommentText"/>
    <w:next w:val="CommentText"/>
    <w:link w:val="CommentSubjectChar"/>
    <w:uiPriority w:val="99"/>
    <w:semiHidden/>
    <w:unhideWhenUsed/>
    <w:rsid w:val="00206267"/>
    <w:rPr>
      <w:b/>
      <w:bCs/>
    </w:rPr>
  </w:style>
  <w:style w:type="character" w:customStyle="1" w:styleId="CommentSubjectChar">
    <w:name w:val="Comment Subject Char"/>
    <w:link w:val="CommentSubject"/>
    <w:uiPriority w:val="99"/>
    <w:semiHidden/>
    <w:rsid w:val="00206267"/>
    <w:rPr>
      <w:b/>
      <w:bCs/>
      <w:lang w:val="en-US" w:eastAsia="en-US"/>
    </w:rPr>
  </w:style>
  <w:style w:type="table" w:styleId="TableGrid">
    <w:name w:val="Table Grid"/>
    <w:basedOn w:val="TableNormal"/>
    <w:rsid w:val="00B3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53E"/>
    <w:pPr>
      <w:ind w:left="720"/>
    </w:pPr>
  </w:style>
  <w:style w:type="character" w:customStyle="1" w:styleId="HeaderChar">
    <w:name w:val="Header Char"/>
    <w:link w:val="Header"/>
    <w:rsid w:val="00A575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PA.007 Reading and Recording Gel Reactions Using MTS Columns</vt:lpstr>
    </vt:vector>
  </TitlesOfParts>
  <Company>Hewlett-Packard Company</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PA.007 Reading and Recording Gel Reactions Using MTS Columns</dc:title>
  <dc:subject/>
  <dc:creator>Transfusion Ontario Program Office</dc:creator>
  <cp:keywords/>
  <cp:lastModifiedBy>Nesrallah, Heather</cp:lastModifiedBy>
  <cp:revision>2</cp:revision>
  <cp:lastPrinted>2014-12-18T19:13:00Z</cp:lastPrinted>
  <dcterms:created xsi:type="dcterms:W3CDTF">2020-08-10T19:07:00Z</dcterms:created>
  <dcterms:modified xsi:type="dcterms:W3CDTF">2020-08-10T19:07:00Z</dcterms:modified>
</cp:coreProperties>
</file>